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D1" w:rsidRPr="00897DD1" w:rsidRDefault="00897DD1" w:rsidP="00897DD1">
      <w:pPr>
        <w:pStyle w:val="Piedepgina"/>
        <w:tabs>
          <w:tab w:val="clear" w:pos="4419"/>
          <w:tab w:val="clear" w:pos="8838"/>
        </w:tabs>
        <w:spacing w:after="120"/>
        <w:ind w:left="66"/>
        <w:jc w:val="right"/>
        <w:rPr>
          <w:rFonts w:ascii="Arial" w:hAnsi="Arial" w:cs="Arial"/>
          <w:b/>
          <w:bCs/>
          <w:i/>
        </w:rPr>
      </w:pPr>
      <w:r w:rsidRPr="00897DD1">
        <w:rPr>
          <w:rFonts w:ascii="Arial" w:hAnsi="Arial" w:cs="Arial"/>
          <w:b/>
          <w:bCs/>
          <w:i/>
        </w:rPr>
        <w:t>Nota de Prensa N° 01</w:t>
      </w:r>
      <w:r w:rsidR="00F44CDF">
        <w:rPr>
          <w:rFonts w:ascii="Arial" w:hAnsi="Arial" w:cs="Arial"/>
          <w:b/>
          <w:bCs/>
          <w:i/>
        </w:rPr>
        <w:t>9</w:t>
      </w:r>
      <w:bookmarkStart w:id="0" w:name="_GoBack"/>
      <w:bookmarkEnd w:id="0"/>
      <w:r w:rsidRPr="00897DD1">
        <w:rPr>
          <w:rFonts w:ascii="Arial" w:hAnsi="Arial" w:cs="Arial"/>
          <w:b/>
          <w:bCs/>
          <w:i/>
        </w:rPr>
        <w:t>-2019</w:t>
      </w:r>
    </w:p>
    <w:p w:rsidR="006A0524" w:rsidRPr="00F65CF2" w:rsidRDefault="00173624" w:rsidP="0000227B">
      <w:pPr>
        <w:pStyle w:val="Piedepgina"/>
        <w:tabs>
          <w:tab w:val="clear" w:pos="4419"/>
          <w:tab w:val="clear" w:pos="8838"/>
        </w:tabs>
        <w:ind w:left="66"/>
        <w:jc w:val="center"/>
        <w:rPr>
          <w:rFonts w:ascii="Arial" w:hAnsi="Arial" w:cs="Arial"/>
          <w:b/>
          <w:bCs/>
          <w:sz w:val="36"/>
          <w:szCs w:val="36"/>
        </w:rPr>
      </w:pPr>
      <w:r w:rsidRPr="00F65CF2">
        <w:rPr>
          <w:rFonts w:ascii="Arial" w:hAnsi="Arial" w:cs="Arial"/>
          <w:b/>
          <w:bCs/>
          <w:sz w:val="36"/>
          <w:szCs w:val="36"/>
        </w:rPr>
        <w:t>RECAUDACIÓN</w:t>
      </w:r>
      <w:r w:rsidR="001702CA" w:rsidRPr="00F65CF2">
        <w:rPr>
          <w:rFonts w:ascii="Arial" w:hAnsi="Arial" w:cs="Arial"/>
          <w:b/>
          <w:bCs/>
          <w:sz w:val="36"/>
          <w:szCs w:val="36"/>
        </w:rPr>
        <w:t xml:space="preserve"> </w:t>
      </w:r>
      <w:r w:rsidRPr="00F65CF2">
        <w:rPr>
          <w:rFonts w:ascii="Arial" w:hAnsi="Arial" w:cs="Arial"/>
          <w:b/>
          <w:bCs/>
          <w:sz w:val="36"/>
          <w:szCs w:val="36"/>
        </w:rPr>
        <w:t xml:space="preserve">CRECIÓ </w:t>
      </w:r>
      <w:r w:rsidR="00EC5FAC" w:rsidRPr="00F65CF2">
        <w:rPr>
          <w:rFonts w:ascii="Arial" w:hAnsi="Arial" w:cs="Arial"/>
          <w:b/>
          <w:bCs/>
          <w:sz w:val="36"/>
          <w:szCs w:val="36"/>
        </w:rPr>
        <w:t>11</w:t>
      </w:r>
      <w:r w:rsidRPr="00F65CF2">
        <w:rPr>
          <w:rFonts w:ascii="Arial" w:hAnsi="Arial" w:cs="Arial"/>
          <w:b/>
          <w:bCs/>
          <w:sz w:val="36"/>
          <w:szCs w:val="36"/>
        </w:rPr>
        <w:t>,</w:t>
      </w:r>
      <w:r w:rsidR="00EC5FAC" w:rsidRPr="00F65CF2">
        <w:rPr>
          <w:rFonts w:ascii="Arial" w:hAnsi="Arial" w:cs="Arial"/>
          <w:b/>
          <w:bCs/>
          <w:sz w:val="36"/>
          <w:szCs w:val="36"/>
        </w:rPr>
        <w:t>2</w:t>
      </w:r>
      <w:r w:rsidRPr="00F65CF2">
        <w:rPr>
          <w:rFonts w:ascii="Arial" w:hAnsi="Arial" w:cs="Arial"/>
          <w:b/>
          <w:bCs/>
          <w:sz w:val="36"/>
          <w:szCs w:val="36"/>
        </w:rPr>
        <w:t>%</w:t>
      </w:r>
      <w:r w:rsidR="0094357D" w:rsidRPr="00F65CF2">
        <w:rPr>
          <w:rFonts w:ascii="Arial" w:hAnsi="Arial" w:cs="Arial"/>
          <w:b/>
          <w:bCs/>
          <w:sz w:val="36"/>
          <w:szCs w:val="36"/>
        </w:rPr>
        <w:t xml:space="preserve"> EN FEBRERO</w:t>
      </w:r>
    </w:p>
    <w:p w:rsidR="00173624" w:rsidRPr="00415EA3" w:rsidRDefault="00173624" w:rsidP="0000227B">
      <w:pPr>
        <w:ind w:left="284" w:hanging="218"/>
        <w:rPr>
          <w:rFonts w:ascii="Arial" w:hAnsi="Arial" w:cs="Arial"/>
          <w:sz w:val="20"/>
          <w:szCs w:val="20"/>
        </w:rPr>
      </w:pPr>
    </w:p>
    <w:p w:rsidR="00845BD7" w:rsidRPr="008538BC" w:rsidRDefault="0091187A" w:rsidP="00F65CF2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8538BC">
        <w:rPr>
          <w:rFonts w:ascii="Arial" w:hAnsi="Arial" w:cs="Arial"/>
          <w:b/>
          <w:i/>
          <w:sz w:val="22"/>
          <w:szCs w:val="22"/>
        </w:rPr>
        <w:t>Ingresos tributarios sumaron</w:t>
      </w:r>
      <w:r w:rsidR="00AC4938" w:rsidRPr="008538BC">
        <w:rPr>
          <w:rFonts w:ascii="Arial" w:hAnsi="Arial" w:cs="Arial"/>
          <w:b/>
          <w:i/>
          <w:sz w:val="22"/>
          <w:szCs w:val="22"/>
        </w:rPr>
        <w:t xml:space="preserve"> S/ </w:t>
      </w:r>
      <w:r w:rsidR="00EC5FAC">
        <w:rPr>
          <w:rFonts w:ascii="Arial" w:hAnsi="Arial" w:cs="Arial"/>
          <w:b/>
          <w:i/>
          <w:sz w:val="22"/>
          <w:szCs w:val="22"/>
        </w:rPr>
        <w:t>8</w:t>
      </w:r>
      <w:r w:rsidR="00AC4938" w:rsidRPr="008538BC">
        <w:rPr>
          <w:rFonts w:ascii="Arial" w:hAnsi="Arial" w:cs="Arial"/>
          <w:b/>
          <w:i/>
          <w:sz w:val="22"/>
          <w:szCs w:val="22"/>
        </w:rPr>
        <w:t xml:space="preserve"> </w:t>
      </w:r>
      <w:r w:rsidR="00EC5FAC">
        <w:rPr>
          <w:rFonts w:ascii="Arial" w:hAnsi="Arial" w:cs="Arial"/>
          <w:b/>
          <w:i/>
          <w:sz w:val="22"/>
          <w:szCs w:val="22"/>
        </w:rPr>
        <w:t>04</w:t>
      </w:r>
      <w:r w:rsidR="002122D0">
        <w:rPr>
          <w:rFonts w:ascii="Arial" w:hAnsi="Arial" w:cs="Arial"/>
          <w:b/>
          <w:i/>
          <w:sz w:val="22"/>
          <w:szCs w:val="22"/>
        </w:rPr>
        <w:t>4</w:t>
      </w:r>
      <w:r w:rsidR="00AC4938" w:rsidRPr="008538BC">
        <w:rPr>
          <w:rFonts w:ascii="Arial" w:hAnsi="Arial" w:cs="Arial"/>
          <w:b/>
          <w:i/>
          <w:sz w:val="22"/>
          <w:szCs w:val="22"/>
        </w:rPr>
        <w:t xml:space="preserve"> millones</w:t>
      </w:r>
      <w:r w:rsidR="00AA010D" w:rsidRPr="008538BC">
        <w:rPr>
          <w:rFonts w:ascii="Arial" w:hAnsi="Arial" w:cs="Arial"/>
          <w:b/>
          <w:i/>
          <w:sz w:val="22"/>
          <w:szCs w:val="22"/>
        </w:rPr>
        <w:t>.</w:t>
      </w:r>
      <w:r w:rsidR="00C24786" w:rsidRPr="008538BC">
        <w:rPr>
          <w:rFonts w:ascii="Arial" w:hAnsi="Arial" w:cs="Arial"/>
          <w:b/>
          <w:i/>
          <w:sz w:val="22"/>
          <w:szCs w:val="22"/>
        </w:rPr>
        <w:t xml:space="preserve"> </w:t>
      </w:r>
      <w:r w:rsidR="008412ED" w:rsidRPr="008538BC">
        <w:rPr>
          <w:rFonts w:ascii="Arial" w:hAnsi="Arial" w:cs="Arial"/>
          <w:b/>
          <w:i/>
          <w:sz w:val="22"/>
          <w:szCs w:val="22"/>
        </w:rPr>
        <w:t>El incremento</w:t>
      </w:r>
      <w:r w:rsidR="00845BD7" w:rsidRPr="008538BC">
        <w:rPr>
          <w:rFonts w:ascii="Arial" w:hAnsi="Arial" w:cs="Arial"/>
          <w:b/>
          <w:i/>
          <w:sz w:val="22"/>
          <w:szCs w:val="22"/>
        </w:rPr>
        <w:t xml:space="preserve"> representa S/ </w:t>
      </w:r>
      <w:r w:rsidR="00EC5FAC">
        <w:rPr>
          <w:rFonts w:ascii="Arial" w:hAnsi="Arial" w:cs="Arial"/>
          <w:b/>
          <w:i/>
          <w:sz w:val="22"/>
          <w:szCs w:val="22"/>
        </w:rPr>
        <w:t>95</w:t>
      </w:r>
      <w:r w:rsidR="002122D0">
        <w:rPr>
          <w:rFonts w:ascii="Arial" w:hAnsi="Arial" w:cs="Arial"/>
          <w:b/>
          <w:i/>
          <w:sz w:val="22"/>
          <w:szCs w:val="22"/>
        </w:rPr>
        <w:t>2</w:t>
      </w:r>
      <w:r w:rsidR="00845BD7" w:rsidRPr="008538BC">
        <w:rPr>
          <w:rFonts w:ascii="Arial" w:hAnsi="Arial" w:cs="Arial"/>
          <w:b/>
          <w:i/>
          <w:sz w:val="22"/>
          <w:szCs w:val="22"/>
        </w:rPr>
        <w:t xml:space="preserve"> millones adicionales </w:t>
      </w:r>
      <w:r w:rsidR="0031199D">
        <w:rPr>
          <w:rFonts w:ascii="Arial" w:hAnsi="Arial" w:cs="Arial"/>
          <w:b/>
          <w:i/>
          <w:sz w:val="22"/>
          <w:szCs w:val="22"/>
        </w:rPr>
        <w:t xml:space="preserve">de ingresos </w:t>
      </w:r>
      <w:r w:rsidR="00845BD7" w:rsidRPr="008538BC">
        <w:rPr>
          <w:rFonts w:ascii="Arial" w:hAnsi="Arial" w:cs="Arial"/>
          <w:b/>
          <w:i/>
          <w:sz w:val="22"/>
          <w:szCs w:val="22"/>
        </w:rPr>
        <w:t>con respecto a</w:t>
      </w:r>
      <w:r w:rsidR="00FA6D1C" w:rsidRPr="008538BC">
        <w:rPr>
          <w:rFonts w:ascii="Arial" w:hAnsi="Arial" w:cs="Arial"/>
          <w:b/>
          <w:i/>
          <w:sz w:val="22"/>
          <w:szCs w:val="22"/>
        </w:rPr>
        <w:t xml:space="preserve"> </w:t>
      </w:r>
      <w:r w:rsidRPr="008538BC">
        <w:rPr>
          <w:rFonts w:ascii="Arial" w:hAnsi="Arial" w:cs="Arial"/>
          <w:b/>
          <w:i/>
          <w:sz w:val="22"/>
          <w:szCs w:val="22"/>
        </w:rPr>
        <w:t>similar mes</w:t>
      </w:r>
      <w:r w:rsidR="00FA6D1C" w:rsidRPr="008538BC">
        <w:rPr>
          <w:rFonts w:ascii="Arial" w:hAnsi="Arial" w:cs="Arial"/>
          <w:b/>
          <w:i/>
          <w:sz w:val="22"/>
          <w:szCs w:val="22"/>
        </w:rPr>
        <w:t xml:space="preserve"> de</w:t>
      </w:r>
      <w:r w:rsidR="00845BD7" w:rsidRPr="008538BC">
        <w:rPr>
          <w:rFonts w:ascii="Arial" w:hAnsi="Arial" w:cs="Arial"/>
          <w:b/>
          <w:i/>
          <w:sz w:val="22"/>
          <w:szCs w:val="22"/>
        </w:rPr>
        <w:t>l año anterior.</w:t>
      </w:r>
    </w:p>
    <w:p w:rsidR="00C24786" w:rsidRPr="008538BC" w:rsidRDefault="0091187A" w:rsidP="008538BC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8538BC">
        <w:rPr>
          <w:rFonts w:ascii="Arial" w:hAnsi="Arial" w:cs="Arial"/>
          <w:b/>
          <w:i/>
          <w:sz w:val="22"/>
          <w:szCs w:val="22"/>
        </w:rPr>
        <w:t xml:space="preserve">Recaudación por </w:t>
      </w:r>
      <w:r w:rsidR="00C24786" w:rsidRPr="008538BC">
        <w:rPr>
          <w:rFonts w:ascii="Arial" w:hAnsi="Arial" w:cs="Arial"/>
          <w:b/>
          <w:i/>
          <w:sz w:val="22"/>
          <w:szCs w:val="22"/>
        </w:rPr>
        <w:t>IGV aument</w:t>
      </w:r>
      <w:r w:rsidRPr="008538BC">
        <w:rPr>
          <w:rFonts w:ascii="Arial" w:hAnsi="Arial" w:cs="Arial"/>
          <w:b/>
          <w:i/>
          <w:sz w:val="22"/>
          <w:szCs w:val="22"/>
        </w:rPr>
        <w:t>ó</w:t>
      </w:r>
      <w:r w:rsidR="00C24786" w:rsidRPr="008538BC">
        <w:rPr>
          <w:rFonts w:ascii="Arial" w:hAnsi="Arial" w:cs="Arial"/>
          <w:b/>
          <w:i/>
          <w:sz w:val="22"/>
          <w:szCs w:val="22"/>
        </w:rPr>
        <w:t xml:space="preserve"> </w:t>
      </w:r>
      <w:r w:rsidR="00E640FB">
        <w:rPr>
          <w:rFonts w:ascii="Arial" w:hAnsi="Arial" w:cs="Arial"/>
          <w:b/>
          <w:i/>
          <w:sz w:val="22"/>
          <w:szCs w:val="22"/>
        </w:rPr>
        <w:t>5</w:t>
      </w:r>
      <w:r w:rsidR="00C24786" w:rsidRPr="008538BC">
        <w:rPr>
          <w:rFonts w:ascii="Arial" w:hAnsi="Arial" w:cs="Arial"/>
          <w:b/>
          <w:i/>
          <w:sz w:val="22"/>
          <w:szCs w:val="22"/>
        </w:rPr>
        <w:t>,5%</w:t>
      </w:r>
      <w:r w:rsidR="00C53DF7">
        <w:rPr>
          <w:rFonts w:ascii="Arial" w:hAnsi="Arial" w:cs="Arial"/>
          <w:b/>
          <w:i/>
          <w:sz w:val="22"/>
          <w:szCs w:val="22"/>
        </w:rPr>
        <w:t xml:space="preserve"> y por ISC </w:t>
      </w:r>
      <w:r w:rsidR="00E640FB">
        <w:rPr>
          <w:rFonts w:ascii="Arial" w:hAnsi="Arial" w:cs="Arial"/>
          <w:b/>
          <w:i/>
          <w:sz w:val="22"/>
          <w:szCs w:val="22"/>
        </w:rPr>
        <w:t>44,6</w:t>
      </w:r>
      <w:r w:rsidR="001702CA">
        <w:rPr>
          <w:rFonts w:ascii="Arial" w:hAnsi="Arial" w:cs="Arial"/>
          <w:b/>
          <w:i/>
          <w:sz w:val="22"/>
          <w:szCs w:val="22"/>
        </w:rPr>
        <w:t>%</w:t>
      </w:r>
      <w:r w:rsidR="00C53DF7">
        <w:rPr>
          <w:rFonts w:ascii="Arial" w:hAnsi="Arial" w:cs="Arial"/>
          <w:b/>
          <w:i/>
          <w:sz w:val="22"/>
          <w:szCs w:val="22"/>
        </w:rPr>
        <w:t>.</w:t>
      </w:r>
    </w:p>
    <w:p w:rsidR="008412ED" w:rsidRPr="004323A8" w:rsidRDefault="00844201" w:rsidP="0000227B">
      <w:pPr>
        <w:ind w:left="284" w:hanging="218"/>
        <w:rPr>
          <w:rFonts w:ascii="Arial" w:hAnsi="Arial" w:cs="Arial"/>
          <w:sz w:val="20"/>
          <w:szCs w:val="20"/>
        </w:rPr>
      </w:pPr>
      <w:r w:rsidRPr="00844201"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32603" w:rsidRPr="00714628" w:rsidRDefault="00545AE4" w:rsidP="007E3248">
      <w:pPr>
        <w:spacing w:before="240" w:line="240" w:lineRule="auto"/>
        <w:ind w:left="284" w:hanging="218"/>
        <w:rPr>
          <w:rFonts w:ascii="Arial" w:hAnsi="Arial" w:cs="Arial"/>
          <w:b/>
          <w:color w:val="4472C4"/>
          <w:sz w:val="20"/>
          <w:szCs w:val="20"/>
        </w:rPr>
      </w:pPr>
      <w:r>
        <w:rPr>
          <w:noProof/>
          <w:lang w:eastAsia="es-P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2170430</wp:posOffset>
            </wp:positionH>
            <wp:positionV relativeFrom="paragraph">
              <wp:posOffset>243205</wp:posOffset>
            </wp:positionV>
            <wp:extent cx="4071620" cy="2312670"/>
            <wp:effectExtent l="0" t="0" r="5080" b="0"/>
            <wp:wrapSquare wrapText="bothSides"/>
            <wp:docPr id="8" name="Gráfico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845BD7" w:rsidRPr="005D1E62" w:rsidRDefault="00B34996" w:rsidP="002C35A2">
      <w:pPr>
        <w:pStyle w:val="Prrafodelista"/>
        <w:numPr>
          <w:ilvl w:val="0"/>
          <w:numId w:val="11"/>
        </w:numPr>
        <w:spacing w:before="240"/>
        <w:ind w:left="284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kern w:val="24"/>
          <w:sz w:val="20"/>
          <w:szCs w:val="20"/>
        </w:rPr>
        <w:t xml:space="preserve">Los </w:t>
      </w:r>
      <w:r w:rsidRPr="00714628">
        <w:rPr>
          <w:rFonts w:ascii="Arial" w:hAnsi="Arial" w:cs="Arial"/>
          <w:color w:val="000000"/>
          <w:kern w:val="24"/>
          <w:sz w:val="20"/>
          <w:szCs w:val="20"/>
        </w:rPr>
        <w:t>ingresos tributarios del Gobierno Central (descontando las devoluciones de impuestos)</w:t>
      </w:r>
      <w:r w:rsidRPr="00714628">
        <w:rPr>
          <w:rStyle w:val="Refdenotaalpie"/>
          <w:rFonts w:ascii="Arial" w:hAnsi="Arial" w:cs="Arial"/>
          <w:color w:val="000000"/>
          <w:kern w:val="24"/>
          <w:sz w:val="20"/>
          <w:szCs w:val="20"/>
        </w:rPr>
        <w:footnoteReference w:id="1"/>
      </w:r>
      <w:r w:rsidRPr="00714628">
        <w:rPr>
          <w:rFonts w:ascii="Arial" w:hAnsi="Arial" w:cs="Arial"/>
          <w:color w:val="000000"/>
          <w:kern w:val="24"/>
          <w:sz w:val="20"/>
          <w:szCs w:val="20"/>
        </w:rPr>
        <w:t xml:space="preserve"> </w:t>
      </w:r>
      <w:r w:rsidR="00AD2401">
        <w:rPr>
          <w:rFonts w:ascii="Arial" w:hAnsi="Arial" w:cs="Arial"/>
          <w:color w:val="000000"/>
          <w:kern w:val="24"/>
          <w:sz w:val="20"/>
          <w:szCs w:val="20"/>
        </w:rPr>
        <w:t xml:space="preserve">ascendieron a </w:t>
      </w:r>
      <w:r w:rsidR="008E4015" w:rsidRPr="00714628">
        <w:rPr>
          <w:rFonts w:ascii="Arial" w:hAnsi="Arial" w:cs="Arial"/>
          <w:color w:val="000000"/>
          <w:kern w:val="24"/>
          <w:sz w:val="20"/>
          <w:szCs w:val="20"/>
        </w:rPr>
        <w:t xml:space="preserve">S/ </w:t>
      </w:r>
      <w:r w:rsidR="00E640FB">
        <w:rPr>
          <w:rFonts w:ascii="Arial" w:hAnsi="Arial" w:cs="Arial"/>
          <w:color w:val="000000"/>
          <w:kern w:val="24"/>
          <w:sz w:val="20"/>
          <w:szCs w:val="20"/>
        </w:rPr>
        <w:t>8</w:t>
      </w:r>
      <w:r w:rsidR="008E4015" w:rsidRPr="00714628">
        <w:rPr>
          <w:rFonts w:ascii="Arial" w:hAnsi="Arial" w:cs="Arial"/>
          <w:bCs/>
          <w:color w:val="000000"/>
          <w:kern w:val="24"/>
          <w:sz w:val="20"/>
          <w:szCs w:val="20"/>
        </w:rPr>
        <w:t xml:space="preserve"> </w:t>
      </w:r>
      <w:r w:rsidR="00E640FB">
        <w:rPr>
          <w:rFonts w:ascii="Arial" w:hAnsi="Arial" w:cs="Arial"/>
          <w:bCs/>
          <w:color w:val="000000"/>
          <w:kern w:val="24"/>
          <w:sz w:val="20"/>
          <w:szCs w:val="20"/>
        </w:rPr>
        <w:t>04</w:t>
      </w:r>
      <w:r w:rsidR="00526E4E">
        <w:rPr>
          <w:rFonts w:ascii="Arial" w:hAnsi="Arial" w:cs="Arial"/>
          <w:bCs/>
          <w:color w:val="000000"/>
          <w:kern w:val="24"/>
          <w:sz w:val="20"/>
          <w:szCs w:val="20"/>
        </w:rPr>
        <w:t>4</w:t>
      </w:r>
      <w:r w:rsidR="008E4015" w:rsidRPr="00714628">
        <w:rPr>
          <w:rFonts w:ascii="Arial" w:hAnsi="Arial" w:cs="Arial"/>
          <w:bCs/>
          <w:color w:val="000000"/>
          <w:kern w:val="24"/>
          <w:sz w:val="20"/>
          <w:szCs w:val="20"/>
        </w:rPr>
        <w:t xml:space="preserve"> </w:t>
      </w:r>
      <w:r w:rsidR="008E4015" w:rsidRPr="00714628">
        <w:rPr>
          <w:rFonts w:ascii="Arial" w:hAnsi="Arial" w:cs="Arial"/>
          <w:color w:val="000000"/>
          <w:kern w:val="24"/>
          <w:sz w:val="20"/>
          <w:szCs w:val="20"/>
        </w:rPr>
        <w:t xml:space="preserve">millones </w:t>
      </w:r>
      <w:r w:rsidR="00AD2401">
        <w:rPr>
          <w:rFonts w:ascii="Arial" w:hAnsi="Arial" w:cs="Arial"/>
          <w:color w:val="000000"/>
          <w:kern w:val="24"/>
          <w:sz w:val="20"/>
          <w:szCs w:val="20"/>
        </w:rPr>
        <w:t>e</w:t>
      </w:r>
      <w:r w:rsidR="00AD2401" w:rsidRPr="00714628">
        <w:rPr>
          <w:rFonts w:ascii="Arial" w:hAnsi="Arial" w:cs="Arial"/>
          <w:color w:val="000000"/>
          <w:kern w:val="24"/>
          <w:sz w:val="20"/>
          <w:szCs w:val="20"/>
        </w:rPr>
        <w:t xml:space="preserve">n </w:t>
      </w:r>
      <w:r w:rsidR="00AD2401">
        <w:rPr>
          <w:rFonts w:ascii="Arial" w:hAnsi="Arial" w:cs="Arial"/>
          <w:color w:val="000000"/>
          <w:kern w:val="24"/>
          <w:sz w:val="20"/>
          <w:szCs w:val="20"/>
        </w:rPr>
        <w:t>febrero</w:t>
      </w:r>
      <w:r w:rsidR="00AD2401" w:rsidRPr="00714628">
        <w:rPr>
          <w:rFonts w:ascii="Arial" w:hAnsi="Arial" w:cs="Arial"/>
          <w:color w:val="000000"/>
          <w:kern w:val="24"/>
          <w:sz w:val="20"/>
          <w:szCs w:val="20"/>
        </w:rPr>
        <w:t xml:space="preserve"> del 2019</w:t>
      </w:r>
      <w:r w:rsidR="00AD2401">
        <w:rPr>
          <w:rFonts w:ascii="Arial" w:hAnsi="Arial" w:cs="Arial"/>
          <w:color w:val="000000"/>
          <w:kern w:val="24"/>
          <w:sz w:val="20"/>
          <w:szCs w:val="20"/>
        </w:rPr>
        <w:t>,</w:t>
      </w:r>
      <w:r w:rsidR="008E4015" w:rsidRPr="00714628">
        <w:rPr>
          <w:rFonts w:ascii="Arial" w:hAnsi="Arial" w:cs="Arial"/>
          <w:color w:val="000000"/>
          <w:kern w:val="24"/>
          <w:sz w:val="20"/>
          <w:szCs w:val="20"/>
        </w:rPr>
        <w:t xml:space="preserve"> importe </w:t>
      </w:r>
      <w:r w:rsidR="00AD2401">
        <w:rPr>
          <w:rFonts w:ascii="Arial" w:hAnsi="Arial" w:cs="Arial"/>
          <w:color w:val="000000"/>
          <w:kern w:val="24"/>
          <w:sz w:val="20"/>
          <w:szCs w:val="20"/>
        </w:rPr>
        <w:t xml:space="preserve">que </w:t>
      </w:r>
      <w:r w:rsidR="008E4015" w:rsidRPr="00714628">
        <w:rPr>
          <w:rFonts w:ascii="Arial" w:hAnsi="Arial" w:cs="Arial"/>
          <w:color w:val="000000"/>
          <w:kern w:val="24"/>
          <w:sz w:val="20"/>
          <w:szCs w:val="20"/>
        </w:rPr>
        <w:t xml:space="preserve">representa S/ </w:t>
      </w:r>
      <w:r w:rsidR="00E640FB">
        <w:rPr>
          <w:rFonts w:ascii="Arial" w:hAnsi="Arial" w:cs="Arial"/>
          <w:color w:val="000000"/>
          <w:kern w:val="24"/>
          <w:sz w:val="20"/>
          <w:szCs w:val="20"/>
        </w:rPr>
        <w:t>95</w:t>
      </w:r>
      <w:r w:rsidR="00526E4E">
        <w:rPr>
          <w:rFonts w:ascii="Arial" w:hAnsi="Arial" w:cs="Arial"/>
          <w:color w:val="000000"/>
          <w:kern w:val="24"/>
          <w:sz w:val="20"/>
          <w:szCs w:val="20"/>
        </w:rPr>
        <w:t>2</w:t>
      </w:r>
      <w:r w:rsidR="008E4015" w:rsidRPr="00714628">
        <w:rPr>
          <w:rFonts w:ascii="Arial" w:hAnsi="Arial" w:cs="Arial"/>
          <w:bCs/>
          <w:color w:val="000000"/>
          <w:kern w:val="24"/>
          <w:sz w:val="20"/>
          <w:szCs w:val="20"/>
        </w:rPr>
        <w:t xml:space="preserve"> </w:t>
      </w:r>
      <w:r w:rsidR="008E4015" w:rsidRPr="00714628">
        <w:rPr>
          <w:rFonts w:ascii="Arial" w:hAnsi="Arial" w:cs="Arial"/>
          <w:color w:val="000000"/>
          <w:kern w:val="24"/>
          <w:sz w:val="20"/>
          <w:szCs w:val="20"/>
        </w:rPr>
        <w:t xml:space="preserve">millones más que </w:t>
      </w:r>
      <w:r w:rsidR="0091187A" w:rsidRPr="00714628">
        <w:rPr>
          <w:rFonts w:ascii="Arial" w:hAnsi="Arial" w:cs="Arial"/>
          <w:color w:val="000000"/>
          <w:kern w:val="24"/>
          <w:sz w:val="20"/>
          <w:szCs w:val="20"/>
        </w:rPr>
        <w:t>similar mes del</w:t>
      </w:r>
      <w:r w:rsidR="008E4015" w:rsidRPr="00714628">
        <w:rPr>
          <w:rFonts w:ascii="Arial" w:hAnsi="Arial" w:cs="Arial"/>
          <w:color w:val="000000"/>
          <w:kern w:val="24"/>
          <w:sz w:val="20"/>
          <w:szCs w:val="20"/>
        </w:rPr>
        <w:t xml:space="preserve"> 201</w:t>
      </w:r>
      <w:r w:rsidR="006A0524" w:rsidRPr="00714628">
        <w:rPr>
          <w:rFonts w:ascii="Arial" w:hAnsi="Arial" w:cs="Arial"/>
          <w:color w:val="000000"/>
          <w:kern w:val="24"/>
          <w:sz w:val="20"/>
          <w:szCs w:val="20"/>
        </w:rPr>
        <w:t>8</w:t>
      </w:r>
      <w:r w:rsidR="00612848" w:rsidRPr="00714628">
        <w:rPr>
          <w:rFonts w:ascii="Arial" w:hAnsi="Arial" w:cs="Arial"/>
          <w:color w:val="000000"/>
          <w:kern w:val="24"/>
          <w:sz w:val="20"/>
          <w:szCs w:val="20"/>
        </w:rPr>
        <w:t xml:space="preserve"> y</w:t>
      </w:r>
      <w:r w:rsidR="001E7E11">
        <w:rPr>
          <w:rFonts w:ascii="Arial" w:hAnsi="Arial" w:cs="Arial"/>
          <w:color w:val="000000"/>
          <w:kern w:val="24"/>
          <w:sz w:val="20"/>
          <w:szCs w:val="20"/>
        </w:rPr>
        <w:t xml:space="preserve">, </w:t>
      </w:r>
      <w:r w:rsidR="00AF04BE" w:rsidRPr="00714628">
        <w:rPr>
          <w:rFonts w:ascii="Arial" w:hAnsi="Arial" w:cs="Arial"/>
          <w:color w:val="000000"/>
          <w:kern w:val="24"/>
          <w:sz w:val="20"/>
          <w:szCs w:val="20"/>
        </w:rPr>
        <w:t>en términos porcentuales</w:t>
      </w:r>
      <w:r w:rsidR="001E7E11">
        <w:rPr>
          <w:rFonts w:ascii="Arial" w:hAnsi="Arial" w:cs="Arial"/>
          <w:color w:val="000000"/>
          <w:kern w:val="24"/>
          <w:sz w:val="20"/>
          <w:szCs w:val="20"/>
        </w:rPr>
        <w:t>,</w:t>
      </w:r>
      <w:r w:rsidR="00AF04BE" w:rsidRPr="00714628">
        <w:rPr>
          <w:rFonts w:ascii="Arial" w:hAnsi="Arial" w:cs="Arial"/>
          <w:color w:val="000000"/>
          <w:kern w:val="24"/>
          <w:sz w:val="20"/>
          <w:szCs w:val="20"/>
        </w:rPr>
        <w:t xml:space="preserve"> significa un </w:t>
      </w:r>
      <w:r w:rsidR="008E4015" w:rsidRPr="00714628">
        <w:rPr>
          <w:rFonts w:ascii="Arial" w:hAnsi="Arial" w:cs="Arial"/>
          <w:color w:val="000000"/>
          <w:kern w:val="24"/>
          <w:sz w:val="20"/>
          <w:szCs w:val="20"/>
        </w:rPr>
        <w:t xml:space="preserve">crecimiento de </w:t>
      </w:r>
      <w:r w:rsidR="00E640FB">
        <w:rPr>
          <w:rFonts w:ascii="Arial" w:hAnsi="Arial" w:cs="Arial"/>
          <w:color w:val="000000"/>
          <w:kern w:val="24"/>
          <w:sz w:val="20"/>
          <w:szCs w:val="20"/>
        </w:rPr>
        <w:t>11</w:t>
      </w:r>
      <w:r w:rsidR="008E4015" w:rsidRPr="00714628">
        <w:rPr>
          <w:rFonts w:ascii="Arial" w:hAnsi="Arial" w:cs="Arial"/>
          <w:bCs/>
          <w:color w:val="000000"/>
          <w:kern w:val="24"/>
          <w:sz w:val="20"/>
          <w:szCs w:val="20"/>
        </w:rPr>
        <w:t>,</w:t>
      </w:r>
      <w:r w:rsidR="00E640FB">
        <w:rPr>
          <w:rFonts w:ascii="Arial" w:hAnsi="Arial" w:cs="Arial"/>
          <w:bCs/>
          <w:color w:val="000000"/>
          <w:kern w:val="24"/>
          <w:sz w:val="20"/>
          <w:szCs w:val="20"/>
        </w:rPr>
        <w:t>2</w:t>
      </w:r>
      <w:r w:rsidR="008E4015" w:rsidRPr="00714628">
        <w:rPr>
          <w:rFonts w:ascii="Arial" w:hAnsi="Arial" w:cs="Arial"/>
          <w:bCs/>
          <w:color w:val="000000"/>
          <w:kern w:val="24"/>
          <w:sz w:val="20"/>
          <w:szCs w:val="20"/>
        </w:rPr>
        <w:t>%</w:t>
      </w:r>
      <w:r w:rsidR="00D57CD9" w:rsidRPr="00714628">
        <w:rPr>
          <w:rStyle w:val="Refdenotaalpie"/>
          <w:rFonts w:ascii="Arial" w:hAnsi="Arial" w:cs="Arial"/>
          <w:bCs/>
          <w:color w:val="000000"/>
          <w:kern w:val="24"/>
          <w:sz w:val="20"/>
          <w:szCs w:val="20"/>
        </w:rPr>
        <w:footnoteReference w:id="2"/>
      </w:r>
      <w:r w:rsidR="008E4015" w:rsidRPr="00714628">
        <w:rPr>
          <w:rFonts w:ascii="Arial" w:hAnsi="Arial" w:cs="Arial"/>
          <w:color w:val="000000"/>
          <w:kern w:val="24"/>
          <w:sz w:val="20"/>
          <w:szCs w:val="20"/>
        </w:rPr>
        <w:t>.</w:t>
      </w:r>
      <w:r w:rsidR="008E4015" w:rsidRPr="005D1E62">
        <w:rPr>
          <w:rFonts w:ascii="Arial" w:hAnsi="Arial" w:cs="Arial"/>
          <w:noProof/>
          <w:sz w:val="20"/>
          <w:szCs w:val="20"/>
        </w:rPr>
        <w:t xml:space="preserve"> </w:t>
      </w:r>
      <w:r w:rsidR="00845BD7" w:rsidRPr="005D1E62">
        <w:rPr>
          <w:rFonts w:ascii="Arial" w:hAnsi="Arial" w:cs="Arial"/>
          <w:noProof/>
          <w:sz w:val="20"/>
          <w:szCs w:val="20"/>
        </w:rPr>
        <w:t xml:space="preserve"> </w:t>
      </w:r>
    </w:p>
    <w:p w:rsidR="00396153" w:rsidRDefault="00D02E9C" w:rsidP="007E3248">
      <w:pPr>
        <w:pStyle w:val="Prrafodelista"/>
        <w:numPr>
          <w:ilvl w:val="0"/>
          <w:numId w:val="11"/>
        </w:numPr>
        <w:spacing w:before="240"/>
        <w:ind w:left="284" w:hanging="218"/>
        <w:contextualSpacing w:val="0"/>
        <w:jc w:val="both"/>
        <w:rPr>
          <w:rFonts w:ascii="Arial" w:hAnsi="Arial" w:cs="Arial"/>
          <w:noProof/>
          <w:sz w:val="20"/>
          <w:szCs w:val="20"/>
        </w:rPr>
      </w:pPr>
      <w:r w:rsidRPr="00DF7A34">
        <w:rPr>
          <w:rFonts w:ascii="Arial" w:hAnsi="Arial" w:cs="Arial"/>
          <w:noProof/>
          <w:sz w:val="20"/>
          <w:szCs w:val="20"/>
        </w:rPr>
        <w:t>E</w:t>
      </w:r>
      <w:r w:rsidR="0091187A">
        <w:rPr>
          <w:rFonts w:ascii="Arial" w:hAnsi="Arial" w:cs="Arial"/>
          <w:noProof/>
          <w:sz w:val="20"/>
          <w:szCs w:val="20"/>
        </w:rPr>
        <w:t>l resultado del mes</w:t>
      </w:r>
      <w:r w:rsidRPr="00DF7A34">
        <w:rPr>
          <w:rFonts w:ascii="Arial" w:hAnsi="Arial" w:cs="Arial"/>
          <w:noProof/>
          <w:sz w:val="20"/>
          <w:szCs w:val="20"/>
        </w:rPr>
        <w:t xml:space="preserve"> se </w:t>
      </w:r>
      <w:r w:rsidR="00E2123B">
        <w:rPr>
          <w:rFonts w:ascii="Arial" w:hAnsi="Arial" w:cs="Arial"/>
          <w:noProof/>
          <w:sz w:val="20"/>
          <w:szCs w:val="20"/>
        </w:rPr>
        <w:t xml:space="preserve">sustentó </w:t>
      </w:r>
      <w:r w:rsidRPr="00DF7A34">
        <w:rPr>
          <w:rFonts w:ascii="Arial" w:hAnsi="Arial" w:cs="Arial"/>
          <w:noProof/>
          <w:sz w:val="20"/>
          <w:szCs w:val="20"/>
        </w:rPr>
        <w:t xml:space="preserve"> principalmente </w:t>
      </w:r>
      <w:r w:rsidR="003621F6">
        <w:rPr>
          <w:rFonts w:ascii="Arial" w:hAnsi="Arial" w:cs="Arial"/>
          <w:noProof/>
          <w:sz w:val="20"/>
          <w:szCs w:val="20"/>
        </w:rPr>
        <w:t xml:space="preserve">en </w:t>
      </w:r>
      <w:r w:rsidRPr="00DF7A34">
        <w:rPr>
          <w:rFonts w:ascii="Arial" w:hAnsi="Arial" w:cs="Arial"/>
          <w:noProof/>
          <w:sz w:val="20"/>
          <w:szCs w:val="20"/>
        </w:rPr>
        <w:t>la mayor recaudación del Impuesto General a las Ventas (</w:t>
      </w:r>
      <w:r w:rsidR="00FF2119">
        <w:rPr>
          <w:rFonts w:ascii="Arial" w:hAnsi="Arial" w:cs="Arial"/>
          <w:noProof/>
          <w:sz w:val="20"/>
          <w:szCs w:val="20"/>
        </w:rPr>
        <w:t>5</w:t>
      </w:r>
      <w:r w:rsidRPr="00DF7A34">
        <w:rPr>
          <w:rFonts w:ascii="Arial" w:hAnsi="Arial" w:cs="Arial"/>
          <w:noProof/>
          <w:sz w:val="20"/>
          <w:szCs w:val="20"/>
        </w:rPr>
        <w:t>,5%)</w:t>
      </w:r>
      <w:r w:rsidR="00AF04BE">
        <w:rPr>
          <w:rFonts w:ascii="Arial" w:hAnsi="Arial" w:cs="Arial"/>
          <w:noProof/>
          <w:sz w:val="20"/>
          <w:szCs w:val="20"/>
        </w:rPr>
        <w:t xml:space="preserve"> y</w:t>
      </w:r>
      <w:r w:rsidRPr="00DF7A34">
        <w:rPr>
          <w:rFonts w:ascii="Arial" w:hAnsi="Arial" w:cs="Arial"/>
          <w:noProof/>
          <w:sz w:val="20"/>
          <w:szCs w:val="20"/>
        </w:rPr>
        <w:t xml:space="preserve"> el Impuesto Selectivo al Consumo (</w:t>
      </w:r>
      <w:r w:rsidR="00FF2119">
        <w:rPr>
          <w:rFonts w:ascii="Arial" w:hAnsi="Arial" w:cs="Arial"/>
          <w:noProof/>
          <w:sz w:val="20"/>
          <w:szCs w:val="20"/>
        </w:rPr>
        <w:t>44</w:t>
      </w:r>
      <w:r w:rsidRPr="00DF7A34">
        <w:rPr>
          <w:rFonts w:ascii="Arial" w:hAnsi="Arial" w:cs="Arial"/>
          <w:noProof/>
          <w:sz w:val="20"/>
          <w:szCs w:val="20"/>
        </w:rPr>
        <w:t>,</w:t>
      </w:r>
      <w:r w:rsidR="00FF2119">
        <w:rPr>
          <w:rFonts w:ascii="Arial" w:hAnsi="Arial" w:cs="Arial"/>
          <w:noProof/>
          <w:sz w:val="20"/>
          <w:szCs w:val="20"/>
        </w:rPr>
        <w:t>6</w:t>
      </w:r>
      <w:r w:rsidRPr="00DF7A34">
        <w:rPr>
          <w:rFonts w:ascii="Arial" w:hAnsi="Arial" w:cs="Arial"/>
          <w:noProof/>
          <w:sz w:val="20"/>
          <w:szCs w:val="20"/>
        </w:rPr>
        <w:t>%)</w:t>
      </w:r>
      <w:r w:rsidR="001E7E11">
        <w:rPr>
          <w:rFonts w:ascii="Arial" w:hAnsi="Arial" w:cs="Arial"/>
          <w:noProof/>
          <w:sz w:val="20"/>
          <w:szCs w:val="20"/>
        </w:rPr>
        <w:t>, impulsada por el desempeño positivo, aunque moderado, de la actividad económica y</w:t>
      </w:r>
      <w:r w:rsidR="001E7E11" w:rsidRPr="00DF7A34">
        <w:rPr>
          <w:rFonts w:ascii="Arial" w:hAnsi="Arial" w:cs="Arial"/>
          <w:sz w:val="20"/>
          <w:szCs w:val="20"/>
        </w:rPr>
        <w:t xml:space="preserve"> </w:t>
      </w:r>
      <w:r w:rsidR="001E7E11">
        <w:rPr>
          <w:rFonts w:ascii="Arial" w:hAnsi="Arial" w:cs="Arial"/>
          <w:noProof/>
          <w:sz w:val="20"/>
          <w:szCs w:val="20"/>
        </w:rPr>
        <w:t xml:space="preserve">principalmente por </w:t>
      </w:r>
      <w:r w:rsidR="00E2123B">
        <w:rPr>
          <w:rFonts w:ascii="Arial" w:hAnsi="Arial" w:cs="Arial"/>
          <w:noProof/>
          <w:sz w:val="20"/>
          <w:szCs w:val="20"/>
        </w:rPr>
        <w:t xml:space="preserve">las acciones de recuperación y cobranza de </w:t>
      </w:r>
      <w:r w:rsidR="002358DA">
        <w:rPr>
          <w:rFonts w:ascii="Arial" w:hAnsi="Arial" w:cs="Arial"/>
          <w:noProof/>
          <w:sz w:val="20"/>
          <w:szCs w:val="20"/>
        </w:rPr>
        <w:t xml:space="preserve">las </w:t>
      </w:r>
      <w:r w:rsidR="00E2123B">
        <w:rPr>
          <w:rFonts w:ascii="Arial" w:hAnsi="Arial" w:cs="Arial"/>
          <w:noProof/>
          <w:sz w:val="20"/>
          <w:szCs w:val="20"/>
        </w:rPr>
        <w:t xml:space="preserve">deudas </w:t>
      </w:r>
      <w:r w:rsidR="00A53D6F">
        <w:rPr>
          <w:rFonts w:ascii="Arial" w:hAnsi="Arial" w:cs="Arial"/>
          <w:noProof/>
          <w:sz w:val="20"/>
          <w:szCs w:val="20"/>
        </w:rPr>
        <w:t>en controversia</w:t>
      </w:r>
      <w:r w:rsidR="00AD2401">
        <w:rPr>
          <w:rFonts w:ascii="Arial" w:hAnsi="Arial" w:cs="Arial"/>
          <w:noProof/>
          <w:sz w:val="20"/>
          <w:szCs w:val="20"/>
        </w:rPr>
        <w:t>,</w:t>
      </w:r>
      <w:r w:rsidR="00A53D6F">
        <w:rPr>
          <w:rFonts w:ascii="Arial" w:hAnsi="Arial" w:cs="Arial"/>
          <w:noProof/>
          <w:sz w:val="20"/>
          <w:szCs w:val="20"/>
        </w:rPr>
        <w:t xml:space="preserve"> </w:t>
      </w:r>
      <w:r w:rsidR="00E2123B">
        <w:rPr>
          <w:rFonts w:ascii="Arial" w:hAnsi="Arial" w:cs="Arial"/>
          <w:noProof/>
          <w:sz w:val="20"/>
          <w:szCs w:val="20"/>
        </w:rPr>
        <w:t>producto de fallos favorables a la</w:t>
      </w:r>
      <w:r w:rsidR="00A53D6F">
        <w:rPr>
          <w:rFonts w:ascii="Arial" w:hAnsi="Arial" w:cs="Arial"/>
          <w:noProof/>
          <w:sz w:val="20"/>
          <w:szCs w:val="20"/>
        </w:rPr>
        <w:t xml:space="preserve"> SUNAT</w:t>
      </w:r>
      <w:r w:rsidR="00E2123B">
        <w:rPr>
          <w:rFonts w:ascii="Arial" w:hAnsi="Arial" w:cs="Arial"/>
          <w:noProof/>
          <w:sz w:val="20"/>
          <w:szCs w:val="20"/>
        </w:rPr>
        <w:t>.</w:t>
      </w:r>
    </w:p>
    <w:p w:rsidR="003531BB" w:rsidRDefault="00EF4BCC" w:rsidP="00E2123B">
      <w:pPr>
        <w:pStyle w:val="Prrafodelista"/>
        <w:numPr>
          <w:ilvl w:val="0"/>
          <w:numId w:val="11"/>
        </w:numPr>
        <w:spacing w:before="240"/>
        <w:ind w:left="284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Al</w:t>
      </w:r>
      <w:r w:rsidR="00E2123B">
        <w:rPr>
          <w:rFonts w:ascii="Arial" w:hAnsi="Arial" w:cs="Arial"/>
          <w:noProof/>
          <w:sz w:val="20"/>
          <w:szCs w:val="20"/>
        </w:rPr>
        <w:t xml:space="preserve"> igual que </w:t>
      </w:r>
      <w:r w:rsidR="00482419">
        <w:rPr>
          <w:rFonts w:ascii="Arial" w:hAnsi="Arial" w:cs="Arial"/>
          <w:noProof/>
          <w:sz w:val="20"/>
          <w:szCs w:val="20"/>
        </w:rPr>
        <w:t xml:space="preserve">el </w:t>
      </w:r>
      <w:r w:rsidR="00E2123B">
        <w:rPr>
          <w:rFonts w:ascii="Arial" w:hAnsi="Arial" w:cs="Arial"/>
          <w:noProof/>
          <w:sz w:val="20"/>
          <w:szCs w:val="20"/>
        </w:rPr>
        <w:t>mes anterior,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="00AD2401">
        <w:rPr>
          <w:rFonts w:ascii="Arial" w:hAnsi="Arial" w:cs="Arial"/>
          <w:noProof/>
          <w:sz w:val="20"/>
          <w:szCs w:val="20"/>
        </w:rPr>
        <w:t xml:space="preserve">se </w:t>
      </w:r>
      <w:r>
        <w:rPr>
          <w:rFonts w:ascii="Arial" w:hAnsi="Arial" w:cs="Arial"/>
          <w:noProof/>
          <w:sz w:val="20"/>
          <w:szCs w:val="20"/>
        </w:rPr>
        <w:t>debe mencionar</w:t>
      </w:r>
      <w:r w:rsidR="00E2123B">
        <w:rPr>
          <w:rFonts w:ascii="Arial" w:hAnsi="Arial" w:cs="Arial"/>
          <w:noProof/>
          <w:sz w:val="20"/>
          <w:szCs w:val="20"/>
        </w:rPr>
        <w:t xml:space="preserve"> la existencia de un </w:t>
      </w:r>
      <w:r w:rsidR="00612848" w:rsidRPr="0099640D">
        <w:rPr>
          <w:rFonts w:ascii="Arial" w:hAnsi="Arial" w:cs="Arial"/>
          <w:noProof/>
          <w:sz w:val="20"/>
          <w:szCs w:val="20"/>
        </w:rPr>
        <w:t xml:space="preserve">efecto </w:t>
      </w:r>
      <w:r w:rsidR="00E2123B">
        <w:rPr>
          <w:rFonts w:ascii="Arial" w:hAnsi="Arial" w:cs="Arial"/>
          <w:noProof/>
          <w:sz w:val="20"/>
          <w:szCs w:val="20"/>
        </w:rPr>
        <w:t xml:space="preserve">estadístico a favor debido </w:t>
      </w:r>
      <w:r w:rsidR="00AD2401">
        <w:rPr>
          <w:rFonts w:ascii="Arial" w:hAnsi="Arial" w:cs="Arial"/>
          <w:noProof/>
          <w:sz w:val="20"/>
          <w:szCs w:val="20"/>
        </w:rPr>
        <w:t>al aumento de la</w:t>
      </w:r>
      <w:r w:rsidR="00E2123B">
        <w:rPr>
          <w:rFonts w:ascii="Arial" w:hAnsi="Arial" w:cs="Arial"/>
          <w:noProof/>
          <w:sz w:val="20"/>
          <w:szCs w:val="20"/>
        </w:rPr>
        <w:t xml:space="preserve"> tasa </w:t>
      </w:r>
      <w:r w:rsidR="007439F9">
        <w:rPr>
          <w:rFonts w:ascii="Arial" w:hAnsi="Arial" w:cs="Arial"/>
          <w:noProof/>
          <w:sz w:val="20"/>
          <w:szCs w:val="20"/>
        </w:rPr>
        <w:t>de</w:t>
      </w:r>
      <w:r w:rsidR="00E2123B">
        <w:rPr>
          <w:rFonts w:ascii="Arial" w:hAnsi="Arial" w:cs="Arial"/>
          <w:noProof/>
          <w:sz w:val="20"/>
          <w:szCs w:val="20"/>
        </w:rPr>
        <w:t xml:space="preserve"> </w:t>
      </w:r>
      <w:r w:rsidR="00BE45A6" w:rsidRPr="0099640D">
        <w:rPr>
          <w:rFonts w:ascii="Arial" w:hAnsi="Arial" w:cs="Arial"/>
          <w:noProof/>
          <w:sz w:val="20"/>
          <w:szCs w:val="20"/>
        </w:rPr>
        <w:t xml:space="preserve">detracciones </w:t>
      </w:r>
      <w:r w:rsidR="00E2123B">
        <w:rPr>
          <w:rFonts w:ascii="Arial" w:hAnsi="Arial" w:cs="Arial"/>
          <w:noProof/>
          <w:sz w:val="20"/>
          <w:szCs w:val="20"/>
        </w:rPr>
        <w:t>al</w:t>
      </w:r>
      <w:r w:rsidR="00BE45A6" w:rsidRPr="0099640D">
        <w:rPr>
          <w:rFonts w:ascii="Arial" w:hAnsi="Arial" w:cs="Arial"/>
          <w:noProof/>
          <w:sz w:val="20"/>
          <w:szCs w:val="20"/>
        </w:rPr>
        <w:t xml:space="preserve"> sector servicios y </w:t>
      </w:r>
      <w:r w:rsidR="002358DA">
        <w:rPr>
          <w:rFonts w:ascii="Arial" w:hAnsi="Arial" w:cs="Arial"/>
          <w:noProof/>
          <w:sz w:val="20"/>
          <w:szCs w:val="20"/>
        </w:rPr>
        <w:t xml:space="preserve">a </w:t>
      </w:r>
      <w:r w:rsidR="00AD2401">
        <w:rPr>
          <w:rFonts w:ascii="Arial" w:hAnsi="Arial" w:cs="Arial"/>
          <w:noProof/>
          <w:sz w:val="20"/>
          <w:szCs w:val="20"/>
        </w:rPr>
        <w:t xml:space="preserve">la mayor tasa </w:t>
      </w:r>
      <w:r w:rsidR="007439F9">
        <w:rPr>
          <w:rFonts w:ascii="Arial" w:hAnsi="Arial" w:cs="Arial"/>
          <w:noProof/>
          <w:sz w:val="20"/>
          <w:szCs w:val="20"/>
        </w:rPr>
        <w:t xml:space="preserve">de ISC </w:t>
      </w:r>
      <w:r w:rsidR="00E2123B">
        <w:rPr>
          <w:rFonts w:ascii="Arial" w:hAnsi="Arial" w:cs="Arial"/>
          <w:noProof/>
          <w:sz w:val="20"/>
          <w:szCs w:val="20"/>
        </w:rPr>
        <w:t xml:space="preserve">a </w:t>
      </w:r>
      <w:r w:rsidR="007439F9">
        <w:rPr>
          <w:rFonts w:ascii="Arial" w:hAnsi="Arial" w:cs="Arial"/>
          <w:noProof/>
          <w:sz w:val="20"/>
          <w:szCs w:val="20"/>
        </w:rPr>
        <w:t>un grupo de prod</w:t>
      </w:r>
      <w:r w:rsidR="00E2123B">
        <w:rPr>
          <w:rFonts w:ascii="Arial" w:hAnsi="Arial" w:cs="Arial"/>
          <w:noProof/>
          <w:sz w:val="20"/>
          <w:szCs w:val="20"/>
        </w:rPr>
        <w:t>uctos gravados</w:t>
      </w:r>
      <w:r w:rsidR="0038169A">
        <w:rPr>
          <w:rFonts w:ascii="Arial" w:hAnsi="Arial" w:cs="Arial"/>
          <w:noProof/>
          <w:sz w:val="20"/>
          <w:szCs w:val="20"/>
        </w:rPr>
        <w:t>.</w:t>
      </w:r>
    </w:p>
    <w:p w:rsidR="002D2A94" w:rsidRPr="002D2A94" w:rsidRDefault="008F262A" w:rsidP="002D2A94">
      <w:pPr>
        <w:pStyle w:val="Prrafodelista"/>
        <w:numPr>
          <w:ilvl w:val="0"/>
          <w:numId w:val="11"/>
        </w:numPr>
        <w:spacing w:before="240"/>
        <w:ind w:left="284" w:hanging="218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esta manera, en el primer bimestre del año los ingresos tributarios</w:t>
      </w:r>
      <w:r w:rsidR="00415EA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netos de devoluciones</w:t>
      </w:r>
      <w:r w:rsidR="00415EA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415EA3">
        <w:rPr>
          <w:rFonts w:ascii="Arial" w:hAnsi="Arial" w:cs="Arial"/>
          <w:sz w:val="20"/>
          <w:szCs w:val="20"/>
        </w:rPr>
        <w:t>totalizaron</w:t>
      </w:r>
      <w:r>
        <w:rPr>
          <w:rFonts w:ascii="Arial" w:hAnsi="Arial" w:cs="Arial"/>
          <w:sz w:val="20"/>
          <w:szCs w:val="20"/>
        </w:rPr>
        <w:t xml:space="preserve"> S/. 18 343 millones, </w:t>
      </w:r>
      <w:r w:rsidR="00E57670" w:rsidRPr="002D2A94">
        <w:rPr>
          <w:rFonts w:ascii="Arial" w:hAnsi="Arial" w:cs="Arial"/>
          <w:kern w:val="24"/>
          <w:sz w:val="20"/>
          <w:szCs w:val="20"/>
        </w:rPr>
        <w:t>importe que representa S/ 2 078</w:t>
      </w:r>
      <w:r w:rsidR="00E57670" w:rsidRPr="002D2A94">
        <w:rPr>
          <w:rFonts w:ascii="Arial" w:hAnsi="Arial" w:cs="Arial"/>
          <w:bCs/>
          <w:kern w:val="24"/>
          <w:sz w:val="20"/>
          <w:szCs w:val="20"/>
        </w:rPr>
        <w:t xml:space="preserve"> </w:t>
      </w:r>
      <w:r w:rsidR="00E57670" w:rsidRPr="002D2A94">
        <w:rPr>
          <w:rFonts w:ascii="Arial" w:hAnsi="Arial" w:cs="Arial"/>
          <w:kern w:val="24"/>
          <w:sz w:val="20"/>
          <w:szCs w:val="20"/>
        </w:rPr>
        <w:t>millones más que similar periodo del 2018 y, en términos porcentuales, significa un crecimiento de 10.5</w:t>
      </w:r>
      <w:r w:rsidR="00E57670" w:rsidRPr="002D2A94">
        <w:rPr>
          <w:rFonts w:ascii="Arial" w:hAnsi="Arial" w:cs="Arial"/>
          <w:bCs/>
          <w:kern w:val="24"/>
          <w:sz w:val="20"/>
          <w:szCs w:val="20"/>
        </w:rPr>
        <w:t>%</w:t>
      </w:r>
      <w:r w:rsidR="002D2A94" w:rsidRPr="002D2A94" w:rsidDel="002D2A94">
        <w:rPr>
          <w:rFonts w:ascii="Arial" w:hAnsi="Arial" w:cs="Arial"/>
          <w:sz w:val="20"/>
          <w:szCs w:val="20"/>
        </w:rPr>
        <w:t xml:space="preserve"> </w:t>
      </w:r>
    </w:p>
    <w:p w:rsidR="002D2A94" w:rsidRPr="002D2A94" w:rsidRDefault="002D2A94" w:rsidP="002D2A94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3531BB" w:rsidRPr="00415EA3" w:rsidRDefault="00786C65" w:rsidP="002D2A94">
      <w:pPr>
        <w:pStyle w:val="Prrafodelista"/>
        <w:numPr>
          <w:ilvl w:val="0"/>
          <w:numId w:val="11"/>
        </w:numPr>
        <w:spacing w:before="240"/>
        <w:ind w:left="284" w:hanging="218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415EA3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297180</wp:posOffset>
            </wp:positionV>
            <wp:extent cx="4067175" cy="2371725"/>
            <wp:effectExtent l="0" t="0" r="0" b="0"/>
            <wp:wrapSquare wrapText="bothSides"/>
            <wp:docPr id="5" name="Gráfico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AD2401" w:rsidRPr="00415EA3">
        <w:rPr>
          <w:rFonts w:ascii="Arial" w:hAnsi="Arial" w:cs="Arial"/>
          <w:b/>
          <w:sz w:val="20"/>
          <w:szCs w:val="20"/>
        </w:rPr>
        <w:t>P</w:t>
      </w:r>
      <w:r w:rsidR="002F0C2F" w:rsidRPr="00415EA3">
        <w:rPr>
          <w:rFonts w:ascii="Arial" w:hAnsi="Arial" w:cs="Arial"/>
          <w:b/>
          <w:sz w:val="20"/>
          <w:szCs w:val="20"/>
        </w:rPr>
        <w:t>or tributos</w:t>
      </w:r>
      <w:r w:rsidR="001C75A8" w:rsidRPr="00415EA3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286BEB" w:rsidRDefault="00AD2401" w:rsidP="00B66EDE">
      <w:pPr>
        <w:spacing w:before="240"/>
        <w:ind w:left="284"/>
        <w:jc w:val="both"/>
        <w:rPr>
          <w:rFonts w:ascii="Arial" w:hAnsi="Arial" w:cs="Arial"/>
          <w:color w:val="000000"/>
          <w:kern w:val="24"/>
          <w:sz w:val="20"/>
          <w:szCs w:val="20"/>
          <w:lang w:val="es-ES"/>
        </w:rPr>
      </w:pPr>
      <w:r>
        <w:rPr>
          <w:rFonts w:ascii="Arial" w:hAnsi="Arial" w:cs="Arial"/>
          <w:color w:val="000000"/>
          <w:kern w:val="24"/>
          <w:sz w:val="20"/>
          <w:szCs w:val="20"/>
          <w:lang w:val="es-ES"/>
        </w:rPr>
        <w:t>En febrero, l</w:t>
      </w:r>
      <w:r w:rsidR="00D57CD9"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a </w:t>
      </w:r>
      <w:r w:rsidR="00D57CD9" w:rsidRPr="00714628">
        <w:rPr>
          <w:rFonts w:ascii="Arial" w:hAnsi="Arial" w:cs="Arial"/>
          <w:color w:val="000000"/>
          <w:kern w:val="24"/>
          <w:sz w:val="20"/>
          <w:szCs w:val="20"/>
        </w:rPr>
        <w:t>recaudación</w:t>
      </w:r>
      <w:r w:rsidR="00D57CD9"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por </w:t>
      </w:r>
      <w:r w:rsidR="00CA0333" w:rsidRPr="005A3F10">
        <w:rPr>
          <w:rFonts w:ascii="Arial" w:hAnsi="Arial" w:cs="Arial"/>
          <w:b/>
          <w:color w:val="000000"/>
          <w:kern w:val="24"/>
          <w:sz w:val="20"/>
          <w:szCs w:val="20"/>
          <w:lang w:val="es-ES"/>
        </w:rPr>
        <w:t>IGV</w:t>
      </w:r>
      <w:r w:rsidR="00D57CD9" w:rsidRPr="005A3F10">
        <w:rPr>
          <w:rFonts w:ascii="Arial" w:hAnsi="Arial" w:cs="Arial"/>
          <w:b/>
          <w:color w:val="000000"/>
          <w:kern w:val="24"/>
          <w:sz w:val="20"/>
          <w:szCs w:val="20"/>
          <w:lang w:val="es-ES"/>
        </w:rPr>
        <w:t xml:space="preserve"> </w:t>
      </w:r>
      <w:r w:rsidR="00D57CD9"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ascendió a S/ </w:t>
      </w:r>
      <w:r w:rsidR="00D77E48">
        <w:rPr>
          <w:rFonts w:ascii="Arial" w:hAnsi="Arial" w:cs="Arial"/>
          <w:color w:val="000000"/>
          <w:kern w:val="24"/>
          <w:sz w:val="20"/>
          <w:szCs w:val="20"/>
          <w:lang w:val="es-ES"/>
        </w:rPr>
        <w:t>4</w:t>
      </w:r>
      <w:r w:rsidR="00337B79"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</w:t>
      </w:r>
      <w:r w:rsidR="00D77E48">
        <w:rPr>
          <w:rFonts w:ascii="Arial" w:hAnsi="Arial" w:cs="Arial"/>
          <w:color w:val="000000"/>
          <w:kern w:val="24"/>
          <w:sz w:val="20"/>
          <w:szCs w:val="20"/>
          <w:lang w:val="es-ES"/>
        </w:rPr>
        <w:t>946</w:t>
      </w:r>
      <w:r w:rsidR="00337B79"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</w:t>
      </w:r>
      <w:r w:rsidR="00D57CD9"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millones registrando un incremento de </w:t>
      </w:r>
      <w:r w:rsidR="00D77E48">
        <w:rPr>
          <w:rFonts w:ascii="Arial" w:hAnsi="Arial" w:cs="Arial"/>
          <w:color w:val="000000"/>
          <w:kern w:val="24"/>
          <w:sz w:val="20"/>
          <w:szCs w:val="20"/>
          <w:lang w:val="es-ES"/>
        </w:rPr>
        <w:t>5</w:t>
      </w:r>
      <w:r w:rsidR="00D57CD9" w:rsidRPr="00714628">
        <w:rPr>
          <w:rFonts w:ascii="Arial" w:hAnsi="Arial" w:cs="Arial"/>
          <w:bCs/>
          <w:color w:val="000000"/>
          <w:kern w:val="24"/>
          <w:sz w:val="20"/>
          <w:szCs w:val="20"/>
          <w:lang w:val="es-ES"/>
        </w:rPr>
        <w:t>,</w:t>
      </w:r>
      <w:r w:rsidR="00337B79" w:rsidRPr="00714628">
        <w:rPr>
          <w:rFonts w:ascii="Arial" w:hAnsi="Arial" w:cs="Arial"/>
          <w:bCs/>
          <w:color w:val="000000"/>
          <w:kern w:val="24"/>
          <w:sz w:val="20"/>
          <w:szCs w:val="20"/>
          <w:lang w:val="es-ES"/>
        </w:rPr>
        <w:t>5</w:t>
      </w:r>
      <w:r w:rsidR="00D57CD9" w:rsidRPr="00714628">
        <w:rPr>
          <w:rFonts w:ascii="Arial" w:hAnsi="Arial" w:cs="Arial"/>
          <w:bCs/>
          <w:color w:val="000000"/>
          <w:kern w:val="24"/>
          <w:sz w:val="20"/>
          <w:szCs w:val="20"/>
          <w:lang w:val="es-ES"/>
        </w:rPr>
        <w:t>%</w:t>
      </w:r>
      <w:r w:rsidR="00D57CD9"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</w:t>
      </w:r>
      <w:r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y </w:t>
      </w:r>
      <w:r w:rsidR="00286BEB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que </w:t>
      </w:r>
      <w:r w:rsidR="00D57CD9"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significó </w:t>
      </w:r>
      <w:r w:rsidR="00B66EDE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una mayor </w:t>
      </w:r>
      <w:r w:rsidR="00D57CD9"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>recauda</w:t>
      </w:r>
      <w:r w:rsidR="00B66EDE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ción de </w:t>
      </w:r>
      <w:r w:rsidR="00D57CD9" w:rsidRPr="00714628">
        <w:rPr>
          <w:rFonts w:ascii="Arial" w:hAnsi="Arial" w:cs="Arial"/>
          <w:bCs/>
          <w:color w:val="000000"/>
          <w:kern w:val="24"/>
          <w:sz w:val="20"/>
          <w:szCs w:val="20"/>
          <w:lang w:val="es-ES"/>
        </w:rPr>
        <w:t xml:space="preserve">S/ </w:t>
      </w:r>
      <w:r w:rsidR="00D77E48">
        <w:rPr>
          <w:rFonts w:ascii="Arial" w:hAnsi="Arial" w:cs="Arial"/>
          <w:bCs/>
          <w:color w:val="000000"/>
          <w:kern w:val="24"/>
          <w:sz w:val="20"/>
          <w:szCs w:val="20"/>
          <w:lang w:val="es-ES"/>
        </w:rPr>
        <w:t>350</w:t>
      </w:r>
      <w:r w:rsidR="00D57CD9" w:rsidRPr="00714628">
        <w:rPr>
          <w:rFonts w:ascii="Arial" w:hAnsi="Arial" w:cs="Arial"/>
          <w:bCs/>
          <w:color w:val="000000"/>
          <w:kern w:val="24"/>
          <w:sz w:val="20"/>
          <w:szCs w:val="20"/>
          <w:lang w:val="es-ES"/>
        </w:rPr>
        <w:t xml:space="preserve"> </w:t>
      </w:r>
      <w:r w:rsidR="00D57CD9"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>millones</w:t>
      </w:r>
      <w:r>
        <w:rPr>
          <w:rFonts w:ascii="Arial" w:hAnsi="Arial" w:cs="Arial"/>
          <w:color w:val="000000"/>
          <w:kern w:val="24"/>
          <w:sz w:val="20"/>
          <w:szCs w:val="20"/>
          <w:lang w:val="es-ES"/>
        </w:rPr>
        <w:t>.</w:t>
      </w:r>
    </w:p>
    <w:p w:rsidR="00286BEB" w:rsidRPr="00714628" w:rsidRDefault="00286BEB" w:rsidP="00286BEB">
      <w:pPr>
        <w:spacing w:before="240"/>
        <w:ind w:left="284"/>
        <w:jc w:val="both"/>
        <w:rPr>
          <w:rFonts w:ascii="Arial" w:hAnsi="Arial" w:cs="Arial"/>
          <w:color w:val="000000"/>
          <w:kern w:val="24"/>
          <w:sz w:val="20"/>
          <w:szCs w:val="20"/>
          <w:lang w:val="es-ES"/>
        </w:rPr>
      </w:pPr>
      <w:r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A nivel de componentes, el IGV </w:t>
      </w:r>
      <w:r w:rsidR="00AD2401">
        <w:rPr>
          <w:rFonts w:ascii="Arial" w:hAnsi="Arial" w:cs="Arial"/>
          <w:color w:val="000000"/>
          <w:kern w:val="24"/>
          <w:sz w:val="20"/>
          <w:szCs w:val="20"/>
          <w:lang w:val="es-ES"/>
        </w:rPr>
        <w:t>I</w:t>
      </w:r>
      <w:r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nterno registró una recaudación de S/ </w:t>
      </w:r>
      <w:r>
        <w:rPr>
          <w:rFonts w:ascii="Arial" w:hAnsi="Arial" w:cs="Arial"/>
          <w:color w:val="000000"/>
          <w:kern w:val="24"/>
          <w:sz w:val="20"/>
          <w:szCs w:val="20"/>
          <w:lang w:val="es-ES"/>
        </w:rPr>
        <w:t>2</w:t>
      </w:r>
      <w:r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</w:t>
      </w:r>
      <w:r>
        <w:rPr>
          <w:rFonts w:ascii="Arial" w:hAnsi="Arial" w:cs="Arial"/>
          <w:color w:val="000000"/>
          <w:kern w:val="24"/>
          <w:sz w:val="20"/>
          <w:szCs w:val="20"/>
          <w:lang w:val="es-ES"/>
        </w:rPr>
        <w:t>946</w:t>
      </w:r>
      <w:r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millones (</w:t>
      </w:r>
      <w:r>
        <w:rPr>
          <w:rFonts w:ascii="Arial" w:hAnsi="Arial" w:cs="Arial"/>
          <w:color w:val="000000"/>
          <w:kern w:val="24"/>
          <w:sz w:val="20"/>
          <w:szCs w:val="20"/>
          <w:lang w:val="es-ES"/>
        </w:rPr>
        <w:t>5</w:t>
      </w:r>
      <w:r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>,</w:t>
      </w:r>
      <w:r>
        <w:rPr>
          <w:rFonts w:ascii="Arial" w:hAnsi="Arial" w:cs="Arial"/>
          <w:color w:val="000000"/>
          <w:kern w:val="24"/>
          <w:sz w:val="20"/>
          <w:szCs w:val="20"/>
          <w:lang w:val="es-ES"/>
        </w:rPr>
        <w:t>1</w:t>
      </w:r>
      <w:r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>%),</w:t>
      </w:r>
      <w:r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sustentado </w:t>
      </w:r>
      <w:r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en </w:t>
      </w:r>
      <w:r>
        <w:rPr>
          <w:rFonts w:ascii="Arial" w:hAnsi="Arial" w:cs="Arial"/>
          <w:color w:val="000000"/>
          <w:kern w:val="24"/>
          <w:sz w:val="20"/>
          <w:szCs w:val="20"/>
          <w:lang w:val="es-ES"/>
        </w:rPr>
        <w:t>una</w:t>
      </w:r>
      <w:r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</w:t>
      </w:r>
      <w:r w:rsidR="002358DA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mayor </w:t>
      </w:r>
      <w:r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demanda interna </w:t>
      </w:r>
      <w:r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que </w:t>
      </w:r>
      <w:r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habría </w:t>
      </w:r>
      <w:r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lastRenderedPageBreak/>
        <w:t xml:space="preserve">crecido alrededor de </w:t>
      </w:r>
      <w:r>
        <w:rPr>
          <w:rFonts w:ascii="Arial" w:hAnsi="Arial" w:cs="Arial"/>
          <w:color w:val="000000"/>
          <w:kern w:val="24"/>
          <w:sz w:val="20"/>
          <w:szCs w:val="20"/>
          <w:lang w:val="es-ES"/>
        </w:rPr>
        <w:t>2</w:t>
      </w:r>
      <w:r w:rsidRPr="005A3F10">
        <w:rPr>
          <w:rFonts w:ascii="Arial" w:hAnsi="Arial" w:cs="Arial"/>
          <w:color w:val="000000"/>
          <w:kern w:val="24"/>
          <w:sz w:val="20"/>
          <w:szCs w:val="20"/>
          <w:shd w:val="clear" w:color="auto" w:fill="FFFFFF" w:themeFill="background1"/>
          <w:lang w:val="es-ES"/>
        </w:rPr>
        <w:t>%, según estimados preliminares</w:t>
      </w:r>
      <w:r w:rsidR="002358DA" w:rsidRPr="005A3F10">
        <w:rPr>
          <w:rFonts w:ascii="Arial" w:hAnsi="Arial" w:cs="Arial"/>
          <w:color w:val="000000"/>
          <w:kern w:val="24"/>
          <w:sz w:val="20"/>
          <w:szCs w:val="20"/>
          <w:shd w:val="clear" w:color="auto" w:fill="FFFFFF" w:themeFill="background1"/>
          <w:lang w:val="es-ES"/>
        </w:rPr>
        <w:t xml:space="preserve">. A </w:t>
      </w:r>
      <w:r w:rsidR="00AD2401" w:rsidRPr="005A3F10">
        <w:rPr>
          <w:rFonts w:ascii="Arial" w:hAnsi="Arial" w:cs="Arial"/>
          <w:color w:val="000000"/>
          <w:kern w:val="24"/>
          <w:sz w:val="20"/>
          <w:szCs w:val="20"/>
          <w:shd w:val="clear" w:color="auto" w:fill="FFFFFF" w:themeFill="background1"/>
          <w:lang w:val="es-ES"/>
        </w:rPr>
        <w:t>ello</w:t>
      </w:r>
      <w:r w:rsidRPr="005A3F10">
        <w:rPr>
          <w:rFonts w:ascii="Arial" w:hAnsi="Arial" w:cs="Arial"/>
          <w:color w:val="000000"/>
          <w:kern w:val="24"/>
          <w:sz w:val="20"/>
          <w:szCs w:val="20"/>
          <w:shd w:val="clear" w:color="auto" w:fill="FFFFFF" w:themeFill="background1"/>
          <w:lang w:val="es-ES"/>
        </w:rPr>
        <w:t xml:space="preserve"> se suman </w:t>
      </w:r>
      <w:r w:rsidR="00786C65" w:rsidRPr="005A3F10">
        <w:rPr>
          <w:rFonts w:ascii="Arial" w:hAnsi="Arial" w:cs="Arial"/>
          <w:color w:val="000000"/>
          <w:kern w:val="24"/>
          <w:sz w:val="20"/>
          <w:szCs w:val="20"/>
          <w:shd w:val="clear" w:color="auto" w:fill="FFFFFF" w:themeFill="background1"/>
          <w:lang w:val="es-ES"/>
        </w:rPr>
        <w:t>los pag</w:t>
      </w:r>
      <w:r w:rsidR="00786C65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os extraordinarios de </w:t>
      </w:r>
      <w:r w:rsidR="00AD2401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una </w:t>
      </w:r>
      <w:r>
        <w:rPr>
          <w:rFonts w:ascii="Arial" w:hAnsi="Arial" w:cs="Arial"/>
          <w:color w:val="000000"/>
          <w:kern w:val="24"/>
          <w:sz w:val="20"/>
          <w:szCs w:val="20"/>
          <w:lang w:val="es-ES"/>
        </w:rPr>
        <w:t>empre</w:t>
      </w:r>
      <w:r w:rsidR="00786C65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sa del sector hidrocarburos por </w:t>
      </w:r>
      <w:r w:rsidR="00AD2401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un </w:t>
      </w:r>
      <w:r>
        <w:rPr>
          <w:rFonts w:ascii="Arial" w:hAnsi="Arial" w:cs="Arial"/>
          <w:color w:val="000000"/>
          <w:kern w:val="24"/>
          <w:sz w:val="20"/>
          <w:szCs w:val="20"/>
          <w:lang w:val="es-ES"/>
        </w:rPr>
        <w:t>fallo del Tribunal Fiscal</w:t>
      </w:r>
      <w:r w:rsidR="007439F9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favorable a la SUNAT.</w:t>
      </w:r>
      <w:r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</w:t>
      </w:r>
    </w:p>
    <w:p w:rsidR="00286BEB" w:rsidRPr="00F60B8D" w:rsidRDefault="00286BEB" w:rsidP="00286BEB">
      <w:pPr>
        <w:pStyle w:val="Prrafodelista"/>
        <w:spacing w:before="240"/>
        <w:ind w:left="284"/>
        <w:contextualSpacing w:val="0"/>
        <w:jc w:val="both"/>
        <w:rPr>
          <w:rFonts w:ascii="Arial" w:hAnsi="Arial" w:cs="Arial"/>
          <w:color w:val="000000"/>
          <w:kern w:val="24"/>
          <w:sz w:val="20"/>
          <w:szCs w:val="20"/>
          <w:lang w:val="es-ES"/>
        </w:rPr>
      </w:pPr>
      <w:r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Por su parte, el IGV Importaciones alcanzó los S/ 2 </w:t>
      </w:r>
      <w:r>
        <w:rPr>
          <w:rFonts w:ascii="Arial" w:hAnsi="Arial" w:cs="Arial"/>
          <w:color w:val="000000"/>
          <w:kern w:val="24"/>
          <w:sz w:val="20"/>
          <w:szCs w:val="20"/>
          <w:lang w:val="es-ES"/>
        </w:rPr>
        <w:t>000</w:t>
      </w:r>
      <w:r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millones y registró un aumento de </w:t>
      </w:r>
      <w:r>
        <w:rPr>
          <w:rFonts w:ascii="Arial" w:hAnsi="Arial" w:cs="Arial"/>
          <w:color w:val="000000"/>
          <w:kern w:val="24"/>
          <w:sz w:val="20"/>
          <w:szCs w:val="20"/>
          <w:lang w:val="es-ES"/>
        </w:rPr>
        <w:t>6</w:t>
      </w:r>
      <w:r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>,</w:t>
      </w:r>
      <w:r>
        <w:rPr>
          <w:rFonts w:ascii="Arial" w:hAnsi="Arial" w:cs="Arial"/>
          <w:color w:val="000000"/>
          <w:kern w:val="24"/>
          <w:sz w:val="20"/>
          <w:szCs w:val="20"/>
          <w:lang w:val="es-ES"/>
        </w:rPr>
        <w:t>0</w:t>
      </w:r>
      <w:r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% debido al </w:t>
      </w:r>
      <w:r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desempeño favorable que registraron las </w:t>
      </w:r>
      <w:r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>im</w:t>
      </w:r>
      <w:r w:rsidRPr="00714628">
        <w:rPr>
          <w:rFonts w:ascii="Arial" w:hAnsi="Arial" w:cs="Arial"/>
          <w:bCs/>
          <w:color w:val="000000"/>
          <w:kern w:val="24"/>
          <w:sz w:val="20"/>
          <w:szCs w:val="20"/>
          <w:lang w:val="es-ES"/>
        </w:rPr>
        <w:t>porta</w:t>
      </w:r>
      <w:r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>ciones CIF</w:t>
      </w:r>
      <w:r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</w:t>
      </w:r>
      <w:r w:rsidRPr="00A07FB5">
        <w:rPr>
          <w:rFonts w:ascii="Arial" w:hAnsi="Arial" w:cs="Arial"/>
          <w:color w:val="000000"/>
          <w:kern w:val="24"/>
          <w:sz w:val="20"/>
          <w:szCs w:val="20"/>
          <w:lang w:val="es-ES"/>
        </w:rPr>
        <w:t>(3,4%</w:t>
      </w:r>
      <w:r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>)</w:t>
      </w:r>
      <w:r w:rsidR="00AD2401">
        <w:rPr>
          <w:rFonts w:ascii="Arial" w:hAnsi="Arial" w:cs="Arial"/>
          <w:color w:val="000000"/>
          <w:kern w:val="24"/>
          <w:sz w:val="20"/>
          <w:szCs w:val="20"/>
          <w:lang w:val="es-ES"/>
        </w:rPr>
        <w:t>,</w:t>
      </w:r>
      <w:r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</w:t>
      </w:r>
      <w:r w:rsidR="007439F9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así como </w:t>
      </w:r>
      <w:r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el incremento del tipo </w:t>
      </w:r>
      <w:r w:rsidRPr="00273CE8">
        <w:rPr>
          <w:rFonts w:ascii="Arial" w:hAnsi="Arial" w:cs="Arial"/>
          <w:kern w:val="24"/>
          <w:sz w:val="20"/>
          <w:szCs w:val="20"/>
          <w:lang w:val="es-ES"/>
        </w:rPr>
        <w:t>d</w:t>
      </w:r>
      <w:r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e cambio </w:t>
      </w:r>
      <w:r w:rsidRPr="00F60B8D">
        <w:rPr>
          <w:rFonts w:ascii="Arial" w:hAnsi="Arial" w:cs="Arial"/>
          <w:color w:val="000000"/>
          <w:kern w:val="24"/>
          <w:sz w:val="20"/>
          <w:szCs w:val="20"/>
          <w:lang w:val="es-ES"/>
        </w:rPr>
        <w:t>(2,4%)</w:t>
      </w:r>
      <w:r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y los </w:t>
      </w:r>
      <w:r w:rsidRPr="00F60B8D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mayores pagos </w:t>
      </w:r>
      <w:r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correspondientes a </w:t>
      </w:r>
      <w:r w:rsidRPr="00F60B8D">
        <w:rPr>
          <w:rFonts w:ascii="Arial" w:hAnsi="Arial" w:cs="Arial"/>
          <w:color w:val="000000"/>
          <w:kern w:val="24"/>
          <w:sz w:val="20"/>
          <w:szCs w:val="20"/>
          <w:lang w:val="es-ES"/>
        </w:rPr>
        <w:t>im</w:t>
      </w:r>
      <w:r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>portaci</w:t>
      </w:r>
      <w:r w:rsidRPr="00F60B8D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ones </w:t>
      </w:r>
      <w:r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que fueron </w:t>
      </w:r>
      <w:r w:rsidRPr="00F60B8D">
        <w:rPr>
          <w:rFonts w:ascii="Arial" w:hAnsi="Arial" w:cs="Arial"/>
          <w:color w:val="000000"/>
          <w:kern w:val="24"/>
          <w:sz w:val="20"/>
          <w:szCs w:val="20"/>
          <w:lang w:val="es-ES"/>
        </w:rPr>
        <w:t>garantizadas</w:t>
      </w:r>
      <w:r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en enero.</w:t>
      </w:r>
    </w:p>
    <w:p w:rsidR="000A266D" w:rsidRPr="00DF7A34" w:rsidRDefault="00545AE4" w:rsidP="00E844E6">
      <w:pPr>
        <w:pStyle w:val="Prrafodelista"/>
        <w:numPr>
          <w:ilvl w:val="0"/>
          <w:numId w:val="11"/>
        </w:numPr>
        <w:spacing w:before="240"/>
        <w:ind w:left="284" w:hanging="218"/>
        <w:contextualSpacing w:val="0"/>
        <w:jc w:val="both"/>
        <w:rPr>
          <w:rFonts w:ascii="Arial" w:hAnsi="Arial" w:cs="Arial"/>
          <w:sz w:val="20"/>
          <w:szCs w:val="20"/>
        </w:rPr>
      </w:pPr>
      <w:bookmarkStart w:id="1" w:name="_Hlk535484836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18415</wp:posOffset>
            </wp:positionV>
            <wp:extent cx="4010025" cy="2324100"/>
            <wp:effectExtent l="0" t="0" r="0" b="0"/>
            <wp:wrapSquare wrapText="bothSides"/>
            <wp:docPr id="4" name="Gráfico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00227B"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La recaudación por concepto de </w:t>
      </w:r>
      <w:r w:rsidR="0000227B" w:rsidRPr="005A3F10">
        <w:rPr>
          <w:rFonts w:ascii="Arial" w:hAnsi="Arial" w:cs="Arial"/>
          <w:b/>
          <w:color w:val="000000"/>
          <w:kern w:val="24"/>
          <w:sz w:val="20"/>
          <w:szCs w:val="20"/>
          <w:lang w:val="es-ES"/>
        </w:rPr>
        <w:t>ISC</w:t>
      </w:r>
      <w:r w:rsidR="0000227B"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</w:t>
      </w:r>
      <w:r w:rsidR="0000227B" w:rsidRPr="00714628">
        <w:rPr>
          <w:rFonts w:ascii="Arial" w:hAnsi="Arial" w:cs="Arial"/>
          <w:color w:val="000000"/>
          <w:kern w:val="24"/>
          <w:sz w:val="20"/>
          <w:szCs w:val="20"/>
        </w:rPr>
        <w:t>sumó</w:t>
      </w:r>
      <w:r w:rsidR="0000227B"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</w:t>
      </w:r>
      <w:r w:rsidR="0000227B" w:rsidRPr="00714628">
        <w:rPr>
          <w:rFonts w:ascii="Arial" w:hAnsi="Arial" w:cs="Arial"/>
          <w:bCs/>
          <w:color w:val="000000"/>
          <w:kern w:val="24"/>
          <w:sz w:val="20"/>
          <w:szCs w:val="20"/>
          <w:lang w:val="es-ES"/>
        </w:rPr>
        <w:t xml:space="preserve">S/ </w:t>
      </w:r>
      <w:r w:rsidR="00947CB5">
        <w:rPr>
          <w:rFonts w:ascii="Arial" w:hAnsi="Arial" w:cs="Arial"/>
          <w:bCs/>
          <w:color w:val="000000"/>
          <w:kern w:val="24"/>
          <w:sz w:val="20"/>
          <w:szCs w:val="20"/>
          <w:lang w:val="es-ES"/>
        </w:rPr>
        <w:t>6</w:t>
      </w:r>
      <w:r w:rsidR="0000227B" w:rsidRPr="00714628">
        <w:rPr>
          <w:rFonts w:ascii="Arial" w:hAnsi="Arial" w:cs="Arial"/>
          <w:bCs/>
          <w:color w:val="000000"/>
          <w:kern w:val="24"/>
          <w:sz w:val="20"/>
          <w:szCs w:val="20"/>
          <w:lang w:val="es-ES"/>
        </w:rPr>
        <w:t>6</w:t>
      </w:r>
      <w:r w:rsidR="00947CB5">
        <w:rPr>
          <w:rFonts w:ascii="Arial" w:hAnsi="Arial" w:cs="Arial"/>
          <w:bCs/>
          <w:color w:val="000000"/>
          <w:kern w:val="24"/>
          <w:sz w:val="20"/>
          <w:szCs w:val="20"/>
          <w:lang w:val="es-ES"/>
        </w:rPr>
        <w:t>6</w:t>
      </w:r>
      <w:r w:rsidR="0000227B" w:rsidRPr="00714628">
        <w:rPr>
          <w:rFonts w:ascii="Arial" w:hAnsi="Arial" w:cs="Arial"/>
          <w:bCs/>
          <w:color w:val="000000"/>
          <w:kern w:val="24"/>
          <w:sz w:val="20"/>
          <w:szCs w:val="20"/>
          <w:lang w:val="es-ES"/>
        </w:rPr>
        <w:t xml:space="preserve"> millones</w:t>
      </w:r>
      <w:r w:rsidR="00B6272D" w:rsidRPr="00714628">
        <w:rPr>
          <w:rFonts w:ascii="Arial" w:hAnsi="Arial" w:cs="Arial"/>
          <w:bCs/>
          <w:color w:val="000000"/>
          <w:kern w:val="24"/>
          <w:sz w:val="20"/>
          <w:szCs w:val="20"/>
          <w:lang w:val="es-ES"/>
        </w:rPr>
        <w:t xml:space="preserve"> en </w:t>
      </w:r>
      <w:r w:rsidR="00F44429">
        <w:rPr>
          <w:rFonts w:ascii="Arial" w:hAnsi="Arial" w:cs="Arial"/>
          <w:bCs/>
          <w:color w:val="000000"/>
          <w:kern w:val="24"/>
          <w:sz w:val="20"/>
          <w:szCs w:val="20"/>
          <w:lang w:val="es-ES"/>
        </w:rPr>
        <w:t>febrero</w:t>
      </w:r>
      <w:r w:rsidR="0000227B"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lo que significó un crecimiento de </w:t>
      </w:r>
      <w:r w:rsidR="00947CB5">
        <w:rPr>
          <w:rFonts w:ascii="Arial" w:hAnsi="Arial" w:cs="Arial"/>
          <w:color w:val="000000"/>
          <w:kern w:val="24"/>
          <w:sz w:val="20"/>
          <w:szCs w:val="20"/>
          <w:lang w:val="es-ES"/>
        </w:rPr>
        <w:t>44</w:t>
      </w:r>
      <w:r w:rsidR="0000227B" w:rsidRPr="00714628">
        <w:rPr>
          <w:rFonts w:ascii="Arial" w:hAnsi="Arial" w:cs="Arial"/>
          <w:bCs/>
          <w:color w:val="000000"/>
          <w:kern w:val="24"/>
          <w:sz w:val="20"/>
          <w:szCs w:val="20"/>
          <w:lang w:val="es-ES"/>
        </w:rPr>
        <w:t>,</w:t>
      </w:r>
      <w:r w:rsidR="00947CB5">
        <w:rPr>
          <w:rFonts w:ascii="Arial" w:hAnsi="Arial" w:cs="Arial"/>
          <w:bCs/>
          <w:color w:val="000000"/>
          <w:kern w:val="24"/>
          <w:sz w:val="20"/>
          <w:szCs w:val="20"/>
          <w:lang w:val="es-ES"/>
        </w:rPr>
        <w:t>6</w:t>
      </w:r>
      <w:r w:rsidR="0000227B" w:rsidRPr="00714628">
        <w:rPr>
          <w:rFonts w:ascii="Arial" w:hAnsi="Arial" w:cs="Arial"/>
          <w:bCs/>
          <w:color w:val="000000"/>
          <w:kern w:val="24"/>
          <w:sz w:val="20"/>
          <w:szCs w:val="20"/>
          <w:lang w:val="es-ES"/>
        </w:rPr>
        <w:t>%</w:t>
      </w:r>
      <w:r w:rsidR="0000227B"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y una mayor recaudación de S/ </w:t>
      </w:r>
      <w:r w:rsidR="00947CB5">
        <w:rPr>
          <w:rFonts w:ascii="Arial" w:hAnsi="Arial" w:cs="Arial"/>
          <w:color w:val="000000"/>
          <w:kern w:val="24"/>
          <w:sz w:val="20"/>
          <w:szCs w:val="20"/>
          <w:lang w:val="es-ES"/>
        </w:rPr>
        <w:t>214</w:t>
      </w:r>
      <w:r w:rsidR="0000227B"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millones respecto de</w:t>
      </w:r>
      <w:r w:rsidR="00485E2E"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similar mes de </w:t>
      </w:r>
      <w:r w:rsidR="0000227B"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>201</w:t>
      </w:r>
      <w:r w:rsidR="00C74762"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>8</w:t>
      </w:r>
      <w:bookmarkEnd w:id="1"/>
      <w:r w:rsidR="0000227B"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>.</w:t>
      </w:r>
    </w:p>
    <w:p w:rsidR="00273CE8" w:rsidRPr="004A11AE" w:rsidRDefault="00286BEB" w:rsidP="00E844E6">
      <w:pPr>
        <w:pStyle w:val="Prrafodelista"/>
        <w:numPr>
          <w:ilvl w:val="0"/>
          <w:numId w:val="11"/>
        </w:numPr>
        <w:spacing w:before="240"/>
        <w:ind w:left="284" w:hanging="218"/>
        <w:contextualSpacing w:val="0"/>
        <w:jc w:val="both"/>
        <w:rPr>
          <w:rFonts w:ascii="Arial" w:hAnsi="Arial" w:cs="Arial"/>
          <w:color w:val="000000"/>
          <w:kern w:val="24"/>
          <w:sz w:val="20"/>
          <w:szCs w:val="20"/>
        </w:rPr>
      </w:pPr>
      <w:r w:rsidRPr="004A11AE">
        <w:rPr>
          <w:rFonts w:ascii="Arial" w:hAnsi="Arial" w:cs="Arial"/>
          <w:color w:val="000000"/>
          <w:kern w:val="24"/>
          <w:sz w:val="20"/>
          <w:szCs w:val="20"/>
        </w:rPr>
        <w:t xml:space="preserve">El incremento obtenido responde </w:t>
      </w:r>
      <w:r w:rsidR="00FD1FE0" w:rsidRPr="004A11AE">
        <w:rPr>
          <w:rFonts w:ascii="Arial" w:hAnsi="Arial" w:cs="Arial"/>
          <w:color w:val="000000"/>
          <w:kern w:val="24"/>
          <w:sz w:val="20"/>
          <w:szCs w:val="20"/>
        </w:rPr>
        <w:t xml:space="preserve">al </w:t>
      </w:r>
      <w:r w:rsidR="00AD2401">
        <w:rPr>
          <w:rFonts w:ascii="Arial" w:hAnsi="Arial" w:cs="Arial"/>
          <w:color w:val="000000"/>
          <w:kern w:val="24"/>
          <w:sz w:val="20"/>
          <w:szCs w:val="20"/>
        </w:rPr>
        <w:t>aumento</w:t>
      </w:r>
      <w:r w:rsidR="00FD1FE0" w:rsidRPr="004A11AE">
        <w:rPr>
          <w:rFonts w:ascii="Arial" w:hAnsi="Arial" w:cs="Arial"/>
          <w:color w:val="000000"/>
          <w:kern w:val="24"/>
          <w:sz w:val="20"/>
          <w:szCs w:val="20"/>
        </w:rPr>
        <w:t xml:space="preserve"> de </w:t>
      </w:r>
      <w:r w:rsidR="00D93042">
        <w:rPr>
          <w:rFonts w:ascii="Arial" w:hAnsi="Arial" w:cs="Arial"/>
          <w:color w:val="000000"/>
          <w:kern w:val="24"/>
          <w:sz w:val="20"/>
          <w:szCs w:val="20"/>
        </w:rPr>
        <w:t xml:space="preserve">las </w:t>
      </w:r>
      <w:r w:rsidR="00FD1FE0" w:rsidRPr="004A11AE">
        <w:rPr>
          <w:rFonts w:ascii="Arial" w:hAnsi="Arial" w:cs="Arial"/>
          <w:color w:val="000000"/>
          <w:kern w:val="24"/>
          <w:sz w:val="20"/>
          <w:szCs w:val="20"/>
        </w:rPr>
        <w:t xml:space="preserve">tasas impositivas vigente desde mayo </w:t>
      </w:r>
      <w:r w:rsidR="00AD2401">
        <w:rPr>
          <w:rFonts w:ascii="Arial" w:hAnsi="Arial" w:cs="Arial"/>
          <w:color w:val="000000"/>
          <w:kern w:val="24"/>
          <w:sz w:val="20"/>
          <w:szCs w:val="20"/>
        </w:rPr>
        <w:t xml:space="preserve">de </w:t>
      </w:r>
      <w:r w:rsidR="00FD1FE0" w:rsidRPr="004A11AE">
        <w:rPr>
          <w:rFonts w:ascii="Arial" w:hAnsi="Arial" w:cs="Arial"/>
          <w:color w:val="000000"/>
          <w:kern w:val="24"/>
          <w:sz w:val="20"/>
          <w:szCs w:val="20"/>
        </w:rPr>
        <w:t>2018, suma</w:t>
      </w:r>
      <w:r w:rsidR="00AD2401">
        <w:rPr>
          <w:rFonts w:ascii="Arial" w:hAnsi="Arial" w:cs="Arial"/>
          <w:color w:val="000000"/>
          <w:kern w:val="24"/>
          <w:sz w:val="20"/>
          <w:szCs w:val="20"/>
        </w:rPr>
        <w:t>do a</w:t>
      </w:r>
      <w:r w:rsidR="00FD1FE0" w:rsidRPr="004A11AE">
        <w:rPr>
          <w:rFonts w:ascii="Arial" w:hAnsi="Arial" w:cs="Arial"/>
          <w:color w:val="000000"/>
          <w:kern w:val="24"/>
          <w:sz w:val="20"/>
          <w:szCs w:val="20"/>
        </w:rPr>
        <w:t xml:space="preserve">l crecimiento estimado de la demanda interna </w:t>
      </w:r>
      <w:r w:rsidR="00A60120">
        <w:rPr>
          <w:rFonts w:ascii="Arial" w:hAnsi="Arial" w:cs="Arial"/>
          <w:color w:val="000000"/>
          <w:kern w:val="24"/>
          <w:sz w:val="20"/>
          <w:szCs w:val="20"/>
        </w:rPr>
        <w:t>mencionado anteriormente.</w:t>
      </w:r>
    </w:p>
    <w:p w:rsidR="00415EA3" w:rsidRPr="00415EA3" w:rsidRDefault="00415EA3" w:rsidP="00415EA3">
      <w:pPr>
        <w:spacing w:before="240"/>
        <w:ind w:left="360"/>
        <w:jc w:val="both"/>
        <w:rPr>
          <w:rFonts w:ascii="Arial" w:hAnsi="Arial" w:cs="Arial"/>
          <w:color w:val="000000"/>
          <w:kern w:val="24"/>
          <w:sz w:val="20"/>
          <w:szCs w:val="20"/>
          <w:lang w:val="es-ES"/>
        </w:rPr>
      </w:pPr>
      <w:r>
        <w:rPr>
          <w:noProof/>
          <w:lang w:eastAsia="es-P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406400</wp:posOffset>
            </wp:positionV>
            <wp:extent cx="4010025" cy="2000250"/>
            <wp:effectExtent l="0" t="0" r="0" b="0"/>
            <wp:wrapSquare wrapText="bothSides"/>
            <wp:docPr id="7" name="Gráfic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AA3EF7" w:rsidRDefault="00AD2401" w:rsidP="00415EA3">
      <w:pPr>
        <w:pStyle w:val="Prrafodelista"/>
        <w:numPr>
          <w:ilvl w:val="0"/>
          <w:numId w:val="11"/>
        </w:numPr>
        <w:spacing w:before="240"/>
        <w:ind w:left="284" w:hanging="218"/>
        <w:contextualSpacing w:val="0"/>
        <w:jc w:val="both"/>
        <w:rPr>
          <w:rFonts w:ascii="Arial" w:hAnsi="Arial" w:cs="Arial"/>
          <w:color w:val="000000"/>
          <w:kern w:val="24"/>
          <w:sz w:val="20"/>
          <w:szCs w:val="20"/>
          <w:lang w:val="es-ES"/>
        </w:rPr>
      </w:pPr>
      <w:r w:rsidRPr="00415EA3">
        <w:rPr>
          <w:rFonts w:ascii="Arial" w:hAnsi="Arial" w:cs="Arial"/>
          <w:color w:val="000000"/>
          <w:kern w:val="24"/>
          <w:sz w:val="20"/>
          <w:szCs w:val="20"/>
        </w:rPr>
        <w:t>Por I</w:t>
      </w:r>
      <w:r w:rsidR="00AA3EF7" w:rsidRPr="00415EA3">
        <w:rPr>
          <w:rFonts w:ascii="Arial" w:hAnsi="Arial" w:cs="Arial"/>
          <w:color w:val="000000"/>
          <w:kern w:val="24"/>
          <w:sz w:val="20"/>
          <w:szCs w:val="20"/>
        </w:rPr>
        <w:t>mpuesto a la Renta</w:t>
      </w:r>
      <w:r w:rsidR="008529F1" w:rsidRPr="00415EA3">
        <w:rPr>
          <w:rFonts w:ascii="Arial" w:hAnsi="Arial" w:cs="Arial"/>
          <w:color w:val="000000"/>
          <w:kern w:val="24"/>
          <w:sz w:val="20"/>
          <w:szCs w:val="20"/>
        </w:rPr>
        <w:t xml:space="preserve"> </w:t>
      </w:r>
      <w:r w:rsidR="008529F1" w:rsidRPr="00415EA3">
        <w:rPr>
          <w:rFonts w:ascii="Arial" w:hAnsi="Arial" w:cs="Arial"/>
          <w:b/>
          <w:color w:val="000000"/>
          <w:kern w:val="24"/>
          <w:sz w:val="20"/>
          <w:szCs w:val="20"/>
        </w:rPr>
        <w:t>(IR)</w:t>
      </w:r>
      <w:r w:rsidR="00AA3EF7" w:rsidRPr="00415EA3">
        <w:rPr>
          <w:rFonts w:ascii="Arial" w:hAnsi="Arial" w:cs="Arial"/>
          <w:color w:val="000000"/>
          <w:kern w:val="24"/>
          <w:sz w:val="20"/>
          <w:szCs w:val="20"/>
        </w:rPr>
        <w:t xml:space="preserve"> </w:t>
      </w:r>
      <w:r w:rsidRPr="00415EA3">
        <w:rPr>
          <w:rFonts w:ascii="Arial" w:hAnsi="Arial" w:cs="Arial"/>
          <w:color w:val="000000"/>
          <w:kern w:val="24"/>
          <w:sz w:val="20"/>
          <w:szCs w:val="20"/>
        </w:rPr>
        <w:t xml:space="preserve">se </w:t>
      </w:r>
      <w:r w:rsidR="00415EA3">
        <w:rPr>
          <w:rFonts w:ascii="Arial" w:hAnsi="Arial" w:cs="Arial"/>
          <w:color w:val="000000"/>
          <w:kern w:val="24"/>
          <w:sz w:val="20"/>
          <w:szCs w:val="20"/>
        </w:rPr>
        <w:t>r</w:t>
      </w:r>
      <w:r w:rsidR="00AA3EF7" w:rsidRPr="00415EA3">
        <w:rPr>
          <w:rFonts w:ascii="Arial" w:hAnsi="Arial" w:cs="Arial"/>
          <w:color w:val="000000"/>
          <w:kern w:val="24"/>
          <w:sz w:val="20"/>
          <w:szCs w:val="20"/>
        </w:rPr>
        <w:t>ecaudó S/ 3</w:t>
      </w:r>
      <w:r w:rsidR="00AA3EF7" w:rsidRPr="00415EA3">
        <w:rPr>
          <w:rFonts w:ascii="Arial" w:hAnsi="Arial" w:cs="Arial"/>
          <w:bCs/>
          <w:color w:val="000000"/>
          <w:kern w:val="24"/>
          <w:sz w:val="20"/>
          <w:szCs w:val="20"/>
        </w:rPr>
        <w:t xml:space="preserve"> 134 </w:t>
      </w:r>
      <w:r w:rsidR="00AA3EF7" w:rsidRPr="00415EA3">
        <w:rPr>
          <w:rFonts w:ascii="Arial" w:hAnsi="Arial" w:cs="Arial"/>
          <w:color w:val="000000"/>
          <w:kern w:val="24"/>
          <w:sz w:val="20"/>
          <w:szCs w:val="20"/>
        </w:rPr>
        <w:t>millones</w:t>
      </w:r>
      <w:r w:rsidR="00257DF2" w:rsidRPr="00415EA3">
        <w:rPr>
          <w:rFonts w:ascii="Arial" w:hAnsi="Arial" w:cs="Arial"/>
          <w:color w:val="000000"/>
          <w:kern w:val="24"/>
          <w:sz w:val="20"/>
          <w:szCs w:val="20"/>
        </w:rPr>
        <w:t xml:space="preserve"> en febrero</w:t>
      </w:r>
      <w:r w:rsidR="00AA3EF7" w:rsidRPr="00415EA3">
        <w:rPr>
          <w:rFonts w:ascii="Arial" w:hAnsi="Arial" w:cs="Arial"/>
          <w:color w:val="000000"/>
          <w:kern w:val="24"/>
          <w:sz w:val="20"/>
          <w:szCs w:val="20"/>
        </w:rPr>
        <w:t>, lo que</w:t>
      </w:r>
      <w:r w:rsidR="00AA3EF7" w:rsidRPr="00415EA3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significó una disminución de</w:t>
      </w:r>
      <w:r w:rsidR="00732D46" w:rsidRPr="00415EA3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</w:t>
      </w:r>
      <w:r w:rsidR="00AA3EF7" w:rsidRPr="00415EA3">
        <w:rPr>
          <w:rFonts w:ascii="Arial" w:hAnsi="Arial" w:cs="Arial"/>
          <w:bCs/>
          <w:color w:val="000000"/>
          <w:kern w:val="24"/>
          <w:sz w:val="20"/>
          <w:szCs w:val="20"/>
          <w:lang w:val="es-ES"/>
        </w:rPr>
        <w:t xml:space="preserve">S/ 26 </w:t>
      </w:r>
      <w:r w:rsidR="00AA3EF7" w:rsidRPr="00415EA3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millones </w:t>
      </w:r>
      <w:r w:rsidR="006464DC" w:rsidRPr="00415EA3">
        <w:rPr>
          <w:rFonts w:ascii="Arial" w:hAnsi="Arial" w:cs="Arial"/>
          <w:color w:val="000000"/>
          <w:kern w:val="24"/>
          <w:sz w:val="20"/>
          <w:szCs w:val="20"/>
          <w:lang w:val="es-ES"/>
        </w:rPr>
        <w:t>(-</w:t>
      </w:r>
      <w:r w:rsidR="006464DC" w:rsidRPr="00415EA3">
        <w:rPr>
          <w:rFonts w:ascii="Arial" w:hAnsi="Arial" w:cs="Arial"/>
          <w:bCs/>
          <w:color w:val="000000"/>
          <w:kern w:val="24"/>
          <w:sz w:val="20"/>
          <w:szCs w:val="20"/>
          <w:lang w:val="es-ES"/>
        </w:rPr>
        <w:t xml:space="preserve">2,8%) </w:t>
      </w:r>
      <w:r w:rsidR="00AA3EF7" w:rsidRPr="00415EA3">
        <w:rPr>
          <w:rFonts w:ascii="Arial" w:hAnsi="Arial" w:cs="Arial"/>
          <w:color w:val="000000"/>
          <w:kern w:val="24"/>
          <w:sz w:val="20"/>
          <w:szCs w:val="20"/>
          <w:lang w:val="es-ES"/>
        </w:rPr>
        <w:t>con respecto a similar mes de</w:t>
      </w:r>
      <w:r w:rsidR="00D93042" w:rsidRPr="00415EA3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</w:t>
      </w:r>
      <w:r w:rsidR="00AA3EF7" w:rsidRPr="00415EA3">
        <w:rPr>
          <w:rFonts w:ascii="Arial" w:hAnsi="Arial" w:cs="Arial"/>
          <w:color w:val="000000"/>
          <w:kern w:val="24"/>
          <w:sz w:val="20"/>
          <w:szCs w:val="20"/>
          <w:lang w:val="es-ES"/>
        </w:rPr>
        <w:t>2018</w:t>
      </w:r>
      <w:r w:rsidR="0035358E" w:rsidRPr="00415EA3">
        <w:rPr>
          <w:rFonts w:ascii="Arial" w:hAnsi="Arial" w:cs="Arial"/>
          <w:color w:val="000000"/>
          <w:kern w:val="24"/>
          <w:sz w:val="20"/>
          <w:szCs w:val="20"/>
          <w:lang w:val="es-ES"/>
        </w:rPr>
        <w:t>.</w:t>
      </w:r>
      <w:r w:rsidR="00415EA3" w:rsidRPr="00415EA3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</w:t>
      </w:r>
      <w:r w:rsidR="00415EA3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A </w:t>
      </w:r>
      <w:r w:rsidR="00550A59" w:rsidRPr="00415EA3">
        <w:rPr>
          <w:rFonts w:ascii="Arial" w:hAnsi="Arial" w:cs="Arial"/>
          <w:color w:val="000000"/>
          <w:kern w:val="24"/>
          <w:sz w:val="20"/>
          <w:szCs w:val="20"/>
        </w:rPr>
        <w:t>nivel de componentes</w:t>
      </w:r>
      <w:r w:rsidR="00786C65" w:rsidRPr="00415EA3">
        <w:rPr>
          <w:rFonts w:ascii="Arial" w:hAnsi="Arial" w:cs="Arial"/>
          <w:color w:val="000000"/>
          <w:kern w:val="24"/>
          <w:sz w:val="20"/>
          <w:szCs w:val="20"/>
        </w:rPr>
        <w:t>,</w:t>
      </w:r>
      <w:r w:rsidR="00550A59" w:rsidRPr="00415EA3">
        <w:rPr>
          <w:rFonts w:ascii="Arial" w:hAnsi="Arial" w:cs="Arial"/>
          <w:color w:val="000000"/>
          <w:kern w:val="24"/>
          <w:sz w:val="20"/>
          <w:szCs w:val="20"/>
        </w:rPr>
        <w:t xml:space="preserve"> se registró </w:t>
      </w:r>
      <w:r w:rsidR="0035358E" w:rsidRPr="00415EA3">
        <w:rPr>
          <w:rFonts w:ascii="Arial" w:hAnsi="Arial" w:cs="Arial"/>
          <w:color w:val="000000"/>
          <w:kern w:val="24"/>
          <w:sz w:val="20"/>
          <w:szCs w:val="20"/>
        </w:rPr>
        <w:t xml:space="preserve">una caída </w:t>
      </w:r>
      <w:r w:rsidR="00AA3EF7" w:rsidRPr="00415EA3">
        <w:rPr>
          <w:rFonts w:ascii="Arial" w:hAnsi="Arial" w:cs="Arial"/>
          <w:color w:val="000000"/>
          <w:kern w:val="24"/>
          <w:sz w:val="20"/>
          <w:szCs w:val="20"/>
        </w:rPr>
        <w:t>en</w:t>
      </w:r>
      <w:r w:rsidR="00AA3EF7" w:rsidRPr="00415EA3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</w:t>
      </w:r>
      <w:r w:rsidR="0035358E" w:rsidRPr="00415EA3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la recaudación de </w:t>
      </w:r>
      <w:r w:rsidR="00AA3EF7" w:rsidRPr="00415EA3">
        <w:rPr>
          <w:rFonts w:ascii="Arial" w:hAnsi="Arial" w:cs="Arial"/>
          <w:color w:val="000000"/>
          <w:kern w:val="24"/>
          <w:sz w:val="20"/>
          <w:szCs w:val="20"/>
          <w:lang w:val="es-ES"/>
        </w:rPr>
        <w:t>No Domiciliados (</w:t>
      </w:r>
      <w:r w:rsidR="00786C65" w:rsidRPr="00415EA3">
        <w:rPr>
          <w:rFonts w:ascii="Arial" w:hAnsi="Arial" w:cs="Arial"/>
          <w:color w:val="000000"/>
          <w:kern w:val="24"/>
          <w:sz w:val="20"/>
          <w:szCs w:val="20"/>
          <w:lang w:val="es-ES"/>
        </w:rPr>
        <w:t>-</w:t>
      </w:r>
      <w:r w:rsidR="00AA3EF7" w:rsidRPr="00415EA3">
        <w:rPr>
          <w:rFonts w:ascii="Arial" w:hAnsi="Arial" w:cs="Arial"/>
          <w:color w:val="000000"/>
          <w:kern w:val="24"/>
          <w:sz w:val="20"/>
          <w:szCs w:val="20"/>
          <w:lang w:val="es-ES"/>
        </w:rPr>
        <w:t>37,6%), Regularización (</w:t>
      </w:r>
      <w:r w:rsidR="00786C65" w:rsidRPr="00415EA3">
        <w:rPr>
          <w:rFonts w:ascii="Arial" w:hAnsi="Arial" w:cs="Arial"/>
          <w:color w:val="000000"/>
          <w:kern w:val="24"/>
          <w:sz w:val="20"/>
          <w:szCs w:val="20"/>
          <w:lang w:val="es-ES"/>
        </w:rPr>
        <w:t>-</w:t>
      </w:r>
      <w:r w:rsidR="00AA3EF7" w:rsidRPr="00415EA3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52,3%) y </w:t>
      </w:r>
      <w:r w:rsidR="004A11AE" w:rsidRPr="00415EA3">
        <w:rPr>
          <w:rFonts w:ascii="Arial" w:hAnsi="Arial" w:cs="Arial"/>
          <w:color w:val="000000"/>
          <w:kern w:val="24"/>
          <w:sz w:val="20"/>
          <w:szCs w:val="20"/>
          <w:lang w:val="es-ES"/>
        </w:rPr>
        <w:t>P</w:t>
      </w:r>
      <w:r w:rsidR="00AA3EF7" w:rsidRPr="00415EA3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agos a </w:t>
      </w:r>
      <w:r w:rsidR="004A11AE" w:rsidRPr="00415EA3">
        <w:rPr>
          <w:rFonts w:ascii="Arial" w:hAnsi="Arial" w:cs="Arial"/>
          <w:color w:val="000000"/>
          <w:kern w:val="24"/>
          <w:sz w:val="20"/>
          <w:szCs w:val="20"/>
          <w:lang w:val="es-ES"/>
        </w:rPr>
        <w:t>C</w:t>
      </w:r>
      <w:r w:rsidR="00AA3EF7" w:rsidRPr="00415EA3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uenta del </w:t>
      </w:r>
      <w:r w:rsidR="004A11AE" w:rsidRPr="00415EA3">
        <w:rPr>
          <w:rFonts w:ascii="Arial" w:hAnsi="Arial" w:cs="Arial"/>
          <w:color w:val="000000"/>
          <w:kern w:val="24"/>
          <w:sz w:val="20"/>
          <w:szCs w:val="20"/>
          <w:lang w:val="es-ES"/>
        </w:rPr>
        <w:t>R</w:t>
      </w:r>
      <w:r w:rsidR="00AA3EF7" w:rsidRPr="00415EA3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égimen </w:t>
      </w:r>
      <w:r w:rsidR="004A11AE" w:rsidRPr="00415EA3">
        <w:rPr>
          <w:rFonts w:ascii="Arial" w:hAnsi="Arial" w:cs="Arial"/>
          <w:color w:val="000000"/>
          <w:kern w:val="24"/>
          <w:sz w:val="20"/>
          <w:szCs w:val="20"/>
          <w:lang w:val="es-ES"/>
        </w:rPr>
        <w:t>G</w:t>
      </w:r>
      <w:r w:rsidR="00AA3EF7" w:rsidRPr="00415EA3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eneral y </w:t>
      </w:r>
      <w:r w:rsidR="0094357D" w:rsidRPr="00415EA3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Régimen </w:t>
      </w:r>
      <w:r w:rsidR="00AA3EF7" w:rsidRPr="00415EA3">
        <w:rPr>
          <w:rFonts w:ascii="Arial" w:hAnsi="Arial" w:cs="Arial"/>
          <w:color w:val="000000"/>
          <w:kern w:val="24"/>
          <w:sz w:val="20"/>
          <w:szCs w:val="20"/>
          <w:lang w:val="es-ES"/>
        </w:rPr>
        <w:t>M</w:t>
      </w:r>
      <w:r w:rsidRPr="00415EA3">
        <w:rPr>
          <w:rFonts w:ascii="Arial" w:hAnsi="Arial" w:cs="Arial"/>
          <w:color w:val="000000"/>
          <w:kern w:val="24"/>
          <w:sz w:val="20"/>
          <w:szCs w:val="20"/>
          <w:lang w:val="es-ES"/>
        </w:rPr>
        <w:t>YPE</w:t>
      </w:r>
      <w:r w:rsidR="00AA3EF7" w:rsidRPr="00415EA3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</w:t>
      </w:r>
      <w:r w:rsidR="0094357D" w:rsidRPr="00415EA3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Tributario </w:t>
      </w:r>
      <w:r w:rsidR="00AA3EF7" w:rsidRPr="00415EA3">
        <w:rPr>
          <w:rFonts w:ascii="Arial" w:hAnsi="Arial" w:cs="Arial"/>
          <w:color w:val="000000"/>
          <w:kern w:val="24"/>
          <w:sz w:val="20"/>
          <w:szCs w:val="20"/>
          <w:lang w:val="es-ES"/>
        </w:rPr>
        <w:t>(-</w:t>
      </w:r>
      <w:r w:rsidR="00E30404" w:rsidRPr="00415EA3">
        <w:rPr>
          <w:rFonts w:ascii="Arial" w:hAnsi="Arial" w:cs="Arial"/>
          <w:color w:val="000000"/>
          <w:kern w:val="24"/>
          <w:sz w:val="20"/>
          <w:szCs w:val="20"/>
          <w:lang w:val="es-ES"/>
        </w:rPr>
        <w:t>0,6</w:t>
      </w:r>
      <w:r w:rsidR="00AA3EF7" w:rsidRPr="00415EA3">
        <w:rPr>
          <w:rFonts w:ascii="Arial" w:hAnsi="Arial" w:cs="Arial"/>
          <w:color w:val="000000"/>
          <w:kern w:val="24"/>
          <w:sz w:val="20"/>
          <w:szCs w:val="20"/>
          <w:lang w:val="es-ES"/>
        </w:rPr>
        <w:t>%)</w:t>
      </w:r>
      <w:r w:rsidRPr="00415EA3">
        <w:rPr>
          <w:rFonts w:ascii="Arial" w:hAnsi="Arial" w:cs="Arial"/>
          <w:color w:val="000000"/>
          <w:kern w:val="24"/>
          <w:sz w:val="20"/>
          <w:szCs w:val="20"/>
          <w:lang w:val="es-ES"/>
        </w:rPr>
        <w:t>,</w:t>
      </w:r>
      <w:r w:rsidR="00AA3EF7" w:rsidRPr="00415EA3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atenuado por </w:t>
      </w:r>
      <w:r w:rsidR="00550A59" w:rsidRPr="00415EA3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el incremento </w:t>
      </w:r>
      <w:r w:rsidR="00AA3EF7" w:rsidRPr="00415EA3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de Quinta Categoría (12,7%). </w:t>
      </w:r>
    </w:p>
    <w:p w:rsidR="00AA3EF7" w:rsidRPr="00714628" w:rsidRDefault="00AA3EF7" w:rsidP="00AA3EF7">
      <w:pPr>
        <w:spacing w:before="240"/>
        <w:ind w:left="284"/>
        <w:jc w:val="both"/>
        <w:rPr>
          <w:rFonts w:ascii="Arial" w:hAnsi="Arial" w:cs="Arial"/>
          <w:color w:val="000000"/>
          <w:kern w:val="24"/>
          <w:sz w:val="20"/>
          <w:szCs w:val="20"/>
          <w:lang w:val="es-ES"/>
        </w:rPr>
      </w:pPr>
      <w:r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>Cabe precisar que</w:t>
      </w:r>
      <w:r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los menores pagos del </w:t>
      </w:r>
      <w:r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IR </w:t>
      </w:r>
      <w:r w:rsidR="0035358E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de </w:t>
      </w:r>
      <w:r>
        <w:rPr>
          <w:rFonts w:ascii="Arial" w:hAnsi="Arial" w:cs="Arial"/>
          <w:color w:val="000000"/>
          <w:kern w:val="24"/>
          <w:sz w:val="20"/>
          <w:szCs w:val="20"/>
          <w:lang w:val="es-ES"/>
        </w:rPr>
        <w:t>No Domiciliados está</w:t>
      </w:r>
      <w:r w:rsidR="00415EA3">
        <w:rPr>
          <w:rFonts w:ascii="Arial" w:hAnsi="Arial" w:cs="Arial"/>
          <w:color w:val="000000"/>
          <w:kern w:val="24"/>
          <w:sz w:val="20"/>
          <w:szCs w:val="20"/>
          <w:lang w:val="es-ES"/>
        </w:rPr>
        <w:t>n</w:t>
      </w:r>
      <w:r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asociado</w:t>
      </w:r>
      <w:r w:rsidR="00415EA3">
        <w:rPr>
          <w:rFonts w:ascii="Arial" w:hAnsi="Arial" w:cs="Arial"/>
          <w:color w:val="000000"/>
          <w:kern w:val="24"/>
          <w:sz w:val="20"/>
          <w:szCs w:val="20"/>
          <w:lang w:val="es-ES"/>
        </w:rPr>
        <w:t>s</w:t>
      </w:r>
      <w:r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a la implementación de nuevas disposiciones normativas</w:t>
      </w:r>
      <w:r w:rsidRPr="00714628">
        <w:rPr>
          <w:rStyle w:val="Refdenotaalpie"/>
          <w:rFonts w:ascii="Arial" w:hAnsi="Arial" w:cs="Arial"/>
          <w:color w:val="000000"/>
          <w:kern w:val="24"/>
          <w:sz w:val="20"/>
          <w:szCs w:val="20"/>
          <w:lang w:val="es-ES"/>
        </w:rPr>
        <w:footnoteReference w:id="3"/>
      </w:r>
      <w:r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que modificaron los criterios para el pago de los tributos retenidos por este concepto</w:t>
      </w:r>
      <w:r w:rsidR="00E57670">
        <w:rPr>
          <w:rFonts w:ascii="Arial" w:hAnsi="Arial" w:cs="Arial"/>
          <w:color w:val="000000"/>
          <w:kern w:val="24"/>
          <w:sz w:val="20"/>
          <w:szCs w:val="20"/>
          <w:lang w:val="es-ES"/>
        </w:rPr>
        <w:t>.</w:t>
      </w:r>
      <w:r w:rsidR="002D2A94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</w:t>
      </w:r>
      <w:r w:rsidR="00E57670">
        <w:rPr>
          <w:rFonts w:ascii="Arial" w:hAnsi="Arial" w:cs="Arial"/>
          <w:color w:val="000000"/>
          <w:kern w:val="24"/>
          <w:sz w:val="20"/>
          <w:szCs w:val="20"/>
          <w:lang w:val="es-ES"/>
        </w:rPr>
        <w:t>E</w:t>
      </w:r>
      <w:r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n el caso de </w:t>
      </w:r>
      <w:r w:rsidR="00E57670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los menores ingresos por </w:t>
      </w:r>
      <w:r w:rsidR="00645069">
        <w:rPr>
          <w:rFonts w:ascii="Arial" w:hAnsi="Arial" w:cs="Arial"/>
          <w:color w:val="000000"/>
          <w:kern w:val="24"/>
          <w:sz w:val="20"/>
          <w:szCs w:val="20"/>
          <w:lang w:val="es-ES"/>
        </w:rPr>
        <w:t>R</w:t>
      </w:r>
      <w:r>
        <w:rPr>
          <w:rFonts w:ascii="Arial" w:hAnsi="Arial" w:cs="Arial"/>
          <w:color w:val="000000"/>
          <w:kern w:val="24"/>
          <w:sz w:val="20"/>
          <w:szCs w:val="20"/>
          <w:lang w:val="es-ES"/>
        </w:rPr>
        <w:t>egularización</w:t>
      </w:r>
      <w:r w:rsidR="00E57670">
        <w:rPr>
          <w:rFonts w:ascii="Arial" w:hAnsi="Arial" w:cs="Arial"/>
          <w:color w:val="000000"/>
          <w:kern w:val="24"/>
          <w:sz w:val="20"/>
          <w:szCs w:val="20"/>
          <w:lang w:val="es-ES"/>
        </w:rPr>
        <w:t>,</w:t>
      </w:r>
      <w:r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corresponde principalmente a un efecto estadístico ya que el año anterior </w:t>
      </w:r>
      <w:r w:rsidR="00645069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se </w:t>
      </w:r>
      <w:r>
        <w:rPr>
          <w:rFonts w:ascii="Arial" w:hAnsi="Arial" w:cs="Arial"/>
          <w:color w:val="000000"/>
          <w:kern w:val="24"/>
          <w:sz w:val="20"/>
          <w:szCs w:val="20"/>
          <w:lang w:val="es-ES"/>
        </w:rPr>
        <w:t>registr</w:t>
      </w:r>
      <w:r w:rsidR="00645069">
        <w:rPr>
          <w:rFonts w:ascii="Arial" w:hAnsi="Arial" w:cs="Arial"/>
          <w:color w:val="000000"/>
          <w:kern w:val="24"/>
          <w:sz w:val="20"/>
          <w:szCs w:val="20"/>
          <w:lang w:val="es-ES"/>
        </w:rPr>
        <w:t>aron</w:t>
      </w:r>
      <w:r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mayores pagos</w:t>
      </w:r>
      <w:r w:rsidR="002D2A94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</w:t>
      </w:r>
      <w:r>
        <w:rPr>
          <w:rFonts w:ascii="Arial" w:hAnsi="Arial" w:cs="Arial"/>
          <w:color w:val="000000"/>
          <w:kern w:val="24"/>
          <w:sz w:val="20"/>
          <w:szCs w:val="20"/>
          <w:lang w:val="es-ES"/>
        </w:rPr>
        <w:t>adelantados</w:t>
      </w:r>
      <w:r w:rsidR="002D2A94">
        <w:rPr>
          <w:rFonts w:ascii="Arial" w:hAnsi="Arial" w:cs="Arial"/>
          <w:color w:val="000000"/>
          <w:kern w:val="24"/>
          <w:sz w:val="20"/>
          <w:szCs w:val="20"/>
          <w:lang w:val="es-ES"/>
        </w:rPr>
        <w:t>,</w:t>
      </w:r>
      <w:r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</w:t>
      </w:r>
      <w:r w:rsidR="00645069">
        <w:rPr>
          <w:rFonts w:ascii="Arial" w:hAnsi="Arial" w:cs="Arial"/>
          <w:color w:val="000000"/>
          <w:kern w:val="24"/>
          <w:sz w:val="20"/>
          <w:szCs w:val="20"/>
          <w:lang w:val="es-ES"/>
        </w:rPr>
        <w:t>así como</w:t>
      </w:r>
      <w:r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la regularización de un grupo de contribuyentes acogidos al régimen de </w:t>
      </w:r>
      <w:r w:rsidR="00094711">
        <w:rPr>
          <w:rFonts w:ascii="Arial" w:hAnsi="Arial" w:cs="Arial"/>
          <w:color w:val="000000"/>
          <w:kern w:val="24"/>
          <w:sz w:val="20"/>
          <w:szCs w:val="20"/>
          <w:lang w:val="es-ES"/>
        </w:rPr>
        <w:t>R</w:t>
      </w:r>
      <w:r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epatriación de </w:t>
      </w:r>
      <w:r w:rsidR="00094711">
        <w:rPr>
          <w:rFonts w:ascii="Arial" w:hAnsi="Arial" w:cs="Arial"/>
          <w:color w:val="000000"/>
          <w:kern w:val="24"/>
          <w:sz w:val="20"/>
          <w:szCs w:val="20"/>
          <w:lang w:val="es-ES"/>
        </w:rPr>
        <w:t>C</w:t>
      </w:r>
      <w:r>
        <w:rPr>
          <w:rFonts w:ascii="Arial" w:hAnsi="Arial" w:cs="Arial"/>
          <w:color w:val="000000"/>
          <w:kern w:val="24"/>
          <w:sz w:val="20"/>
          <w:szCs w:val="20"/>
          <w:lang w:val="es-ES"/>
        </w:rPr>
        <w:t>apitales</w:t>
      </w:r>
      <w:r w:rsidR="007F1F6F">
        <w:rPr>
          <w:rFonts w:ascii="Arial" w:hAnsi="Arial" w:cs="Arial"/>
          <w:color w:val="000000"/>
          <w:kern w:val="24"/>
          <w:sz w:val="20"/>
          <w:szCs w:val="20"/>
          <w:lang w:val="es-ES"/>
        </w:rPr>
        <w:t>, por el ejercicio fiscal 2016</w:t>
      </w:r>
      <w:r>
        <w:rPr>
          <w:rFonts w:ascii="Arial" w:hAnsi="Arial" w:cs="Arial"/>
          <w:color w:val="000000"/>
          <w:kern w:val="24"/>
          <w:sz w:val="20"/>
          <w:szCs w:val="20"/>
          <w:lang w:val="es-ES"/>
        </w:rPr>
        <w:t>.</w:t>
      </w:r>
      <w:r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 </w:t>
      </w:r>
      <w:r>
        <w:rPr>
          <w:rFonts w:ascii="Arial" w:hAnsi="Arial" w:cs="Arial"/>
          <w:color w:val="000000"/>
          <w:kern w:val="24"/>
          <w:sz w:val="20"/>
          <w:szCs w:val="20"/>
          <w:lang w:val="es-ES"/>
        </w:rPr>
        <w:t>Por el lado del I</w:t>
      </w:r>
      <w:r w:rsidR="00645069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mpuesto a la </w:t>
      </w:r>
      <w:r>
        <w:rPr>
          <w:rFonts w:ascii="Arial" w:hAnsi="Arial" w:cs="Arial"/>
          <w:color w:val="000000"/>
          <w:kern w:val="24"/>
          <w:sz w:val="20"/>
          <w:szCs w:val="20"/>
          <w:lang w:val="es-ES"/>
        </w:rPr>
        <w:t>R</w:t>
      </w:r>
      <w:r w:rsidR="00645069">
        <w:rPr>
          <w:rFonts w:ascii="Arial" w:hAnsi="Arial" w:cs="Arial"/>
          <w:color w:val="000000"/>
          <w:kern w:val="24"/>
          <w:sz w:val="20"/>
          <w:szCs w:val="20"/>
          <w:lang w:val="es-ES"/>
        </w:rPr>
        <w:t>enta</w:t>
      </w:r>
      <w:r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de Quinta Categoría</w:t>
      </w:r>
      <w:r w:rsidR="00E57670">
        <w:rPr>
          <w:rFonts w:ascii="Arial" w:hAnsi="Arial" w:cs="Arial"/>
          <w:color w:val="000000"/>
          <w:kern w:val="24"/>
          <w:sz w:val="20"/>
          <w:szCs w:val="20"/>
          <w:lang w:val="es-ES"/>
        </w:rPr>
        <w:t>,</w:t>
      </w:r>
      <w:r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se registraron pagos importantes asociados a los adelantos de utilidades efectua</w:t>
      </w:r>
      <w:r w:rsidR="00645069">
        <w:rPr>
          <w:rFonts w:ascii="Arial" w:hAnsi="Arial" w:cs="Arial"/>
          <w:color w:val="000000"/>
          <w:kern w:val="24"/>
          <w:sz w:val="20"/>
          <w:szCs w:val="20"/>
          <w:lang w:val="es-ES"/>
        </w:rPr>
        <w:t>das</w:t>
      </w:r>
      <w:r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</w:t>
      </w:r>
      <w:r w:rsidR="00645069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por </w:t>
      </w:r>
      <w:r>
        <w:rPr>
          <w:rFonts w:ascii="Arial" w:hAnsi="Arial" w:cs="Arial"/>
          <w:color w:val="000000"/>
          <w:kern w:val="24"/>
          <w:sz w:val="20"/>
          <w:szCs w:val="20"/>
          <w:lang w:val="es-ES"/>
        </w:rPr>
        <w:t>algunas empresas</w:t>
      </w:r>
      <w:r w:rsidR="00094711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a sus trabajadores</w:t>
      </w:r>
      <w:r>
        <w:rPr>
          <w:rFonts w:ascii="Arial" w:hAnsi="Arial" w:cs="Arial"/>
          <w:color w:val="000000"/>
          <w:kern w:val="24"/>
          <w:sz w:val="20"/>
          <w:szCs w:val="20"/>
          <w:lang w:val="es-ES"/>
        </w:rPr>
        <w:t>.</w:t>
      </w:r>
    </w:p>
    <w:p w:rsidR="00786C65" w:rsidRPr="00A57D8F" w:rsidRDefault="00A57D8F" w:rsidP="00A57D8F">
      <w:pPr>
        <w:pStyle w:val="Prrafodelista"/>
        <w:numPr>
          <w:ilvl w:val="0"/>
          <w:numId w:val="11"/>
        </w:numPr>
        <w:spacing w:before="240"/>
        <w:ind w:left="284" w:hanging="218"/>
        <w:contextualSpacing w:val="0"/>
        <w:jc w:val="both"/>
        <w:rPr>
          <w:rFonts w:ascii="Arial" w:hAnsi="Arial" w:cs="Arial"/>
          <w:color w:val="000000"/>
          <w:kern w:val="24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0</wp:posOffset>
            </wp:positionV>
            <wp:extent cx="4124325" cy="2514600"/>
            <wp:effectExtent l="0" t="0" r="0" b="0"/>
            <wp:wrapSquare wrapText="bothSides"/>
            <wp:docPr id="6" name="Gráfico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AA3EF7" w:rsidRPr="00257DF2">
        <w:rPr>
          <w:rFonts w:ascii="Arial" w:hAnsi="Arial" w:cs="Arial"/>
          <w:color w:val="000000"/>
          <w:kern w:val="24"/>
          <w:sz w:val="20"/>
          <w:szCs w:val="20"/>
        </w:rPr>
        <w:t xml:space="preserve">En </w:t>
      </w:r>
      <w:r w:rsidR="00257DF2" w:rsidRPr="00257DF2">
        <w:rPr>
          <w:rFonts w:ascii="Arial" w:hAnsi="Arial" w:cs="Arial"/>
          <w:color w:val="000000"/>
          <w:kern w:val="24"/>
          <w:sz w:val="20"/>
          <w:szCs w:val="20"/>
        </w:rPr>
        <w:t>relación con</w:t>
      </w:r>
      <w:r w:rsidR="00AA3EF7" w:rsidRPr="00257DF2">
        <w:rPr>
          <w:rFonts w:ascii="Arial" w:hAnsi="Arial" w:cs="Arial"/>
          <w:color w:val="000000"/>
          <w:kern w:val="24"/>
          <w:sz w:val="20"/>
          <w:szCs w:val="20"/>
        </w:rPr>
        <w:t xml:space="preserve"> los pagos a cuenta del Régimen General y del Régimen MYPE Tributario, en febrero se recaud</w:t>
      </w:r>
      <w:r w:rsidR="00645069" w:rsidRPr="00257DF2">
        <w:rPr>
          <w:rFonts w:ascii="Arial" w:hAnsi="Arial" w:cs="Arial"/>
          <w:color w:val="000000"/>
          <w:kern w:val="24"/>
          <w:sz w:val="20"/>
          <w:szCs w:val="20"/>
        </w:rPr>
        <w:t>ó</w:t>
      </w:r>
      <w:r w:rsidR="00AA3EF7" w:rsidRPr="00257DF2">
        <w:rPr>
          <w:rFonts w:ascii="Arial" w:hAnsi="Arial" w:cs="Arial"/>
          <w:color w:val="000000"/>
          <w:kern w:val="24"/>
          <w:sz w:val="20"/>
          <w:szCs w:val="20"/>
        </w:rPr>
        <w:t xml:space="preserve"> S/ 1 894 millones, importe mayor en S/ 26 millones en relación con lo obtenido en febrero </w:t>
      </w:r>
      <w:r w:rsidR="00645069" w:rsidRPr="00257DF2">
        <w:rPr>
          <w:rFonts w:ascii="Arial" w:hAnsi="Arial" w:cs="Arial"/>
          <w:color w:val="000000"/>
          <w:kern w:val="24"/>
          <w:sz w:val="20"/>
          <w:szCs w:val="20"/>
        </w:rPr>
        <w:t xml:space="preserve">de </w:t>
      </w:r>
      <w:r w:rsidR="00AA3EF7" w:rsidRPr="00257DF2">
        <w:rPr>
          <w:rFonts w:ascii="Arial" w:hAnsi="Arial" w:cs="Arial"/>
          <w:color w:val="000000"/>
          <w:kern w:val="24"/>
          <w:sz w:val="20"/>
          <w:szCs w:val="20"/>
        </w:rPr>
        <w:t xml:space="preserve">2018, pero que representó una </w:t>
      </w:r>
      <w:r w:rsidR="00AA3EF7" w:rsidRPr="00257DF2">
        <w:rPr>
          <w:rFonts w:ascii="Arial" w:hAnsi="Arial" w:cs="Arial"/>
          <w:color w:val="000000"/>
          <w:kern w:val="24"/>
          <w:sz w:val="20"/>
          <w:szCs w:val="20"/>
        </w:rPr>
        <w:lastRenderedPageBreak/>
        <w:t>disminución de 0,6%</w:t>
      </w:r>
      <w:r w:rsidR="00094711" w:rsidRPr="00257DF2">
        <w:rPr>
          <w:rFonts w:ascii="Arial" w:hAnsi="Arial" w:cs="Arial"/>
          <w:color w:val="000000"/>
          <w:kern w:val="24"/>
          <w:sz w:val="20"/>
          <w:szCs w:val="20"/>
        </w:rPr>
        <w:t xml:space="preserve"> al descontar la inflación</w:t>
      </w:r>
      <w:r w:rsidR="00AA3EF7" w:rsidRPr="00714628">
        <w:rPr>
          <w:rFonts w:ascii="Arial" w:hAnsi="Arial" w:cs="Arial"/>
          <w:color w:val="000000"/>
          <w:kern w:val="24"/>
          <w:sz w:val="20"/>
          <w:szCs w:val="20"/>
        </w:rPr>
        <w:t>.</w:t>
      </w:r>
    </w:p>
    <w:p w:rsidR="00786C65" w:rsidRPr="00A57D8F" w:rsidRDefault="00AA3EF7" w:rsidP="00A57D8F">
      <w:pPr>
        <w:pStyle w:val="Prrafodelista"/>
        <w:numPr>
          <w:ilvl w:val="0"/>
          <w:numId w:val="11"/>
        </w:numPr>
        <w:spacing w:before="240"/>
        <w:ind w:left="284" w:hanging="218"/>
        <w:contextualSpacing w:val="0"/>
        <w:jc w:val="both"/>
        <w:rPr>
          <w:rFonts w:ascii="Arial" w:hAnsi="Arial" w:cs="Arial"/>
          <w:color w:val="000000"/>
          <w:kern w:val="24"/>
          <w:sz w:val="20"/>
          <w:szCs w:val="20"/>
          <w:lang w:val="es-ES"/>
        </w:rPr>
      </w:pPr>
      <w:r>
        <w:rPr>
          <w:rFonts w:ascii="Arial" w:hAnsi="Arial" w:cs="Arial"/>
          <w:color w:val="000000"/>
          <w:kern w:val="24"/>
          <w:sz w:val="20"/>
          <w:szCs w:val="20"/>
        </w:rPr>
        <w:t>El mode</w:t>
      </w:r>
      <w:r w:rsidR="00094711">
        <w:rPr>
          <w:rFonts w:ascii="Arial" w:hAnsi="Arial" w:cs="Arial"/>
          <w:color w:val="000000"/>
          <w:kern w:val="24"/>
          <w:sz w:val="20"/>
          <w:szCs w:val="20"/>
        </w:rPr>
        <w:t>rado</w:t>
      </w:r>
      <w:r>
        <w:rPr>
          <w:rFonts w:ascii="Arial" w:hAnsi="Arial" w:cs="Arial"/>
          <w:color w:val="000000"/>
          <w:kern w:val="24"/>
          <w:sz w:val="20"/>
          <w:szCs w:val="20"/>
        </w:rPr>
        <w:t xml:space="preserve"> desempeño de l</w:t>
      </w:r>
      <w:r w:rsidR="00094711">
        <w:rPr>
          <w:rFonts w:ascii="Arial" w:hAnsi="Arial" w:cs="Arial"/>
          <w:color w:val="000000"/>
          <w:kern w:val="24"/>
          <w:sz w:val="20"/>
          <w:szCs w:val="20"/>
        </w:rPr>
        <w:t xml:space="preserve">a recaudación de </w:t>
      </w:r>
      <w:r>
        <w:rPr>
          <w:rFonts w:ascii="Arial" w:hAnsi="Arial" w:cs="Arial"/>
          <w:color w:val="000000"/>
          <w:kern w:val="24"/>
          <w:sz w:val="20"/>
          <w:szCs w:val="20"/>
        </w:rPr>
        <w:t xml:space="preserve">pagos a cuenta responde a menores ingresos declarados por algunos sectores, así como la aplicación de saldos por parte de empresas que adelantaron </w:t>
      </w:r>
      <w:r w:rsidRPr="00A57D8F">
        <w:rPr>
          <w:rFonts w:ascii="Arial" w:hAnsi="Arial" w:cs="Arial"/>
          <w:color w:val="000000"/>
          <w:kern w:val="24"/>
          <w:sz w:val="20"/>
          <w:szCs w:val="20"/>
        </w:rPr>
        <w:t>su declaración anual</w:t>
      </w:r>
      <w:r w:rsidR="00A57D8F">
        <w:rPr>
          <w:rFonts w:ascii="Arial" w:hAnsi="Arial" w:cs="Arial"/>
          <w:color w:val="000000"/>
          <w:kern w:val="24"/>
          <w:sz w:val="20"/>
          <w:szCs w:val="20"/>
        </w:rPr>
        <w:t>.</w:t>
      </w:r>
    </w:p>
    <w:p w:rsidR="00415EA3" w:rsidRPr="00415EA3" w:rsidRDefault="00415EA3" w:rsidP="00415EA3">
      <w:pPr>
        <w:spacing w:before="240"/>
        <w:ind w:left="360"/>
        <w:jc w:val="both"/>
        <w:rPr>
          <w:rFonts w:ascii="Arial" w:hAnsi="Arial" w:cs="Arial"/>
          <w:color w:val="000000"/>
          <w:kern w:val="24"/>
          <w:sz w:val="20"/>
          <w:szCs w:val="20"/>
          <w:lang w:val="es-ES"/>
        </w:rPr>
      </w:pPr>
      <w:r>
        <w:rPr>
          <w:noProof/>
          <w:lang w:eastAsia="es-P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396875</wp:posOffset>
            </wp:positionV>
            <wp:extent cx="4057650" cy="2133600"/>
            <wp:effectExtent l="0" t="0" r="0" b="0"/>
            <wp:wrapSquare wrapText="bothSides"/>
            <wp:docPr id="12" name="Gráfico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037B09" w:rsidRDefault="00037B09" w:rsidP="00E844E6">
      <w:pPr>
        <w:pStyle w:val="Prrafodelista"/>
        <w:numPr>
          <w:ilvl w:val="0"/>
          <w:numId w:val="11"/>
        </w:numPr>
        <w:spacing w:before="240"/>
        <w:ind w:left="284" w:hanging="218"/>
        <w:contextualSpacing w:val="0"/>
        <w:jc w:val="both"/>
        <w:rPr>
          <w:rFonts w:ascii="Arial" w:hAnsi="Arial" w:cs="Arial"/>
          <w:color w:val="000000"/>
          <w:kern w:val="24"/>
          <w:sz w:val="20"/>
          <w:szCs w:val="20"/>
          <w:lang w:val="es-ES"/>
        </w:rPr>
      </w:pPr>
      <w:r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Respecto </w:t>
      </w:r>
      <w:r w:rsidR="00FD1FE0">
        <w:rPr>
          <w:rFonts w:ascii="Arial" w:hAnsi="Arial" w:cs="Arial"/>
          <w:color w:val="000000"/>
          <w:kern w:val="24"/>
          <w:sz w:val="20"/>
          <w:szCs w:val="20"/>
          <w:lang w:val="es-ES"/>
        </w:rPr>
        <w:t>al</w:t>
      </w:r>
      <w:r w:rsidR="00645069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rubro </w:t>
      </w:r>
      <w:r w:rsidRPr="005A3F10">
        <w:rPr>
          <w:rFonts w:ascii="Arial" w:hAnsi="Arial" w:cs="Arial"/>
          <w:b/>
          <w:color w:val="000000"/>
          <w:kern w:val="24"/>
          <w:sz w:val="20"/>
          <w:szCs w:val="20"/>
          <w:lang w:val="es-ES"/>
        </w:rPr>
        <w:t xml:space="preserve">Otros </w:t>
      </w:r>
      <w:r w:rsidR="00645069" w:rsidRPr="005A3F10">
        <w:rPr>
          <w:rFonts w:ascii="Arial" w:hAnsi="Arial" w:cs="Arial"/>
          <w:b/>
          <w:color w:val="000000"/>
          <w:kern w:val="24"/>
          <w:sz w:val="20"/>
          <w:szCs w:val="20"/>
          <w:lang w:val="es-ES"/>
        </w:rPr>
        <w:t>I</w:t>
      </w:r>
      <w:r w:rsidRPr="005A3F10">
        <w:rPr>
          <w:rFonts w:ascii="Arial" w:hAnsi="Arial" w:cs="Arial"/>
          <w:b/>
          <w:color w:val="000000"/>
          <w:kern w:val="24"/>
          <w:sz w:val="20"/>
          <w:szCs w:val="20"/>
          <w:lang w:val="es-ES"/>
        </w:rPr>
        <w:t>ngresos</w:t>
      </w:r>
      <w:r w:rsidR="0000227B"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, </w:t>
      </w:r>
      <w:r w:rsidR="00645069">
        <w:rPr>
          <w:rFonts w:ascii="Arial" w:hAnsi="Arial" w:cs="Arial"/>
          <w:color w:val="000000"/>
          <w:kern w:val="24"/>
          <w:sz w:val="20"/>
          <w:szCs w:val="20"/>
          <w:lang w:val="es-ES"/>
        </w:rPr>
        <w:t>é</w:t>
      </w:r>
      <w:r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ste </w:t>
      </w:r>
      <w:r w:rsidR="00645069">
        <w:rPr>
          <w:rFonts w:ascii="Arial" w:hAnsi="Arial" w:cs="Arial"/>
          <w:color w:val="000000"/>
          <w:kern w:val="24"/>
          <w:sz w:val="20"/>
          <w:szCs w:val="20"/>
          <w:lang w:val="es-ES"/>
        </w:rPr>
        <w:t>r</w:t>
      </w:r>
      <w:r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egistró un crecimiento de </w:t>
      </w:r>
      <w:r w:rsidR="00412F1D">
        <w:rPr>
          <w:rFonts w:ascii="Arial" w:hAnsi="Arial" w:cs="Arial"/>
          <w:color w:val="000000"/>
          <w:kern w:val="24"/>
          <w:sz w:val="20"/>
          <w:szCs w:val="20"/>
          <w:lang w:val="es-ES"/>
        </w:rPr>
        <w:t>42</w:t>
      </w:r>
      <w:r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>,</w:t>
      </w:r>
      <w:r w:rsidR="00412F1D">
        <w:rPr>
          <w:rFonts w:ascii="Arial" w:hAnsi="Arial" w:cs="Arial"/>
          <w:color w:val="000000"/>
          <w:kern w:val="24"/>
          <w:sz w:val="20"/>
          <w:szCs w:val="20"/>
          <w:lang w:val="es-ES"/>
        </w:rPr>
        <w:t>1</w:t>
      </w:r>
      <w:r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%, </w:t>
      </w:r>
      <w:r w:rsidR="00FD1FE0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explicado </w:t>
      </w:r>
      <w:r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principalmente por los mayores pagos de </w:t>
      </w:r>
      <w:r w:rsidR="00412F1D">
        <w:rPr>
          <w:rFonts w:ascii="Arial" w:hAnsi="Arial" w:cs="Arial"/>
          <w:color w:val="000000"/>
          <w:kern w:val="24"/>
          <w:sz w:val="20"/>
          <w:szCs w:val="20"/>
          <w:lang w:val="es-ES"/>
        </w:rPr>
        <w:t>Multas</w:t>
      </w:r>
      <w:r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(</w:t>
      </w:r>
      <w:r w:rsidR="00412F1D">
        <w:rPr>
          <w:rFonts w:ascii="Arial" w:hAnsi="Arial" w:cs="Arial"/>
          <w:color w:val="000000"/>
          <w:kern w:val="24"/>
          <w:sz w:val="20"/>
          <w:szCs w:val="20"/>
          <w:lang w:val="es-ES"/>
        </w:rPr>
        <w:t>133</w:t>
      </w:r>
      <w:r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>,</w:t>
      </w:r>
      <w:r w:rsidR="00412F1D">
        <w:rPr>
          <w:rFonts w:ascii="Arial" w:hAnsi="Arial" w:cs="Arial"/>
          <w:color w:val="000000"/>
          <w:kern w:val="24"/>
          <w:sz w:val="20"/>
          <w:szCs w:val="20"/>
          <w:lang w:val="es-ES"/>
        </w:rPr>
        <w:t>7</w:t>
      </w:r>
      <w:r w:rsidRPr="00714628">
        <w:rPr>
          <w:rFonts w:ascii="Arial" w:hAnsi="Arial" w:cs="Arial"/>
          <w:color w:val="000000"/>
          <w:kern w:val="24"/>
          <w:sz w:val="20"/>
          <w:szCs w:val="20"/>
          <w:lang w:val="es-ES"/>
        </w:rPr>
        <w:t>%)</w:t>
      </w:r>
      <w:r w:rsidR="00FD1FE0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y</w:t>
      </w:r>
      <w:r w:rsidR="00412F1D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Fraccionamientos (49</w:t>
      </w:r>
      <w:r w:rsidR="00FD1FE0">
        <w:rPr>
          <w:rFonts w:ascii="Arial" w:hAnsi="Arial" w:cs="Arial"/>
          <w:color w:val="000000"/>
          <w:kern w:val="24"/>
          <w:sz w:val="20"/>
          <w:szCs w:val="20"/>
          <w:lang w:val="es-ES"/>
        </w:rPr>
        <w:t>,0</w:t>
      </w:r>
      <w:r w:rsidR="00412F1D">
        <w:rPr>
          <w:rFonts w:ascii="Arial" w:hAnsi="Arial" w:cs="Arial"/>
          <w:color w:val="000000"/>
          <w:kern w:val="24"/>
          <w:sz w:val="20"/>
          <w:szCs w:val="20"/>
          <w:lang w:val="es-ES"/>
        </w:rPr>
        <w:t>%)</w:t>
      </w:r>
      <w:r w:rsidR="000B5443">
        <w:rPr>
          <w:rFonts w:ascii="Arial" w:hAnsi="Arial" w:cs="Arial"/>
          <w:color w:val="000000"/>
          <w:kern w:val="24"/>
          <w:sz w:val="20"/>
          <w:szCs w:val="20"/>
          <w:lang w:val="es-ES"/>
        </w:rPr>
        <w:t>,</w:t>
      </w:r>
      <w:r w:rsidR="00645069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que </w:t>
      </w:r>
      <w:r w:rsidR="00A53D6F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reflejan </w:t>
      </w:r>
      <w:r w:rsidR="004F6304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las acciones de </w:t>
      </w:r>
      <w:r w:rsidR="00A53D6F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cobranza y </w:t>
      </w:r>
      <w:r w:rsidR="004F6304">
        <w:rPr>
          <w:rFonts w:ascii="Arial" w:hAnsi="Arial" w:cs="Arial"/>
          <w:color w:val="000000"/>
          <w:kern w:val="24"/>
          <w:sz w:val="20"/>
          <w:szCs w:val="20"/>
          <w:lang w:val="es-ES"/>
        </w:rPr>
        <w:t>fiscalización de la SUNAT</w:t>
      </w:r>
      <w:r w:rsidR="00E57670">
        <w:rPr>
          <w:rFonts w:ascii="Arial" w:hAnsi="Arial" w:cs="Arial"/>
          <w:color w:val="000000"/>
          <w:kern w:val="24"/>
          <w:sz w:val="20"/>
          <w:szCs w:val="20"/>
          <w:lang w:val="es-ES"/>
        </w:rPr>
        <w:t>. D</w:t>
      </w:r>
      <w:r w:rsidR="00A53D6F">
        <w:rPr>
          <w:rFonts w:ascii="Arial" w:hAnsi="Arial" w:cs="Arial"/>
          <w:color w:val="000000"/>
          <w:kern w:val="24"/>
          <w:sz w:val="20"/>
          <w:szCs w:val="20"/>
          <w:lang w:val="es-ES"/>
        </w:rPr>
        <w:t>estaca</w:t>
      </w:r>
      <w:r w:rsidR="00E57670">
        <w:rPr>
          <w:rFonts w:ascii="Arial" w:hAnsi="Arial" w:cs="Arial"/>
          <w:color w:val="000000"/>
          <w:kern w:val="24"/>
          <w:sz w:val="20"/>
          <w:szCs w:val="20"/>
          <w:lang w:val="es-ES"/>
        </w:rPr>
        <w:t>n</w:t>
      </w:r>
      <w:r w:rsidR="007439F9">
        <w:rPr>
          <w:rFonts w:ascii="Arial" w:hAnsi="Arial" w:cs="Arial"/>
          <w:color w:val="000000"/>
          <w:kern w:val="24"/>
          <w:sz w:val="20"/>
          <w:szCs w:val="20"/>
          <w:lang w:val="es-ES"/>
        </w:rPr>
        <w:t>,</w:t>
      </w:r>
      <w:r w:rsidR="00A53D6F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en el caso de las multas</w:t>
      </w:r>
      <w:r w:rsidR="007439F9">
        <w:rPr>
          <w:rFonts w:ascii="Arial" w:hAnsi="Arial" w:cs="Arial"/>
          <w:color w:val="000000"/>
          <w:kern w:val="24"/>
          <w:sz w:val="20"/>
          <w:szCs w:val="20"/>
          <w:lang w:val="es-ES"/>
        </w:rPr>
        <w:t>,</w:t>
      </w:r>
      <w:r w:rsidR="00A53D6F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los pagos </w:t>
      </w:r>
      <w:r w:rsidR="007439F9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correspondientes a </w:t>
      </w:r>
      <w:r w:rsidR="00A53D6F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deudas en controversia de empresas del sector hidrocarburos y financiero </w:t>
      </w:r>
      <w:r w:rsidR="00645069">
        <w:rPr>
          <w:rFonts w:ascii="Arial" w:hAnsi="Arial" w:cs="Arial"/>
          <w:color w:val="000000"/>
          <w:kern w:val="24"/>
          <w:sz w:val="20"/>
          <w:szCs w:val="20"/>
          <w:lang w:val="es-ES"/>
        </w:rPr>
        <w:t>por</w:t>
      </w:r>
      <w:r w:rsidR="00A53D6F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fallo</w:t>
      </w:r>
      <w:r w:rsidR="00E57670">
        <w:rPr>
          <w:rFonts w:ascii="Arial" w:hAnsi="Arial" w:cs="Arial"/>
          <w:color w:val="000000"/>
          <w:kern w:val="24"/>
          <w:sz w:val="20"/>
          <w:szCs w:val="20"/>
          <w:lang w:val="es-ES"/>
        </w:rPr>
        <w:t>s</w:t>
      </w:r>
      <w:r w:rsidR="00A53D6F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favorable</w:t>
      </w:r>
      <w:r w:rsidR="00E57670">
        <w:rPr>
          <w:rFonts w:ascii="Arial" w:hAnsi="Arial" w:cs="Arial"/>
          <w:color w:val="000000"/>
          <w:kern w:val="24"/>
          <w:sz w:val="20"/>
          <w:szCs w:val="20"/>
          <w:lang w:val="es-ES"/>
        </w:rPr>
        <w:t>s</w:t>
      </w:r>
      <w:r w:rsidR="00A53D6F">
        <w:rPr>
          <w:rFonts w:ascii="Arial" w:hAnsi="Arial" w:cs="Arial"/>
          <w:color w:val="000000"/>
          <w:kern w:val="24"/>
          <w:sz w:val="20"/>
          <w:szCs w:val="20"/>
          <w:lang w:val="es-ES"/>
        </w:rPr>
        <w:t xml:space="preserve"> a la SUNAT</w:t>
      </w:r>
      <w:r w:rsidR="004F6304">
        <w:rPr>
          <w:rFonts w:ascii="Arial" w:hAnsi="Arial" w:cs="Arial"/>
          <w:color w:val="000000"/>
          <w:kern w:val="24"/>
          <w:sz w:val="20"/>
          <w:szCs w:val="20"/>
          <w:lang w:val="es-ES"/>
        </w:rPr>
        <w:t>.</w:t>
      </w:r>
    </w:p>
    <w:p w:rsidR="00645069" w:rsidRPr="00645069" w:rsidRDefault="00645069" w:rsidP="00A57D8F">
      <w:pPr>
        <w:spacing w:before="240" w:line="276" w:lineRule="auto"/>
        <w:jc w:val="both"/>
        <w:rPr>
          <w:rFonts w:ascii="Arial" w:hAnsi="Arial" w:cs="Arial"/>
          <w:color w:val="000000"/>
          <w:kern w:val="24"/>
          <w:sz w:val="20"/>
          <w:szCs w:val="20"/>
        </w:rPr>
      </w:pPr>
      <w:r>
        <w:rPr>
          <w:noProof/>
          <w:lang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353060</wp:posOffset>
            </wp:positionV>
            <wp:extent cx="4086225" cy="2390775"/>
            <wp:effectExtent l="0" t="0" r="0" b="0"/>
            <wp:wrapSquare wrapText="bothSides"/>
            <wp:docPr id="3" name="Grá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037B09" w:rsidRPr="00257DF2" w:rsidRDefault="00037B09" w:rsidP="00E70103">
      <w:pPr>
        <w:pStyle w:val="Prrafodelista"/>
        <w:numPr>
          <w:ilvl w:val="0"/>
          <w:numId w:val="11"/>
        </w:numPr>
        <w:spacing w:before="240" w:line="276" w:lineRule="auto"/>
        <w:ind w:left="284" w:hanging="218"/>
        <w:contextualSpacing w:val="0"/>
        <w:jc w:val="both"/>
        <w:rPr>
          <w:rFonts w:ascii="Arial" w:hAnsi="Arial" w:cs="Arial"/>
          <w:color w:val="000000"/>
          <w:kern w:val="24"/>
          <w:sz w:val="20"/>
          <w:szCs w:val="20"/>
        </w:rPr>
      </w:pPr>
      <w:r w:rsidRPr="00257DF2">
        <w:rPr>
          <w:rFonts w:ascii="Arial" w:hAnsi="Arial" w:cs="Arial"/>
          <w:color w:val="000000"/>
          <w:kern w:val="24"/>
          <w:sz w:val="20"/>
          <w:szCs w:val="20"/>
        </w:rPr>
        <w:t xml:space="preserve">Finalmente, las </w:t>
      </w:r>
      <w:r w:rsidRPr="005A3F10">
        <w:rPr>
          <w:rFonts w:ascii="Arial" w:hAnsi="Arial" w:cs="Arial"/>
          <w:b/>
          <w:color w:val="000000"/>
          <w:kern w:val="24"/>
          <w:sz w:val="20"/>
          <w:szCs w:val="20"/>
        </w:rPr>
        <w:t>devoluciones</w:t>
      </w:r>
      <w:r w:rsidRPr="00257DF2">
        <w:rPr>
          <w:rFonts w:ascii="Arial" w:hAnsi="Arial" w:cs="Arial"/>
          <w:color w:val="000000"/>
          <w:kern w:val="24"/>
          <w:sz w:val="20"/>
          <w:szCs w:val="20"/>
        </w:rPr>
        <w:t xml:space="preserve"> de impuestos </w:t>
      </w:r>
      <w:r w:rsidR="00A53D6F" w:rsidRPr="00257DF2">
        <w:rPr>
          <w:rFonts w:ascii="Arial" w:hAnsi="Arial" w:cs="Arial"/>
          <w:color w:val="000000"/>
          <w:kern w:val="24"/>
          <w:sz w:val="20"/>
          <w:szCs w:val="20"/>
        </w:rPr>
        <w:t xml:space="preserve">sumaron </w:t>
      </w:r>
      <w:r w:rsidRPr="00257DF2">
        <w:rPr>
          <w:rFonts w:ascii="Arial" w:hAnsi="Arial" w:cs="Arial"/>
          <w:color w:val="000000"/>
          <w:kern w:val="24"/>
          <w:sz w:val="20"/>
          <w:szCs w:val="20"/>
        </w:rPr>
        <w:t xml:space="preserve">S/ </w:t>
      </w:r>
      <w:r w:rsidR="00453B5D" w:rsidRPr="00257DF2">
        <w:rPr>
          <w:rFonts w:ascii="Arial" w:hAnsi="Arial" w:cs="Arial"/>
          <w:bCs/>
          <w:color w:val="000000"/>
          <w:kern w:val="24"/>
          <w:sz w:val="20"/>
          <w:szCs w:val="20"/>
        </w:rPr>
        <w:t>1</w:t>
      </w:r>
      <w:r w:rsidR="00094711" w:rsidRPr="00257DF2">
        <w:rPr>
          <w:rFonts w:ascii="Arial" w:hAnsi="Arial" w:cs="Arial"/>
          <w:bCs/>
          <w:color w:val="000000"/>
          <w:kern w:val="24"/>
          <w:sz w:val="20"/>
          <w:szCs w:val="20"/>
        </w:rPr>
        <w:t xml:space="preserve"> </w:t>
      </w:r>
      <w:r w:rsidR="00952D63" w:rsidRPr="00257DF2">
        <w:rPr>
          <w:rFonts w:ascii="Arial" w:hAnsi="Arial" w:cs="Arial"/>
          <w:bCs/>
          <w:color w:val="000000"/>
          <w:kern w:val="24"/>
          <w:sz w:val="20"/>
          <w:szCs w:val="20"/>
        </w:rPr>
        <w:t>403</w:t>
      </w:r>
      <w:r w:rsidRPr="00257DF2">
        <w:rPr>
          <w:rFonts w:ascii="Arial" w:hAnsi="Arial" w:cs="Arial"/>
          <w:bCs/>
          <w:color w:val="000000"/>
          <w:kern w:val="24"/>
          <w:sz w:val="20"/>
          <w:szCs w:val="20"/>
        </w:rPr>
        <w:t xml:space="preserve"> </w:t>
      </w:r>
      <w:r w:rsidRPr="00257DF2">
        <w:rPr>
          <w:rFonts w:ascii="Arial" w:hAnsi="Arial" w:cs="Arial"/>
          <w:color w:val="000000"/>
          <w:kern w:val="24"/>
          <w:sz w:val="20"/>
          <w:szCs w:val="20"/>
        </w:rPr>
        <w:t>millones</w:t>
      </w:r>
      <w:r w:rsidR="00A53D6F" w:rsidRPr="00257DF2">
        <w:rPr>
          <w:rFonts w:ascii="Arial" w:hAnsi="Arial" w:cs="Arial"/>
          <w:color w:val="000000"/>
          <w:kern w:val="24"/>
          <w:sz w:val="20"/>
          <w:szCs w:val="20"/>
        </w:rPr>
        <w:t xml:space="preserve">, monto </w:t>
      </w:r>
      <w:r w:rsidR="00257DF2">
        <w:rPr>
          <w:rFonts w:ascii="Arial" w:hAnsi="Arial" w:cs="Arial"/>
          <w:color w:val="000000"/>
          <w:kern w:val="24"/>
          <w:sz w:val="20"/>
          <w:szCs w:val="20"/>
        </w:rPr>
        <w:t xml:space="preserve">menor </w:t>
      </w:r>
      <w:r w:rsidRPr="00257DF2">
        <w:rPr>
          <w:rFonts w:ascii="Arial" w:hAnsi="Arial" w:cs="Arial"/>
          <w:color w:val="000000"/>
          <w:kern w:val="24"/>
          <w:sz w:val="20"/>
          <w:szCs w:val="20"/>
        </w:rPr>
        <w:t>e</w:t>
      </w:r>
      <w:r w:rsidR="00257DF2">
        <w:rPr>
          <w:rFonts w:ascii="Arial" w:hAnsi="Arial" w:cs="Arial"/>
          <w:color w:val="000000"/>
          <w:kern w:val="24"/>
          <w:sz w:val="20"/>
          <w:szCs w:val="20"/>
        </w:rPr>
        <w:t>n</w:t>
      </w:r>
      <w:r w:rsidRPr="00257DF2">
        <w:rPr>
          <w:rFonts w:ascii="Arial" w:hAnsi="Arial" w:cs="Arial"/>
          <w:color w:val="000000"/>
          <w:kern w:val="24"/>
          <w:sz w:val="20"/>
          <w:szCs w:val="20"/>
        </w:rPr>
        <w:t xml:space="preserve"> </w:t>
      </w:r>
      <w:r w:rsidR="00453B5D" w:rsidRPr="00257DF2">
        <w:rPr>
          <w:rFonts w:ascii="Arial" w:hAnsi="Arial" w:cs="Arial"/>
          <w:bCs/>
          <w:color w:val="000000"/>
          <w:kern w:val="24"/>
          <w:sz w:val="20"/>
          <w:szCs w:val="20"/>
        </w:rPr>
        <w:t>1</w:t>
      </w:r>
      <w:r w:rsidR="00952D63" w:rsidRPr="00257DF2">
        <w:rPr>
          <w:rFonts w:ascii="Arial" w:hAnsi="Arial" w:cs="Arial"/>
          <w:bCs/>
          <w:color w:val="000000"/>
          <w:kern w:val="24"/>
          <w:sz w:val="20"/>
          <w:szCs w:val="20"/>
        </w:rPr>
        <w:t>5</w:t>
      </w:r>
      <w:r w:rsidR="00453B5D" w:rsidRPr="00257DF2">
        <w:rPr>
          <w:rFonts w:ascii="Arial" w:hAnsi="Arial" w:cs="Arial"/>
          <w:bCs/>
          <w:color w:val="000000"/>
          <w:kern w:val="24"/>
          <w:sz w:val="20"/>
          <w:szCs w:val="20"/>
        </w:rPr>
        <w:t>,</w:t>
      </w:r>
      <w:r w:rsidR="00952D63" w:rsidRPr="00257DF2">
        <w:rPr>
          <w:rFonts w:ascii="Arial" w:hAnsi="Arial" w:cs="Arial"/>
          <w:bCs/>
          <w:color w:val="000000"/>
          <w:kern w:val="24"/>
          <w:sz w:val="20"/>
          <w:szCs w:val="20"/>
        </w:rPr>
        <w:t>2</w:t>
      </w:r>
      <w:r w:rsidRPr="00257DF2">
        <w:rPr>
          <w:rFonts w:ascii="Arial" w:hAnsi="Arial" w:cs="Arial"/>
          <w:bCs/>
          <w:color w:val="000000"/>
          <w:kern w:val="24"/>
          <w:sz w:val="20"/>
          <w:szCs w:val="20"/>
        </w:rPr>
        <w:t>%</w:t>
      </w:r>
      <w:r w:rsidR="00273CE8" w:rsidRPr="00257DF2">
        <w:rPr>
          <w:rFonts w:ascii="Arial" w:hAnsi="Arial" w:cs="Arial"/>
          <w:bCs/>
          <w:color w:val="000000"/>
          <w:kern w:val="24"/>
          <w:sz w:val="20"/>
          <w:szCs w:val="20"/>
        </w:rPr>
        <w:t xml:space="preserve"> </w:t>
      </w:r>
      <w:r w:rsidR="00257DF2">
        <w:rPr>
          <w:rFonts w:ascii="Arial" w:hAnsi="Arial" w:cs="Arial"/>
          <w:bCs/>
          <w:color w:val="000000"/>
          <w:kern w:val="24"/>
          <w:sz w:val="20"/>
          <w:szCs w:val="20"/>
        </w:rPr>
        <w:t xml:space="preserve">con </w:t>
      </w:r>
      <w:r w:rsidR="00273CE8" w:rsidRPr="00257DF2">
        <w:rPr>
          <w:rFonts w:ascii="Arial" w:hAnsi="Arial" w:cs="Arial"/>
          <w:bCs/>
          <w:color w:val="000000"/>
          <w:kern w:val="24"/>
          <w:sz w:val="20"/>
          <w:szCs w:val="20"/>
        </w:rPr>
        <w:t xml:space="preserve">respecto </w:t>
      </w:r>
      <w:r w:rsidR="00257DF2">
        <w:rPr>
          <w:rFonts w:ascii="Arial" w:hAnsi="Arial" w:cs="Arial"/>
          <w:bCs/>
          <w:color w:val="000000"/>
          <w:kern w:val="24"/>
          <w:sz w:val="20"/>
          <w:szCs w:val="20"/>
        </w:rPr>
        <w:t>a</w:t>
      </w:r>
      <w:r w:rsidR="00273CE8" w:rsidRPr="00257DF2">
        <w:rPr>
          <w:rFonts w:ascii="Arial" w:hAnsi="Arial" w:cs="Arial"/>
          <w:bCs/>
          <w:color w:val="000000"/>
          <w:kern w:val="24"/>
          <w:sz w:val="20"/>
          <w:szCs w:val="20"/>
        </w:rPr>
        <w:t xml:space="preserve"> </w:t>
      </w:r>
      <w:r w:rsidR="00645069" w:rsidRPr="00257DF2">
        <w:rPr>
          <w:rFonts w:ascii="Arial" w:hAnsi="Arial" w:cs="Arial"/>
          <w:bCs/>
          <w:color w:val="000000"/>
          <w:kern w:val="24"/>
          <w:sz w:val="20"/>
          <w:szCs w:val="20"/>
        </w:rPr>
        <w:t>febrero</w:t>
      </w:r>
      <w:r w:rsidR="00273CE8" w:rsidRPr="00257DF2">
        <w:rPr>
          <w:rFonts w:ascii="Arial" w:hAnsi="Arial" w:cs="Arial"/>
          <w:bCs/>
          <w:color w:val="000000"/>
          <w:kern w:val="24"/>
          <w:sz w:val="20"/>
          <w:szCs w:val="20"/>
        </w:rPr>
        <w:t xml:space="preserve"> de 2018</w:t>
      </w:r>
      <w:r w:rsidRPr="00257DF2">
        <w:rPr>
          <w:rFonts w:ascii="Arial" w:hAnsi="Arial" w:cs="Arial"/>
          <w:bCs/>
          <w:color w:val="000000"/>
          <w:kern w:val="24"/>
          <w:sz w:val="20"/>
          <w:szCs w:val="20"/>
        </w:rPr>
        <w:t>.</w:t>
      </w:r>
      <w:r w:rsidR="00A53D6F" w:rsidRPr="00257DF2">
        <w:rPr>
          <w:rFonts w:ascii="Arial" w:hAnsi="Arial" w:cs="Arial"/>
          <w:bCs/>
          <w:color w:val="000000"/>
          <w:kern w:val="24"/>
          <w:sz w:val="20"/>
          <w:szCs w:val="20"/>
        </w:rPr>
        <w:t xml:space="preserve"> Cabe recordar que </w:t>
      </w:r>
      <w:r w:rsidR="00257DF2">
        <w:rPr>
          <w:rFonts w:ascii="Arial" w:hAnsi="Arial" w:cs="Arial"/>
          <w:bCs/>
          <w:color w:val="000000"/>
          <w:kern w:val="24"/>
          <w:sz w:val="20"/>
          <w:szCs w:val="20"/>
        </w:rPr>
        <w:t xml:space="preserve">en </w:t>
      </w:r>
      <w:r w:rsidR="00527CD6" w:rsidRPr="00257DF2">
        <w:rPr>
          <w:rFonts w:ascii="Arial" w:hAnsi="Arial" w:cs="Arial"/>
          <w:bCs/>
          <w:color w:val="000000"/>
          <w:kern w:val="24"/>
          <w:sz w:val="20"/>
          <w:szCs w:val="20"/>
        </w:rPr>
        <w:t>febrero</w:t>
      </w:r>
      <w:r w:rsidR="000B5443">
        <w:rPr>
          <w:rFonts w:ascii="Arial" w:hAnsi="Arial" w:cs="Arial"/>
          <w:bCs/>
          <w:color w:val="000000"/>
          <w:kern w:val="24"/>
          <w:sz w:val="20"/>
          <w:szCs w:val="20"/>
        </w:rPr>
        <w:t xml:space="preserve"> de</w:t>
      </w:r>
      <w:r w:rsidR="00D93042">
        <w:rPr>
          <w:rFonts w:ascii="Arial" w:hAnsi="Arial" w:cs="Arial"/>
          <w:bCs/>
          <w:color w:val="000000"/>
          <w:kern w:val="24"/>
          <w:sz w:val="20"/>
          <w:szCs w:val="20"/>
        </w:rPr>
        <w:t xml:space="preserve"> 2017 </w:t>
      </w:r>
      <w:r w:rsidR="00257DF2">
        <w:rPr>
          <w:rFonts w:ascii="Arial" w:hAnsi="Arial" w:cs="Arial"/>
          <w:bCs/>
          <w:color w:val="000000"/>
          <w:kern w:val="24"/>
          <w:sz w:val="20"/>
          <w:szCs w:val="20"/>
        </w:rPr>
        <w:t xml:space="preserve">se </w:t>
      </w:r>
      <w:r w:rsidR="00DA411B" w:rsidRPr="00257DF2">
        <w:rPr>
          <w:rFonts w:ascii="Arial" w:hAnsi="Arial" w:cs="Arial"/>
          <w:bCs/>
          <w:color w:val="000000"/>
          <w:kern w:val="24"/>
          <w:sz w:val="20"/>
          <w:szCs w:val="20"/>
        </w:rPr>
        <w:t>registr</w:t>
      </w:r>
      <w:r w:rsidR="00257DF2">
        <w:rPr>
          <w:rFonts w:ascii="Arial" w:hAnsi="Arial" w:cs="Arial"/>
          <w:bCs/>
          <w:color w:val="000000"/>
          <w:kern w:val="24"/>
          <w:sz w:val="20"/>
          <w:szCs w:val="20"/>
        </w:rPr>
        <w:t>aron</w:t>
      </w:r>
      <w:r w:rsidR="007439F9" w:rsidRPr="00257DF2">
        <w:rPr>
          <w:rFonts w:ascii="Arial" w:hAnsi="Arial" w:cs="Arial"/>
          <w:bCs/>
          <w:color w:val="000000"/>
          <w:kern w:val="24"/>
          <w:sz w:val="20"/>
          <w:szCs w:val="20"/>
        </w:rPr>
        <w:t xml:space="preserve"> </w:t>
      </w:r>
      <w:r w:rsidR="00527CD6" w:rsidRPr="00257DF2">
        <w:rPr>
          <w:rFonts w:ascii="Arial" w:hAnsi="Arial" w:cs="Arial"/>
          <w:bCs/>
          <w:color w:val="000000"/>
          <w:kern w:val="24"/>
          <w:sz w:val="20"/>
          <w:szCs w:val="20"/>
        </w:rPr>
        <w:t>devoluciones</w:t>
      </w:r>
      <w:r w:rsidR="007439F9" w:rsidRPr="00257DF2">
        <w:rPr>
          <w:rFonts w:ascii="Arial" w:hAnsi="Arial" w:cs="Arial"/>
          <w:bCs/>
          <w:color w:val="000000"/>
          <w:kern w:val="24"/>
          <w:sz w:val="20"/>
          <w:szCs w:val="20"/>
        </w:rPr>
        <w:t xml:space="preserve"> ex</w:t>
      </w:r>
      <w:r w:rsidR="00DA411B" w:rsidRPr="00257DF2">
        <w:rPr>
          <w:rFonts w:ascii="Arial" w:hAnsi="Arial" w:cs="Arial"/>
          <w:bCs/>
          <w:color w:val="000000"/>
          <w:kern w:val="24"/>
          <w:sz w:val="20"/>
          <w:szCs w:val="20"/>
        </w:rPr>
        <w:t xml:space="preserve">traordinarias </w:t>
      </w:r>
      <w:r w:rsidR="00257DF2">
        <w:rPr>
          <w:rFonts w:ascii="Arial" w:hAnsi="Arial" w:cs="Arial"/>
          <w:bCs/>
          <w:color w:val="000000"/>
          <w:kern w:val="24"/>
          <w:sz w:val="20"/>
          <w:szCs w:val="20"/>
        </w:rPr>
        <w:t>debido a que se</w:t>
      </w:r>
      <w:r w:rsidR="00DA411B" w:rsidRPr="00257DF2">
        <w:rPr>
          <w:rFonts w:ascii="Arial" w:hAnsi="Arial" w:cs="Arial"/>
          <w:bCs/>
          <w:color w:val="000000"/>
          <w:kern w:val="24"/>
          <w:sz w:val="20"/>
          <w:szCs w:val="20"/>
        </w:rPr>
        <w:t xml:space="preserve"> aten</w:t>
      </w:r>
      <w:r w:rsidR="00D93042">
        <w:rPr>
          <w:rFonts w:ascii="Arial" w:hAnsi="Arial" w:cs="Arial"/>
          <w:bCs/>
          <w:color w:val="000000"/>
          <w:kern w:val="24"/>
          <w:sz w:val="20"/>
          <w:szCs w:val="20"/>
        </w:rPr>
        <w:t xml:space="preserve">dió </w:t>
      </w:r>
      <w:r w:rsidR="00DA411B" w:rsidRPr="00257DF2">
        <w:rPr>
          <w:rFonts w:ascii="Arial" w:hAnsi="Arial" w:cs="Arial"/>
          <w:bCs/>
          <w:color w:val="000000"/>
          <w:kern w:val="24"/>
          <w:sz w:val="20"/>
          <w:szCs w:val="20"/>
        </w:rPr>
        <w:t xml:space="preserve">un </w:t>
      </w:r>
      <w:r w:rsidR="007439F9" w:rsidRPr="00257DF2">
        <w:rPr>
          <w:rFonts w:ascii="Arial" w:hAnsi="Arial" w:cs="Arial"/>
          <w:bCs/>
          <w:color w:val="000000"/>
          <w:kern w:val="24"/>
          <w:sz w:val="20"/>
          <w:szCs w:val="20"/>
        </w:rPr>
        <w:t>mandato judicial</w:t>
      </w:r>
      <w:r w:rsidR="00257DF2">
        <w:rPr>
          <w:rFonts w:ascii="Arial" w:hAnsi="Arial" w:cs="Arial"/>
          <w:bCs/>
          <w:color w:val="000000"/>
          <w:kern w:val="24"/>
          <w:sz w:val="20"/>
          <w:szCs w:val="20"/>
        </w:rPr>
        <w:t>. Además,</w:t>
      </w:r>
      <w:r w:rsidR="00B108DA" w:rsidRPr="00257DF2">
        <w:rPr>
          <w:rFonts w:ascii="Arial" w:hAnsi="Arial" w:cs="Arial"/>
          <w:bCs/>
          <w:color w:val="000000"/>
          <w:kern w:val="24"/>
          <w:sz w:val="20"/>
          <w:szCs w:val="20"/>
        </w:rPr>
        <w:t xml:space="preserve"> </w:t>
      </w:r>
      <w:r w:rsidR="00A53D6F" w:rsidRPr="00257DF2">
        <w:rPr>
          <w:rFonts w:ascii="Arial" w:hAnsi="Arial" w:cs="Arial"/>
          <w:bCs/>
          <w:color w:val="000000"/>
          <w:kern w:val="24"/>
          <w:sz w:val="20"/>
          <w:szCs w:val="20"/>
        </w:rPr>
        <w:t xml:space="preserve">desde </w:t>
      </w:r>
      <w:r w:rsidR="00527CD6" w:rsidRPr="00257DF2">
        <w:rPr>
          <w:rFonts w:ascii="Arial" w:hAnsi="Arial" w:cs="Arial"/>
          <w:bCs/>
          <w:color w:val="000000"/>
          <w:kern w:val="24"/>
          <w:sz w:val="20"/>
          <w:szCs w:val="20"/>
        </w:rPr>
        <w:t xml:space="preserve">el 1° de </w:t>
      </w:r>
      <w:r w:rsidR="00A53D6F" w:rsidRPr="00257DF2">
        <w:rPr>
          <w:rFonts w:ascii="Arial" w:hAnsi="Arial" w:cs="Arial"/>
          <w:bCs/>
          <w:color w:val="000000"/>
          <w:kern w:val="24"/>
          <w:sz w:val="20"/>
          <w:szCs w:val="20"/>
        </w:rPr>
        <w:t>enero</w:t>
      </w:r>
      <w:r w:rsidR="00527CD6" w:rsidRPr="00257DF2">
        <w:rPr>
          <w:rFonts w:ascii="Arial" w:hAnsi="Arial" w:cs="Arial"/>
          <w:bCs/>
          <w:color w:val="000000"/>
          <w:kern w:val="24"/>
          <w:sz w:val="20"/>
          <w:szCs w:val="20"/>
        </w:rPr>
        <w:t xml:space="preserve"> </w:t>
      </w:r>
      <w:r w:rsidR="00257DF2">
        <w:rPr>
          <w:rFonts w:ascii="Arial" w:hAnsi="Arial" w:cs="Arial"/>
          <w:bCs/>
          <w:color w:val="000000"/>
          <w:kern w:val="24"/>
          <w:sz w:val="20"/>
          <w:szCs w:val="20"/>
        </w:rPr>
        <w:t xml:space="preserve">de </w:t>
      </w:r>
      <w:r w:rsidR="00D93042">
        <w:rPr>
          <w:rFonts w:ascii="Arial" w:hAnsi="Arial" w:cs="Arial"/>
          <w:bCs/>
          <w:color w:val="000000"/>
          <w:kern w:val="24"/>
          <w:sz w:val="20"/>
          <w:szCs w:val="20"/>
        </w:rPr>
        <w:t xml:space="preserve">2018 </w:t>
      </w:r>
      <w:r w:rsidR="00527CD6" w:rsidRPr="00257DF2">
        <w:rPr>
          <w:rFonts w:ascii="Arial" w:hAnsi="Arial" w:cs="Arial"/>
          <w:bCs/>
          <w:color w:val="000000"/>
          <w:kern w:val="24"/>
          <w:sz w:val="20"/>
          <w:szCs w:val="20"/>
        </w:rPr>
        <w:t>r</w:t>
      </w:r>
      <w:r w:rsidR="00A53D6F" w:rsidRPr="00257DF2">
        <w:rPr>
          <w:rFonts w:ascii="Arial" w:hAnsi="Arial" w:cs="Arial"/>
          <w:bCs/>
          <w:color w:val="000000"/>
          <w:kern w:val="24"/>
          <w:sz w:val="20"/>
          <w:szCs w:val="20"/>
        </w:rPr>
        <w:t xml:space="preserve">ige una </w:t>
      </w:r>
      <w:r w:rsidR="00527CD6" w:rsidRPr="00257DF2">
        <w:rPr>
          <w:rFonts w:ascii="Arial" w:hAnsi="Arial" w:cs="Arial"/>
          <w:bCs/>
          <w:color w:val="000000"/>
          <w:kern w:val="24"/>
          <w:sz w:val="20"/>
          <w:szCs w:val="20"/>
        </w:rPr>
        <w:t>menor t</w:t>
      </w:r>
      <w:r w:rsidR="00A53D6F" w:rsidRPr="00257DF2">
        <w:rPr>
          <w:rFonts w:ascii="Arial" w:hAnsi="Arial" w:cs="Arial"/>
          <w:bCs/>
          <w:color w:val="000000"/>
          <w:kern w:val="24"/>
          <w:sz w:val="20"/>
          <w:szCs w:val="20"/>
        </w:rPr>
        <w:t xml:space="preserve">asa de </w:t>
      </w:r>
      <w:r w:rsidR="00D93042" w:rsidRPr="00D93042">
        <w:rPr>
          <w:rFonts w:ascii="Arial" w:hAnsi="Arial" w:cs="Arial"/>
          <w:bCs/>
          <w:color w:val="000000"/>
          <w:kern w:val="24"/>
          <w:sz w:val="20"/>
          <w:szCs w:val="20"/>
        </w:rPr>
        <w:t>procedimiento simplificado de restitución arancelaria</w:t>
      </w:r>
      <w:r w:rsidR="00D93042">
        <w:rPr>
          <w:rFonts w:ascii="Arial" w:hAnsi="Arial" w:cs="Arial"/>
          <w:bCs/>
          <w:color w:val="000000"/>
          <w:kern w:val="24"/>
          <w:sz w:val="20"/>
          <w:szCs w:val="20"/>
        </w:rPr>
        <w:t xml:space="preserve"> - </w:t>
      </w:r>
      <w:r w:rsidR="00A53D6F" w:rsidRPr="00257DF2">
        <w:rPr>
          <w:rFonts w:ascii="Arial" w:hAnsi="Arial" w:cs="Arial"/>
          <w:bCs/>
          <w:color w:val="000000"/>
          <w:kern w:val="24"/>
          <w:sz w:val="20"/>
          <w:szCs w:val="20"/>
        </w:rPr>
        <w:t xml:space="preserve">drawback </w:t>
      </w:r>
      <w:r w:rsidR="00527CD6" w:rsidRPr="00257DF2">
        <w:rPr>
          <w:rFonts w:ascii="Arial" w:hAnsi="Arial" w:cs="Arial"/>
          <w:bCs/>
          <w:color w:val="000000"/>
          <w:kern w:val="24"/>
          <w:sz w:val="20"/>
          <w:szCs w:val="20"/>
        </w:rPr>
        <w:t>(</w:t>
      </w:r>
      <w:r w:rsidR="00A53D6F" w:rsidRPr="00257DF2">
        <w:rPr>
          <w:rFonts w:ascii="Arial" w:hAnsi="Arial" w:cs="Arial"/>
          <w:bCs/>
          <w:color w:val="000000"/>
          <w:kern w:val="24"/>
          <w:sz w:val="20"/>
          <w:szCs w:val="20"/>
        </w:rPr>
        <w:t>3%</w:t>
      </w:r>
      <w:r w:rsidR="00527CD6" w:rsidRPr="00257DF2">
        <w:rPr>
          <w:rFonts w:ascii="Arial" w:hAnsi="Arial" w:cs="Arial"/>
          <w:bCs/>
          <w:color w:val="000000"/>
          <w:kern w:val="24"/>
          <w:sz w:val="20"/>
          <w:szCs w:val="20"/>
        </w:rPr>
        <w:t>)</w:t>
      </w:r>
      <w:r w:rsidR="00A53D6F" w:rsidRPr="00257DF2">
        <w:rPr>
          <w:rFonts w:ascii="Arial" w:hAnsi="Arial" w:cs="Arial"/>
          <w:bCs/>
          <w:color w:val="000000"/>
          <w:kern w:val="24"/>
          <w:sz w:val="20"/>
          <w:szCs w:val="20"/>
        </w:rPr>
        <w:t>.</w:t>
      </w:r>
    </w:p>
    <w:p w:rsidR="00296B67" w:rsidRPr="00415EA3" w:rsidRDefault="00296B67" w:rsidP="008B4A81">
      <w:pPr>
        <w:jc w:val="center"/>
        <w:rPr>
          <w:rFonts w:ascii="Arial" w:hAnsi="Arial" w:cs="Arial"/>
          <w:b/>
          <w:color w:val="4472C4"/>
          <w:kern w:val="24"/>
          <w:sz w:val="20"/>
          <w:szCs w:val="20"/>
        </w:rPr>
      </w:pPr>
      <w:r w:rsidRPr="00714628">
        <w:rPr>
          <w:rFonts w:ascii="Arial" w:hAnsi="Arial" w:cs="Arial"/>
          <w:color w:val="000000"/>
          <w:kern w:val="24"/>
          <w:sz w:val="20"/>
          <w:szCs w:val="20"/>
        </w:rPr>
        <w:br w:type="page"/>
      </w:r>
      <w:r w:rsidRPr="00415EA3">
        <w:rPr>
          <w:rFonts w:ascii="Arial" w:hAnsi="Arial" w:cs="Arial"/>
          <w:b/>
          <w:kern w:val="24"/>
          <w:sz w:val="20"/>
          <w:szCs w:val="20"/>
        </w:rPr>
        <w:lastRenderedPageBreak/>
        <w:t>ANEXO 1</w:t>
      </w:r>
    </w:p>
    <w:p w:rsidR="00296B67" w:rsidRPr="004323A8" w:rsidRDefault="00296B67" w:rsidP="00296B67">
      <w:pPr>
        <w:pStyle w:val="Textoindependiente"/>
        <w:spacing w:after="0" w:line="240" w:lineRule="auto"/>
        <w:ind w:left="-597" w:right="-57"/>
        <w:jc w:val="center"/>
        <w:rPr>
          <w:rFonts w:ascii="Arial" w:hAnsi="Arial" w:cs="Arial"/>
          <w:lang w:val="es-PE"/>
        </w:rPr>
      </w:pPr>
      <w:r w:rsidRPr="004323A8">
        <w:rPr>
          <w:rFonts w:ascii="Arial" w:hAnsi="Arial" w:cs="Arial"/>
          <w:lang w:val="es-PE"/>
        </w:rPr>
        <w:t xml:space="preserve">                 Recaudación por Tributo</w:t>
      </w:r>
    </w:p>
    <w:p w:rsidR="00296B67" w:rsidRPr="004323A8" w:rsidRDefault="00296B67" w:rsidP="00296B67">
      <w:pPr>
        <w:pStyle w:val="Textoindependiente"/>
        <w:spacing w:after="0" w:line="240" w:lineRule="auto"/>
        <w:ind w:left="-597" w:right="-57"/>
        <w:jc w:val="center"/>
        <w:rPr>
          <w:rFonts w:ascii="Arial" w:hAnsi="Arial" w:cs="Arial"/>
          <w:lang w:val="es-PE"/>
        </w:rPr>
      </w:pPr>
      <w:r w:rsidRPr="004323A8">
        <w:rPr>
          <w:rFonts w:ascii="Arial" w:hAnsi="Arial" w:cs="Arial"/>
          <w:lang w:val="es-PE"/>
        </w:rPr>
        <w:t xml:space="preserve">                  (En millones de soles variación% real)</w:t>
      </w:r>
    </w:p>
    <w:p w:rsidR="00296B67" w:rsidRPr="00714628" w:rsidRDefault="00545AE4" w:rsidP="00296B67">
      <w:pPr>
        <w:spacing w:line="276" w:lineRule="auto"/>
        <w:jc w:val="center"/>
        <w:rPr>
          <w:rFonts w:ascii="Arial" w:hAnsi="Arial" w:cs="Arial"/>
          <w:b/>
          <w:color w:val="000000"/>
          <w:kern w:val="24"/>
          <w:sz w:val="20"/>
          <w:szCs w:val="20"/>
        </w:rPr>
      </w:pPr>
      <w:r>
        <w:rPr>
          <w:noProof/>
          <w:lang w:eastAsia="es-PE"/>
        </w:rPr>
        <w:drawing>
          <wp:inline distT="0" distB="0" distL="0" distR="0">
            <wp:extent cx="6181090" cy="4991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AE" w:rsidRPr="00714628" w:rsidRDefault="00FC79AE" w:rsidP="00296B67">
      <w:pPr>
        <w:spacing w:line="276" w:lineRule="auto"/>
        <w:jc w:val="center"/>
        <w:rPr>
          <w:rFonts w:ascii="Arial" w:hAnsi="Arial" w:cs="Arial"/>
          <w:b/>
          <w:color w:val="000000"/>
          <w:kern w:val="24"/>
          <w:sz w:val="20"/>
          <w:szCs w:val="20"/>
        </w:rPr>
      </w:pPr>
    </w:p>
    <w:p w:rsidR="00FC79AE" w:rsidRPr="00714628" w:rsidRDefault="00FC79AE" w:rsidP="00296B67">
      <w:pPr>
        <w:spacing w:line="276" w:lineRule="auto"/>
        <w:jc w:val="center"/>
        <w:rPr>
          <w:rFonts w:ascii="Arial" w:hAnsi="Arial" w:cs="Arial"/>
          <w:b/>
          <w:color w:val="000000"/>
          <w:kern w:val="24"/>
          <w:sz w:val="20"/>
          <w:szCs w:val="20"/>
        </w:rPr>
      </w:pPr>
    </w:p>
    <w:p w:rsidR="00FC79AE" w:rsidRPr="00714628" w:rsidRDefault="00FC79AE" w:rsidP="00FC79AE">
      <w:pPr>
        <w:spacing w:after="0" w:line="276" w:lineRule="auto"/>
        <w:rPr>
          <w:rFonts w:ascii="Arial" w:hAnsi="Arial" w:cs="Arial"/>
          <w:b/>
          <w:color w:val="000000"/>
          <w:kern w:val="24"/>
          <w:sz w:val="20"/>
          <w:szCs w:val="20"/>
        </w:rPr>
      </w:pPr>
      <w:r w:rsidRPr="00714628">
        <w:rPr>
          <w:rFonts w:ascii="Arial" w:hAnsi="Arial" w:cs="Arial"/>
          <w:b/>
          <w:color w:val="000000"/>
          <w:kern w:val="24"/>
          <w:sz w:val="20"/>
          <w:szCs w:val="20"/>
        </w:rPr>
        <w:t>Gerencia de Comunicaciones e Imagen Institucional</w:t>
      </w:r>
    </w:p>
    <w:p w:rsidR="00FC79AE" w:rsidRPr="00714628" w:rsidRDefault="00FC79AE" w:rsidP="00FC79AE">
      <w:pPr>
        <w:spacing w:after="0" w:line="276" w:lineRule="auto"/>
        <w:rPr>
          <w:rFonts w:ascii="Arial" w:hAnsi="Arial" w:cs="Arial"/>
          <w:color w:val="000000"/>
          <w:kern w:val="24"/>
          <w:sz w:val="20"/>
          <w:szCs w:val="20"/>
        </w:rPr>
      </w:pPr>
      <w:r w:rsidRPr="00714628">
        <w:rPr>
          <w:rFonts w:ascii="Arial" w:hAnsi="Arial" w:cs="Arial"/>
          <w:color w:val="000000"/>
          <w:kern w:val="24"/>
          <w:sz w:val="20"/>
          <w:szCs w:val="20"/>
        </w:rPr>
        <w:t xml:space="preserve">Lima, </w:t>
      </w:r>
      <w:r w:rsidR="002D2A94">
        <w:rPr>
          <w:rFonts w:ascii="Arial" w:hAnsi="Arial" w:cs="Arial"/>
          <w:color w:val="000000"/>
          <w:kern w:val="24"/>
          <w:sz w:val="20"/>
          <w:szCs w:val="20"/>
        </w:rPr>
        <w:t>jueves</w:t>
      </w:r>
      <w:r w:rsidR="00DA411B">
        <w:rPr>
          <w:rFonts w:ascii="Arial" w:hAnsi="Arial" w:cs="Arial"/>
          <w:color w:val="000000"/>
          <w:kern w:val="24"/>
          <w:sz w:val="20"/>
          <w:szCs w:val="20"/>
        </w:rPr>
        <w:t xml:space="preserve"> </w:t>
      </w:r>
      <w:r w:rsidR="0094357D">
        <w:rPr>
          <w:rFonts w:ascii="Arial" w:hAnsi="Arial" w:cs="Arial"/>
          <w:color w:val="000000"/>
          <w:kern w:val="24"/>
          <w:sz w:val="20"/>
          <w:szCs w:val="20"/>
        </w:rPr>
        <w:t>1</w:t>
      </w:r>
      <w:r w:rsidR="002D2A94">
        <w:rPr>
          <w:rFonts w:ascii="Arial" w:hAnsi="Arial" w:cs="Arial"/>
          <w:color w:val="000000"/>
          <w:kern w:val="24"/>
          <w:sz w:val="20"/>
          <w:szCs w:val="20"/>
        </w:rPr>
        <w:t>4</w:t>
      </w:r>
      <w:r w:rsidRPr="00714628">
        <w:rPr>
          <w:rFonts w:ascii="Arial" w:hAnsi="Arial" w:cs="Arial"/>
          <w:color w:val="000000"/>
          <w:kern w:val="24"/>
          <w:sz w:val="20"/>
          <w:szCs w:val="20"/>
        </w:rPr>
        <w:t xml:space="preserve"> de </w:t>
      </w:r>
      <w:r w:rsidR="00F25A0A">
        <w:rPr>
          <w:rFonts w:ascii="Arial" w:hAnsi="Arial" w:cs="Arial"/>
          <w:color w:val="000000"/>
          <w:kern w:val="24"/>
          <w:sz w:val="20"/>
          <w:szCs w:val="20"/>
        </w:rPr>
        <w:t>marzo</w:t>
      </w:r>
      <w:r w:rsidRPr="00714628">
        <w:rPr>
          <w:rFonts w:ascii="Arial" w:hAnsi="Arial" w:cs="Arial"/>
          <w:color w:val="000000"/>
          <w:kern w:val="24"/>
          <w:sz w:val="20"/>
          <w:szCs w:val="20"/>
        </w:rPr>
        <w:t xml:space="preserve"> del 2019</w:t>
      </w:r>
    </w:p>
    <w:sectPr w:rsidR="00FC79AE" w:rsidRPr="00714628" w:rsidSect="00173624">
      <w:headerReference w:type="default" r:id="rId16"/>
      <w:footerReference w:type="defaul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490" w:rsidRDefault="00425490" w:rsidP="00D57CD9">
      <w:pPr>
        <w:spacing w:after="0" w:line="240" w:lineRule="auto"/>
      </w:pPr>
      <w:r>
        <w:separator/>
      </w:r>
    </w:p>
  </w:endnote>
  <w:endnote w:type="continuationSeparator" w:id="0">
    <w:p w:rsidR="00425490" w:rsidRDefault="00425490" w:rsidP="00D5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tique Olive Roman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20" w:rsidRDefault="00A60120">
    <w:pPr>
      <w:pStyle w:val="Piedepgina"/>
    </w:pPr>
    <w:r>
      <w:rPr>
        <w:rFonts w:ascii="Antique Olive Roman" w:hAnsi="Antique Olive Roman" w:cs="Aharoni"/>
        <w:b/>
        <w:noProof/>
        <w:szCs w:val="20"/>
        <w:lang w:eastAsia="es-PE"/>
      </w:rPr>
      <w:drawing>
        <wp:inline distT="0" distB="0" distL="0" distR="0">
          <wp:extent cx="292735" cy="292735"/>
          <wp:effectExtent l="0" t="0" r="0" b="0"/>
          <wp:docPr id="10" name="Imagen 2" descr="Descripción: Descripción: logo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logotwi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ntique Olive Roman" w:hAnsi="Antique Olive Roman" w:cs="Aharoni"/>
        <w:b/>
        <w:szCs w:val="20"/>
      </w:rPr>
      <w:t xml:space="preserve">  @SUNATOficial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490" w:rsidRDefault="00425490" w:rsidP="00D57CD9">
      <w:pPr>
        <w:spacing w:after="0" w:line="240" w:lineRule="auto"/>
      </w:pPr>
      <w:r>
        <w:separator/>
      </w:r>
    </w:p>
  </w:footnote>
  <w:footnote w:type="continuationSeparator" w:id="0">
    <w:p w:rsidR="00425490" w:rsidRDefault="00425490" w:rsidP="00D57CD9">
      <w:pPr>
        <w:spacing w:after="0" w:line="240" w:lineRule="auto"/>
      </w:pPr>
      <w:r>
        <w:continuationSeparator/>
      </w:r>
    </w:p>
  </w:footnote>
  <w:footnote w:id="1">
    <w:p w:rsidR="00A60120" w:rsidRPr="00DF7A34" w:rsidRDefault="00A60120" w:rsidP="00B34996">
      <w:pPr>
        <w:pStyle w:val="Textonotapie"/>
        <w:rPr>
          <w:rFonts w:ascii="Arial" w:hAnsi="Arial" w:cs="Arial"/>
          <w:sz w:val="16"/>
          <w:szCs w:val="16"/>
        </w:rPr>
      </w:pPr>
      <w:r w:rsidRPr="00DF7A34">
        <w:rPr>
          <w:rStyle w:val="Refdenotaalpie"/>
          <w:rFonts w:ascii="Arial" w:hAnsi="Arial" w:cs="Arial"/>
          <w:sz w:val="16"/>
          <w:szCs w:val="16"/>
        </w:rPr>
        <w:footnoteRef/>
      </w:r>
      <w:r w:rsidRPr="00DF7A34">
        <w:rPr>
          <w:rFonts w:ascii="Arial" w:hAnsi="Arial" w:cs="Arial"/>
          <w:sz w:val="16"/>
          <w:szCs w:val="16"/>
        </w:rPr>
        <w:t xml:space="preserve"> </w:t>
      </w:r>
      <w:r w:rsidRPr="00714628">
        <w:rPr>
          <w:rFonts w:ascii="Arial" w:hAnsi="Arial" w:cs="Arial"/>
          <w:color w:val="000000"/>
          <w:kern w:val="24"/>
          <w:sz w:val="16"/>
          <w:szCs w:val="16"/>
        </w:rPr>
        <w:t>Ver Anexo 1.</w:t>
      </w:r>
    </w:p>
  </w:footnote>
  <w:footnote w:id="2">
    <w:p w:rsidR="00A60120" w:rsidRPr="00DF7A34" w:rsidRDefault="00A60120">
      <w:pPr>
        <w:pStyle w:val="Textonotapie"/>
        <w:rPr>
          <w:rFonts w:ascii="Arial" w:hAnsi="Arial" w:cs="Arial"/>
          <w:sz w:val="16"/>
          <w:szCs w:val="16"/>
        </w:rPr>
      </w:pPr>
      <w:r w:rsidRPr="00DF7A34">
        <w:rPr>
          <w:rStyle w:val="Refdenotaalpie"/>
          <w:rFonts w:ascii="Arial" w:hAnsi="Arial" w:cs="Arial"/>
          <w:sz w:val="16"/>
          <w:szCs w:val="16"/>
        </w:rPr>
        <w:footnoteRef/>
      </w:r>
      <w:r w:rsidRPr="00DF7A34">
        <w:rPr>
          <w:rFonts w:ascii="Arial" w:hAnsi="Arial" w:cs="Arial"/>
          <w:sz w:val="16"/>
          <w:szCs w:val="16"/>
        </w:rPr>
        <w:t xml:space="preserve"> </w:t>
      </w:r>
      <w:r w:rsidRPr="00DF7A34">
        <w:rPr>
          <w:rFonts w:ascii="Arial" w:hAnsi="Arial" w:cs="Arial"/>
          <w:kern w:val="24"/>
          <w:sz w:val="16"/>
          <w:szCs w:val="16"/>
          <w:lang w:val="es-ES"/>
        </w:rPr>
        <w:t>Todas las variaciones porcentuales en este documento se expresan en términos reales, salvo indicación en contrario.</w:t>
      </w:r>
    </w:p>
  </w:footnote>
  <w:footnote w:id="3">
    <w:p w:rsidR="00A60120" w:rsidRPr="00DF7A34" w:rsidRDefault="00A60120" w:rsidP="00AA3EF7">
      <w:pPr>
        <w:pStyle w:val="Textonotapie"/>
        <w:rPr>
          <w:rFonts w:ascii="Arial" w:hAnsi="Arial" w:cs="Arial"/>
          <w:sz w:val="16"/>
          <w:szCs w:val="16"/>
        </w:rPr>
      </w:pPr>
      <w:r w:rsidRPr="00DF7A34">
        <w:rPr>
          <w:rStyle w:val="Refdenotaalpie"/>
          <w:rFonts w:ascii="Arial" w:hAnsi="Arial" w:cs="Arial"/>
          <w:sz w:val="16"/>
          <w:szCs w:val="16"/>
        </w:rPr>
        <w:footnoteRef/>
      </w:r>
      <w:r w:rsidRPr="00DF7A3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D.Leg N° 1369</w:t>
      </w:r>
      <w:r w:rsidR="00415EA3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p</w:t>
      </w:r>
      <w:r>
        <w:rPr>
          <w:rFonts w:ascii="Arial" w:hAnsi="Arial" w:cs="Arial"/>
          <w:kern w:val="24"/>
          <w:sz w:val="16"/>
          <w:szCs w:val="16"/>
          <w:lang w:val="es-ES"/>
        </w:rPr>
        <w:t xml:space="preserve">ublicado el 02 de agosto </w:t>
      </w:r>
      <w:r w:rsidR="00D93042">
        <w:rPr>
          <w:rFonts w:ascii="Arial" w:hAnsi="Arial" w:cs="Arial"/>
          <w:kern w:val="24"/>
          <w:sz w:val="16"/>
          <w:szCs w:val="16"/>
          <w:lang w:val="es-ES"/>
        </w:rPr>
        <w:t xml:space="preserve">de </w:t>
      </w:r>
      <w:r>
        <w:rPr>
          <w:rFonts w:ascii="Arial" w:hAnsi="Arial" w:cs="Arial"/>
          <w:kern w:val="24"/>
          <w:sz w:val="16"/>
          <w:szCs w:val="16"/>
          <w:lang w:val="es-ES"/>
        </w:rPr>
        <w:t>2018</w:t>
      </w:r>
      <w:r w:rsidRPr="00DF7A34">
        <w:rPr>
          <w:rFonts w:ascii="Arial" w:hAnsi="Arial" w:cs="Arial"/>
          <w:kern w:val="24"/>
          <w:sz w:val="16"/>
          <w:szCs w:val="16"/>
          <w:lang w:val="es-E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20" w:rsidRDefault="00844201">
    <w:pPr>
      <w:pStyle w:val="Encabezado"/>
    </w:pPr>
    <w:r>
      <w:rPr>
        <w:noProof/>
        <w:lang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1" o:spid="_x0000_s4097" type="#_x0000_t202" style="position:absolute;margin-left:341.1pt;margin-top:5.3pt;width:160.5pt;height:4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" stroked="f">
          <v:textbox>
            <w:txbxContent>
              <w:p w:rsidR="00A60120" w:rsidRPr="008B4A81" w:rsidRDefault="00A60120" w:rsidP="00845BD7">
                <w:pPr>
                  <w:spacing w:after="0" w:line="240" w:lineRule="auto"/>
                  <w:ind w:left="142"/>
                  <w:jc w:val="right"/>
                  <w:rPr>
                    <w:rFonts w:ascii="Arial" w:hAnsi="Arial" w:cs="Arial"/>
                    <w:b/>
                    <w:sz w:val="16"/>
                  </w:rPr>
                </w:pPr>
                <w:r w:rsidRPr="008B4A81">
                  <w:rPr>
                    <w:rFonts w:ascii="Arial" w:hAnsi="Arial" w:cs="Arial"/>
                    <w:b/>
                    <w:sz w:val="16"/>
                  </w:rPr>
                  <w:t>Gerencia de Comunicaciones</w:t>
                </w:r>
              </w:p>
              <w:p w:rsidR="00A60120" w:rsidRPr="008B4A81" w:rsidRDefault="00A60120" w:rsidP="00845BD7">
                <w:pPr>
                  <w:spacing w:after="0" w:line="240" w:lineRule="auto"/>
                  <w:ind w:left="142"/>
                  <w:jc w:val="right"/>
                  <w:rPr>
                    <w:rFonts w:ascii="Arial" w:hAnsi="Arial" w:cs="Arial"/>
                    <w:b/>
                    <w:sz w:val="16"/>
                  </w:rPr>
                </w:pPr>
                <w:r w:rsidRPr="008B4A81">
                  <w:rPr>
                    <w:rFonts w:ascii="Arial" w:hAnsi="Arial" w:cs="Arial"/>
                    <w:b/>
                    <w:sz w:val="16"/>
                  </w:rPr>
                  <w:t xml:space="preserve">Central: 634-3300 </w:t>
                </w:r>
              </w:p>
              <w:p w:rsidR="00A60120" w:rsidRPr="008B4A81" w:rsidRDefault="00A60120" w:rsidP="00845BD7">
                <w:pPr>
                  <w:spacing w:after="0" w:line="240" w:lineRule="auto"/>
                  <w:ind w:left="142"/>
                  <w:jc w:val="right"/>
                  <w:rPr>
                    <w:rFonts w:ascii="Arial" w:hAnsi="Arial" w:cs="Arial"/>
                    <w:b/>
                    <w:sz w:val="16"/>
                  </w:rPr>
                </w:pPr>
                <w:r w:rsidRPr="008B4A81">
                  <w:rPr>
                    <w:rFonts w:ascii="Arial" w:hAnsi="Arial" w:cs="Arial"/>
                    <w:b/>
                    <w:sz w:val="16"/>
                  </w:rPr>
                  <w:t xml:space="preserve"> Anexos: 50308/50309/50361</w:t>
                </w:r>
              </w:p>
              <w:p w:rsidR="00A60120" w:rsidRPr="008B4A81" w:rsidRDefault="00A60120" w:rsidP="00845BD7">
                <w:pPr>
                  <w:spacing w:after="0" w:line="240" w:lineRule="auto"/>
                  <w:rPr>
                    <w:rFonts w:ascii="Arial" w:hAnsi="Arial" w:cs="Arial"/>
                  </w:rPr>
                </w:pPr>
              </w:p>
            </w:txbxContent>
          </v:textbox>
        </v:shape>
      </w:pict>
    </w:r>
    <w:r w:rsidR="00A60120">
      <w:rPr>
        <w:noProof/>
        <w:lang w:eastAsia="es-PE"/>
      </w:rPr>
      <w:drawing>
        <wp:inline distT="0" distB="0" distL="0" distR="0">
          <wp:extent cx="2070100" cy="680085"/>
          <wp:effectExtent l="0" t="0" r="6350" b="5715"/>
          <wp:docPr id="9" name="Imagen 1" descr="Descripción: Descripción: logo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logo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37C"/>
    <w:multiLevelType w:val="hybridMultilevel"/>
    <w:tmpl w:val="92D45D5C"/>
    <w:lvl w:ilvl="0" w:tplc="280A0003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15D075C3"/>
    <w:multiLevelType w:val="hybridMultilevel"/>
    <w:tmpl w:val="32D69FD8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06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62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23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C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0D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24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AB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2E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4049A7"/>
    <w:multiLevelType w:val="hybridMultilevel"/>
    <w:tmpl w:val="A95A4DBA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01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E5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29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4A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828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86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E2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72D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B01C00"/>
    <w:multiLevelType w:val="hybridMultilevel"/>
    <w:tmpl w:val="CF64EA0A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DE5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C7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47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60A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0B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21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8EB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82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F833CA"/>
    <w:multiLevelType w:val="hybridMultilevel"/>
    <w:tmpl w:val="08725FD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B10997"/>
    <w:multiLevelType w:val="hybridMultilevel"/>
    <w:tmpl w:val="1A8A6DE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345308"/>
    <w:multiLevelType w:val="hybridMultilevel"/>
    <w:tmpl w:val="40268010"/>
    <w:lvl w:ilvl="0" w:tplc="82F8E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23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20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3CA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41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4D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901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09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CC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A760665"/>
    <w:multiLevelType w:val="hybridMultilevel"/>
    <w:tmpl w:val="FF4213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352E9"/>
    <w:multiLevelType w:val="hybridMultilevel"/>
    <w:tmpl w:val="06C299FA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966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49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CF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2F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89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C5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0E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E6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BF7271F"/>
    <w:multiLevelType w:val="hybridMultilevel"/>
    <w:tmpl w:val="030C32EC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F61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8D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02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26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8F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E5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EF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F00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B9844B5"/>
    <w:multiLevelType w:val="hybridMultilevel"/>
    <w:tmpl w:val="249A6A6C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2F73D6"/>
    <w:multiLevelType w:val="hybridMultilevel"/>
    <w:tmpl w:val="726026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21776"/>
    <w:multiLevelType w:val="hybridMultilevel"/>
    <w:tmpl w:val="99D28F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73624"/>
    <w:rsid w:val="0000227B"/>
    <w:rsid w:val="00003FA6"/>
    <w:rsid w:val="000069EA"/>
    <w:rsid w:val="00021583"/>
    <w:rsid w:val="00022B4E"/>
    <w:rsid w:val="000267A9"/>
    <w:rsid w:val="00032DDF"/>
    <w:rsid w:val="00033643"/>
    <w:rsid w:val="00037B09"/>
    <w:rsid w:val="00056880"/>
    <w:rsid w:val="00065946"/>
    <w:rsid w:val="0006726A"/>
    <w:rsid w:val="00084A29"/>
    <w:rsid w:val="00094711"/>
    <w:rsid w:val="000A266D"/>
    <w:rsid w:val="000A3F5E"/>
    <w:rsid w:val="000A4F40"/>
    <w:rsid w:val="000B5443"/>
    <w:rsid w:val="000B6A67"/>
    <w:rsid w:val="000D0455"/>
    <w:rsid w:val="000D4F4C"/>
    <w:rsid w:val="000F00FA"/>
    <w:rsid w:val="0013177F"/>
    <w:rsid w:val="001327E5"/>
    <w:rsid w:val="00161019"/>
    <w:rsid w:val="001702CA"/>
    <w:rsid w:val="00172C1B"/>
    <w:rsid w:val="00173624"/>
    <w:rsid w:val="001855D5"/>
    <w:rsid w:val="001B5173"/>
    <w:rsid w:val="001C01ED"/>
    <w:rsid w:val="001C75A8"/>
    <w:rsid w:val="001E344F"/>
    <w:rsid w:val="001E7E11"/>
    <w:rsid w:val="00204419"/>
    <w:rsid w:val="00205CA9"/>
    <w:rsid w:val="002122D0"/>
    <w:rsid w:val="00217974"/>
    <w:rsid w:val="00230E19"/>
    <w:rsid w:val="00231BC2"/>
    <w:rsid w:val="002358DA"/>
    <w:rsid w:val="00245499"/>
    <w:rsid w:val="00257DF2"/>
    <w:rsid w:val="002603E3"/>
    <w:rsid w:val="00273CE8"/>
    <w:rsid w:val="00273D3F"/>
    <w:rsid w:val="00275244"/>
    <w:rsid w:val="00276921"/>
    <w:rsid w:val="00286BEB"/>
    <w:rsid w:val="00293404"/>
    <w:rsid w:val="00296B67"/>
    <w:rsid w:val="002A4EAC"/>
    <w:rsid w:val="002A5976"/>
    <w:rsid w:val="002C35A2"/>
    <w:rsid w:val="002D2A94"/>
    <w:rsid w:val="002E4C59"/>
    <w:rsid w:val="002F0C2F"/>
    <w:rsid w:val="002F37F0"/>
    <w:rsid w:val="002F495A"/>
    <w:rsid w:val="002F59D5"/>
    <w:rsid w:val="00302EAB"/>
    <w:rsid w:val="0031199D"/>
    <w:rsid w:val="00311D87"/>
    <w:rsid w:val="0031211A"/>
    <w:rsid w:val="00320942"/>
    <w:rsid w:val="00331E94"/>
    <w:rsid w:val="00337B79"/>
    <w:rsid w:val="0034332B"/>
    <w:rsid w:val="00343EB4"/>
    <w:rsid w:val="003531BB"/>
    <w:rsid w:val="0035358E"/>
    <w:rsid w:val="003621F6"/>
    <w:rsid w:val="00380DAE"/>
    <w:rsid w:val="0038169A"/>
    <w:rsid w:val="00396153"/>
    <w:rsid w:val="00396EC2"/>
    <w:rsid w:val="003A2C51"/>
    <w:rsid w:val="003A414B"/>
    <w:rsid w:val="003B1C8B"/>
    <w:rsid w:val="003B41AB"/>
    <w:rsid w:val="003C300A"/>
    <w:rsid w:val="003D0451"/>
    <w:rsid w:val="003D7717"/>
    <w:rsid w:val="00403959"/>
    <w:rsid w:val="00412F1D"/>
    <w:rsid w:val="00415107"/>
    <w:rsid w:val="00415EA3"/>
    <w:rsid w:val="004209D5"/>
    <w:rsid w:val="00425490"/>
    <w:rsid w:val="00426E1B"/>
    <w:rsid w:val="004323A8"/>
    <w:rsid w:val="00433AF1"/>
    <w:rsid w:val="00434163"/>
    <w:rsid w:val="00435D65"/>
    <w:rsid w:val="00444038"/>
    <w:rsid w:val="00453B5D"/>
    <w:rsid w:val="00460989"/>
    <w:rsid w:val="00482419"/>
    <w:rsid w:val="00485E2E"/>
    <w:rsid w:val="004917B8"/>
    <w:rsid w:val="004A11AE"/>
    <w:rsid w:val="004A1B8B"/>
    <w:rsid w:val="004B4CE5"/>
    <w:rsid w:val="004E1CEB"/>
    <w:rsid w:val="004E38CC"/>
    <w:rsid w:val="004F0F76"/>
    <w:rsid w:val="004F5331"/>
    <w:rsid w:val="004F6304"/>
    <w:rsid w:val="00504F23"/>
    <w:rsid w:val="005075BF"/>
    <w:rsid w:val="005235F1"/>
    <w:rsid w:val="00524215"/>
    <w:rsid w:val="00524E48"/>
    <w:rsid w:val="00526E4E"/>
    <w:rsid w:val="00527CD6"/>
    <w:rsid w:val="00545AE4"/>
    <w:rsid w:val="00550A59"/>
    <w:rsid w:val="00552C7B"/>
    <w:rsid w:val="00556220"/>
    <w:rsid w:val="0056110B"/>
    <w:rsid w:val="005619F5"/>
    <w:rsid w:val="00561EE6"/>
    <w:rsid w:val="00583C99"/>
    <w:rsid w:val="005A3F10"/>
    <w:rsid w:val="005A4CCF"/>
    <w:rsid w:val="005B39C0"/>
    <w:rsid w:val="005B4BAA"/>
    <w:rsid w:val="005C1414"/>
    <w:rsid w:val="005C2D66"/>
    <w:rsid w:val="005D1E62"/>
    <w:rsid w:val="005D3F95"/>
    <w:rsid w:val="005F1918"/>
    <w:rsid w:val="005F64B8"/>
    <w:rsid w:val="00601A19"/>
    <w:rsid w:val="00604F86"/>
    <w:rsid w:val="00612848"/>
    <w:rsid w:val="006179BD"/>
    <w:rsid w:val="006213C7"/>
    <w:rsid w:val="00624007"/>
    <w:rsid w:val="006242D8"/>
    <w:rsid w:val="006407C8"/>
    <w:rsid w:val="00644B2B"/>
    <w:rsid w:val="00645069"/>
    <w:rsid w:val="006464DC"/>
    <w:rsid w:val="00647ECA"/>
    <w:rsid w:val="00677C62"/>
    <w:rsid w:val="00694856"/>
    <w:rsid w:val="006A0524"/>
    <w:rsid w:val="006D1680"/>
    <w:rsid w:val="006F3804"/>
    <w:rsid w:val="00701A9B"/>
    <w:rsid w:val="007064BB"/>
    <w:rsid w:val="007071A0"/>
    <w:rsid w:val="00714628"/>
    <w:rsid w:val="00730A0B"/>
    <w:rsid w:val="00732D46"/>
    <w:rsid w:val="007439F9"/>
    <w:rsid w:val="00745BE4"/>
    <w:rsid w:val="0077020B"/>
    <w:rsid w:val="00774030"/>
    <w:rsid w:val="00786958"/>
    <w:rsid w:val="00786C65"/>
    <w:rsid w:val="007A270D"/>
    <w:rsid w:val="007A5896"/>
    <w:rsid w:val="007B1876"/>
    <w:rsid w:val="007B2E64"/>
    <w:rsid w:val="007C031E"/>
    <w:rsid w:val="007D35E6"/>
    <w:rsid w:val="007D742E"/>
    <w:rsid w:val="007E3248"/>
    <w:rsid w:val="007F1F6F"/>
    <w:rsid w:val="008223B1"/>
    <w:rsid w:val="008232F5"/>
    <w:rsid w:val="008412ED"/>
    <w:rsid w:val="00841D39"/>
    <w:rsid w:val="00844201"/>
    <w:rsid w:val="00845BD7"/>
    <w:rsid w:val="00851895"/>
    <w:rsid w:val="008529F1"/>
    <w:rsid w:val="008538BC"/>
    <w:rsid w:val="00857CC4"/>
    <w:rsid w:val="00874E1B"/>
    <w:rsid w:val="008845E0"/>
    <w:rsid w:val="0089740A"/>
    <w:rsid w:val="00897DD1"/>
    <w:rsid w:val="008A007F"/>
    <w:rsid w:val="008A1C96"/>
    <w:rsid w:val="008B4A81"/>
    <w:rsid w:val="008B586C"/>
    <w:rsid w:val="008C1BA7"/>
    <w:rsid w:val="008C4F9D"/>
    <w:rsid w:val="008D1262"/>
    <w:rsid w:val="008D7A27"/>
    <w:rsid w:val="008E4015"/>
    <w:rsid w:val="008E5669"/>
    <w:rsid w:val="008F262A"/>
    <w:rsid w:val="0091187A"/>
    <w:rsid w:val="00932603"/>
    <w:rsid w:val="00936A71"/>
    <w:rsid w:val="0094357D"/>
    <w:rsid w:val="009466BC"/>
    <w:rsid w:val="00947CB5"/>
    <w:rsid w:val="00952D63"/>
    <w:rsid w:val="00953128"/>
    <w:rsid w:val="00973950"/>
    <w:rsid w:val="00992818"/>
    <w:rsid w:val="0099640D"/>
    <w:rsid w:val="009A737B"/>
    <w:rsid w:val="009C1540"/>
    <w:rsid w:val="009C3D65"/>
    <w:rsid w:val="009F2DC2"/>
    <w:rsid w:val="009F7523"/>
    <w:rsid w:val="00A07FB5"/>
    <w:rsid w:val="00A20C75"/>
    <w:rsid w:val="00A2557B"/>
    <w:rsid w:val="00A32A77"/>
    <w:rsid w:val="00A4199A"/>
    <w:rsid w:val="00A47237"/>
    <w:rsid w:val="00A53D6F"/>
    <w:rsid w:val="00A548DE"/>
    <w:rsid w:val="00A55990"/>
    <w:rsid w:val="00A57D8F"/>
    <w:rsid w:val="00A57FB3"/>
    <w:rsid w:val="00A60120"/>
    <w:rsid w:val="00A751E2"/>
    <w:rsid w:val="00A91972"/>
    <w:rsid w:val="00A949CD"/>
    <w:rsid w:val="00AA010D"/>
    <w:rsid w:val="00AA04D3"/>
    <w:rsid w:val="00AA1E02"/>
    <w:rsid w:val="00AA3EF7"/>
    <w:rsid w:val="00AB0593"/>
    <w:rsid w:val="00AC2306"/>
    <w:rsid w:val="00AC2CB0"/>
    <w:rsid w:val="00AC4938"/>
    <w:rsid w:val="00AC644D"/>
    <w:rsid w:val="00AD0616"/>
    <w:rsid w:val="00AD22D1"/>
    <w:rsid w:val="00AD2401"/>
    <w:rsid w:val="00AD58D9"/>
    <w:rsid w:val="00AE5BE6"/>
    <w:rsid w:val="00AE6AF4"/>
    <w:rsid w:val="00AF04BE"/>
    <w:rsid w:val="00AF303F"/>
    <w:rsid w:val="00B07422"/>
    <w:rsid w:val="00B108DA"/>
    <w:rsid w:val="00B14441"/>
    <w:rsid w:val="00B16A44"/>
    <w:rsid w:val="00B24AF5"/>
    <w:rsid w:val="00B278CB"/>
    <w:rsid w:val="00B34996"/>
    <w:rsid w:val="00B356FF"/>
    <w:rsid w:val="00B40607"/>
    <w:rsid w:val="00B52D0B"/>
    <w:rsid w:val="00B54BCE"/>
    <w:rsid w:val="00B6272D"/>
    <w:rsid w:val="00B66EDE"/>
    <w:rsid w:val="00B67488"/>
    <w:rsid w:val="00B71D5E"/>
    <w:rsid w:val="00B72175"/>
    <w:rsid w:val="00B758F7"/>
    <w:rsid w:val="00B8793A"/>
    <w:rsid w:val="00B97E42"/>
    <w:rsid w:val="00BA502F"/>
    <w:rsid w:val="00BB661A"/>
    <w:rsid w:val="00BB7726"/>
    <w:rsid w:val="00BD4C2B"/>
    <w:rsid w:val="00BE45A6"/>
    <w:rsid w:val="00C04C4B"/>
    <w:rsid w:val="00C24786"/>
    <w:rsid w:val="00C259DB"/>
    <w:rsid w:val="00C53DF7"/>
    <w:rsid w:val="00C55429"/>
    <w:rsid w:val="00C65555"/>
    <w:rsid w:val="00C716F6"/>
    <w:rsid w:val="00C74762"/>
    <w:rsid w:val="00C754C8"/>
    <w:rsid w:val="00C83F36"/>
    <w:rsid w:val="00CA0333"/>
    <w:rsid w:val="00CA6C63"/>
    <w:rsid w:val="00CB380C"/>
    <w:rsid w:val="00CD1CB6"/>
    <w:rsid w:val="00CD6B6B"/>
    <w:rsid w:val="00CE15A5"/>
    <w:rsid w:val="00CF3919"/>
    <w:rsid w:val="00D02E9C"/>
    <w:rsid w:val="00D10306"/>
    <w:rsid w:val="00D125E6"/>
    <w:rsid w:val="00D24B91"/>
    <w:rsid w:val="00D364F7"/>
    <w:rsid w:val="00D36A8A"/>
    <w:rsid w:val="00D36AA1"/>
    <w:rsid w:val="00D50C59"/>
    <w:rsid w:val="00D53C0E"/>
    <w:rsid w:val="00D55101"/>
    <w:rsid w:val="00D57CD9"/>
    <w:rsid w:val="00D634B7"/>
    <w:rsid w:val="00D735B1"/>
    <w:rsid w:val="00D7520A"/>
    <w:rsid w:val="00D77E48"/>
    <w:rsid w:val="00D83226"/>
    <w:rsid w:val="00D83BEC"/>
    <w:rsid w:val="00D91B03"/>
    <w:rsid w:val="00D93042"/>
    <w:rsid w:val="00D94ABC"/>
    <w:rsid w:val="00DA411B"/>
    <w:rsid w:val="00DB5A02"/>
    <w:rsid w:val="00DD129E"/>
    <w:rsid w:val="00DE0C4A"/>
    <w:rsid w:val="00DE4853"/>
    <w:rsid w:val="00DF5BE8"/>
    <w:rsid w:val="00DF7A34"/>
    <w:rsid w:val="00E2123B"/>
    <w:rsid w:val="00E25A26"/>
    <w:rsid w:val="00E30404"/>
    <w:rsid w:val="00E309F8"/>
    <w:rsid w:val="00E37927"/>
    <w:rsid w:val="00E41874"/>
    <w:rsid w:val="00E42D69"/>
    <w:rsid w:val="00E469EE"/>
    <w:rsid w:val="00E54ADC"/>
    <w:rsid w:val="00E57670"/>
    <w:rsid w:val="00E640FB"/>
    <w:rsid w:val="00E653D1"/>
    <w:rsid w:val="00E70103"/>
    <w:rsid w:val="00E844E6"/>
    <w:rsid w:val="00E91020"/>
    <w:rsid w:val="00E934FA"/>
    <w:rsid w:val="00EB11EA"/>
    <w:rsid w:val="00EB74B1"/>
    <w:rsid w:val="00EB7BD9"/>
    <w:rsid w:val="00EC5FAC"/>
    <w:rsid w:val="00ED041F"/>
    <w:rsid w:val="00EE5BD1"/>
    <w:rsid w:val="00EE5FC6"/>
    <w:rsid w:val="00EF4BCC"/>
    <w:rsid w:val="00EF4FD6"/>
    <w:rsid w:val="00F05C72"/>
    <w:rsid w:val="00F06EC3"/>
    <w:rsid w:val="00F2265D"/>
    <w:rsid w:val="00F25A0A"/>
    <w:rsid w:val="00F2628F"/>
    <w:rsid w:val="00F267BE"/>
    <w:rsid w:val="00F348E9"/>
    <w:rsid w:val="00F44429"/>
    <w:rsid w:val="00F44CDF"/>
    <w:rsid w:val="00F45783"/>
    <w:rsid w:val="00F52D36"/>
    <w:rsid w:val="00F60B8D"/>
    <w:rsid w:val="00F61300"/>
    <w:rsid w:val="00F635A6"/>
    <w:rsid w:val="00F654B1"/>
    <w:rsid w:val="00F65CF2"/>
    <w:rsid w:val="00F82E2E"/>
    <w:rsid w:val="00F84859"/>
    <w:rsid w:val="00F95E4A"/>
    <w:rsid w:val="00FA6D1C"/>
    <w:rsid w:val="00FC79AE"/>
    <w:rsid w:val="00FD1FE0"/>
    <w:rsid w:val="00FD6F6B"/>
    <w:rsid w:val="00FE0068"/>
    <w:rsid w:val="00FE059B"/>
    <w:rsid w:val="00FE5FC4"/>
    <w:rsid w:val="00FE6EF1"/>
    <w:rsid w:val="00FF19C8"/>
    <w:rsid w:val="00FF2119"/>
    <w:rsid w:val="00FF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73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173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73624"/>
  </w:style>
  <w:style w:type="paragraph" w:styleId="Prrafodelista">
    <w:name w:val="List Paragraph"/>
    <w:basedOn w:val="Normal"/>
    <w:uiPriority w:val="34"/>
    <w:qFormat/>
    <w:rsid w:val="001736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57C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D57CD9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D57CD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02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845B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5BD7"/>
  </w:style>
  <w:style w:type="paragraph" w:styleId="Textodeglobo">
    <w:name w:val="Balloon Text"/>
    <w:basedOn w:val="Normal"/>
    <w:link w:val="TextodegloboCar"/>
    <w:uiPriority w:val="99"/>
    <w:semiHidden/>
    <w:unhideWhenUsed/>
    <w:rsid w:val="0084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45BD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037B09"/>
    <w:pPr>
      <w:spacing w:after="300" w:line="300" w:lineRule="exact"/>
    </w:pPr>
    <w:rPr>
      <w:rFonts w:ascii="Lucida Sans Unicode" w:eastAsia="Times New Roman" w:hAnsi="Lucida Sans Unicode" w:cs="Lucida Sans Unicode"/>
      <w:sz w:val="20"/>
      <w:szCs w:val="20"/>
      <w:lang w:val="en-US"/>
    </w:rPr>
  </w:style>
  <w:style w:type="character" w:customStyle="1" w:styleId="TextoindependienteCar">
    <w:name w:val="Texto independiente Car"/>
    <w:link w:val="Textoindependiente"/>
    <w:rsid w:val="00037B09"/>
    <w:rPr>
      <w:rFonts w:ascii="Lucida Sans Unicode" w:eastAsia="Times New Roman" w:hAnsi="Lucida Sans Unicode" w:cs="Lucida Sans Unicode"/>
      <w:sz w:val="20"/>
      <w:szCs w:val="20"/>
      <w:lang w:val="en-US"/>
    </w:rPr>
  </w:style>
  <w:style w:type="character" w:styleId="Refdecomentario">
    <w:name w:val="annotation reference"/>
    <w:uiPriority w:val="99"/>
    <w:semiHidden/>
    <w:unhideWhenUsed/>
    <w:rsid w:val="000B6A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6A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B6A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6A6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B6A6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C300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PE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 lang="es-ES" sz="598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r>
              <a:rPr lang="es-PE" sz="719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Ingresos Tributarios Netos: 2018-2019 </a:t>
            </a:r>
          </a:p>
          <a:p>
            <a:pPr algn="l">
              <a:defRPr lang="es-ES" sz="598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r>
              <a:rPr lang="es-PE" sz="719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En millones de soles y Var. % real anual </a:t>
            </a:r>
          </a:p>
        </c:rich>
      </c:tx>
      <c:layout>
        <c:manualLayout>
          <c:xMode val="edge"/>
          <c:yMode val="edge"/>
          <c:x val="8.6175888750783178E-2"/>
          <c:y val="5.0627030578954235E-2"/>
        </c:manualLayout>
      </c:layout>
    </c:title>
    <c:plotArea>
      <c:layout>
        <c:manualLayout>
          <c:layoutTarget val="inner"/>
          <c:xMode val="edge"/>
          <c:yMode val="edge"/>
          <c:x val="9.3068355181645274E-2"/>
          <c:y val="0.21245648235879244"/>
          <c:w val="0.83301354523469229"/>
          <c:h val="0.62600255361845192"/>
        </c:manualLayout>
      </c:layout>
      <c:barChart>
        <c:barDir val="col"/>
        <c:grouping val="stacked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42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dPt>
            <c:idx val="12"/>
            <c:spPr>
              <a:solidFill>
                <a:sysClr val="window" lastClr="FFFFFF">
                  <a:lumMod val="85000"/>
                </a:sysClr>
              </a:solidFill>
              <a:ln w="6342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7B8-4B12-958E-BACFBF1A535C}"/>
              </c:ext>
            </c:extLst>
          </c:dPt>
          <c:dPt>
            <c:idx val="13"/>
            <c:spPr>
              <a:solidFill>
                <a:srgbClr val="4F81BD">
                  <a:lumMod val="40000"/>
                  <a:lumOff val="60000"/>
                </a:srgbClr>
              </a:solidFill>
              <a:ln w="6342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7B8-4B12-958E-BACFBF1A535C}"/>
              </c:ext>
            </c:extLst>
          </c:dPt>
          <c:dLbls>
            <c:dLbl>
              <c:idx val="0"/>
              <c:layout>
                <c:manualLayout>
                  <c:x val="5.7353297879830507E-4"/>
                  <c:y val="-0.2364803589027854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7B8-4B12-958E-BACFBF1A535C}"/>
                </c:ext>
              </c:extLst>
            </c:dLbl>
            <c:dLbl>
              <c:idx val="1"/>
              <c:layout>
                <c:manualLayout>
                  <c:x val="3.0255800888474094E-3"/>
                  <c:y val="-0.18877096884628561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7B8-4B12-958E-BACFBF1A535C}"/>
                </c:ext>
              </c:extLst>
            </c:dLbl>
            <c:dLbl>
              <c:idx val="2"/>
              <c:layout>
                <c:manualLayout>
                  <c:x val="-5.8556096496957368E-3"/>
                  <c:y val="-0.23856437551540693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7B8-4B12-958E-BACFBF1A535C}"/>
                </c:ext>
              </c:extLst>
            </c:dLbl>
            <c:dLbl>
              <c:idx val="3"/>
              <c:layout>
                <c:manualLayout>
                  <c:x val="-1.9555052799910742E-4"/>
                  <c:y val="-0.29894776278477936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7B8-4B12-958E-BACFBF1A535C}"/>
                </c:ext>
              </c:extLst>
            </c:dLbl>
            <c:dLbl>
              <c:idx val="4"/>
              <c:layout>
                <c:manualLayout>
                  <c:x val="-2.8916622175328426E-3"/>
                  <c:y val="-0.28125458886958238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7B8-4B12-958E-BACFBF1A535C}"/>
                </c:ext>
              </c:extLst>
            </c:dLbl>
            <c:dLbl>
              <c:idx val="5"/>
              <c:layout>
                <c:manualLayout>
                  <c:x val="-5.9053379119178079E-17"/>
                  <c:y val="-0.28190096008302507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7B8-4B12-958E-BACFBF1A535C}"/>
                </c:ext>
              </c:extLst>
            </c:dLbl>
            <c:dLbl>
              <c:idx val="6"/>
              <c:layout>
                <c:manualLayout>
                  <c:x val="-5.9053379119178079E-17"/>
                  <c:y val="-0.21166051946541961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7B8-4B12-958E-BACFBF1A535C}"/>
                </c:ext>
              </c:extLst>
            </c:dLbl>
            <c:dLbl>
              <c:idx val="7"/>
              <c:layout>
                <c:manualLayout>
                  <c:x val="-3.3123550844651154E-3"/>
                  <c:y val="-0.20291357415029482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7B8-4B12-958E-BACFBF1A535C}"/>
                </c:ext>
              </c:extLst>
            </c:dLbl>
            <c:dLbl>
              <c:idx val="8"/>
              <c:layout>
                <c:manualLayout>
                  <c:x val="0"/>
                  <c:y val="-0.19987947294523342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7B8-4B12-958E-BACFBF1A535C}"/>
                </c:ext>
              </c:extLst>
            </c:dLbl>
            <c:dLbl>
              <c:idx val="9"/>
              <c:layout>
                <c:manualLayout>
                  <c:x val="0"/>
                  <c:y val="-0.20604141862017461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7B8-4B12-958E-BACFBF1A535C}"/>
                </c:ext>
              </c:extLst>
            </c:dLbl>
            <c:dLbl>
              <c:idx val="10"/>
              <c:layout>
                <c:manualLayout>
                  <c:x val="-3.1605605443738236E-3"/>
                  <c:y val="-0.21470137120449648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7B8-4B12-958E-BACFBF1A535C}"/>
                </c:ext>
              </c:extLst>
            </c:dLbl>
            <c:dLbl>
              <c:idx val="11"/>
              <c:layout>
                <c:manualLayout>
                  <c:x val="0"/>
                  <c:y val="-0.22048332185954833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7B8-4B12-958E-BACFBF1A535C}"/>
                </c:ext>
              </c:extLst>
            </c:dLbl>
            <c:dLbl>
              <c:idx val="12"/>
              <c:layout>
                <c:manualLayout>
                  <c:x val="-6.5133296165195914E-3"/>
                  <c:y val="-0.25947772927803231"/>
                </c:manualLayout>
              </c:layout>
              <c:tx>
                <c:rich>
                  <a:bodyPr/>
                  <a:lstStyle/>
                  <a:p>
                    <a:pPr algn="ctr" rtl="0">
                      <a:defRPr lang="en-US" sz="599" b="0" i="0" u="none" strike="noStrike" kern="1200" baseline="0">
                        <a:solidFill>
                          <a:srgbClr val="969696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599" b="0" i="0" u="none" strike="noStrike" kern="1200" baseline="0">
                        <a:solidFill>
                          <a:srgbClr val="969696"/>
                        </a:solidFill>
                        <a:latin typeface="Arial"/>
                        <a:ea typeface="Arial"/>
                        <a:cs typeface="Arial"/>
                      </a:rPr>
                      <a:t> 10,299 </a:t>
                    </a:r>
                  </a:p>
                </c:rich>
              </c:tx>
              <c:spPr>
                <a:noFill/>
                <a:ln w="25368">
                  <a:noFill/>
                </a:ln>
              </c:spPr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7B8-4B12-958E-BACFBF1A535C}"/>
                </c:ext>
              </c:extLst>
            </c:dLbl>
            <c:dLbl>
              <c:idx val="13"/>
              <c:layout>
                <c:manualLayout>
                  <c:x val="3.1980322281068259E-3"/>
                  <c:y val="-0.2203150767083752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en-US" b="0" baseline="0">
                        <a:solidFill>
                          <a:sysClr val="windowText" lastClr="000000"/>
                        </a:solidFill>
                      </a:rPr>
                      <a:t>8,044</a:t>
                    </a:r>
                    <a:r>
                      <a:rPr lang="en-US" b="1" baseline="0"/>
                      <a:t> </a:t>
                    </a:r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7B8-4B12-958E-BACFBF1A535C}"/>
                </c:ext>
              </c:extLst>
            </c:dLbl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lang="es-ES" sz="599" b="0" i="0" u="none" strike="noStrike" baseline="0">
                    <a:solidFill>
                      <a:srgbClr val="969696"/>
                    </a:solidFill>
                    <a:latin typeface="Arial"/>
                    <a:ea typeface="Arial"/>
                    <a:cs typeface="Arial"/>
                  </a:defRPr>
                </a:pPr>
                <a:endParaRPr lang="es-PE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Hoja1!$A$2:$A$15</c:f>
              <c:strCache>
                <c:ptCount val="14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</c:strCache>
            </c:strRef>
          </c:cat>
          <c:val>
            <c:numRef>
              <c:f>Hoja1!$B$2:$B$15</c:f>
              <c:numCache>
                <c:formatCode>_ * #,##0_ ;_ * \-#,##0_ ;_ * "-"??_ ;_ @_ </c:formatCode>
                <c:ptCount val="14"/>
                <c:pt idx="0">
                  <c:v>9173.874691529998</c:v>
                </c:pt>
                <c:pt idx="1">
                  <c:v>7091.4156851100015</c:v>
                </c:pt>
                <c:pt idx="2">
                  <c:v>9199.2267292099968</c:v>
                </c:pt>
                <c:pt idx="3">
                  <c:v>12409.161799201434</c:v>
                </c:pt>
                <c:pt idx="4">
                  <c:v>8200.65745695035</c:v>
                </c:pt>
                <c:pt idx="5">
                  <c:v>8192.9856009901796</c:v>
                </c:pt>
                <c:pt idx="6">
                  <c:v>7986.6639022000008</c:v>
                </c:pt>
                <c:pt idx="7">
                  <c:v>8108.6948972048976</c:v>
                </c:pt>
                <c:pt idx="8">
                  <c:v>8279.8022814699962</c:v>
                </c:pt>
                <c:pt idx="9">
                  <c:v>8433.2817396399951</c:v>
                </c:pt>
                <c:pt idx="10">
                  <c:v>8606.8645980700003</c:v>
                </c:pt>
                <c:pt idx="11">
                  <c:v>8906.8982136899958</c:v>
                </c:pt>
                <c:pt idx="12">
                  <c:v>10299.37381943597</c:v>
                </c:pt>
                <c:pt idx="13">
                  <c:v>8043.8228352549995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37B8-4B12-958E-BACFBF1A535C}"/>
            </c:ext>
          </c:extLst>
        </c:ser>
        <c:dLbls/>
        <c:gapWidth val="105"/>
        <c:overlap val="100"/>
        <c:axId val="213045632"/>
        <c:axId val="213047168"/>
      </c:barChart>
      <c:lineChart>
        <c:grouping val="standard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26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lang="es-ES" sz="599" b="0" i="0" u="none" strike="noStrike" baseline="0">
                      <a:solidFill>
                        <a:srgbClr val="666699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</c:dLbl>
            <c:dLbl>
              <c:idx val="6"/>
              <c:layout>
                <c:manualLayout>
                  <c:x val="-5.2304658297641846E-2"/>
                  <c:y val="6.1299075235026812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lang="es-ES" sz="599" b="0" i="0" u="none" strike="noStrike" baseline="0">
                      <a:solidFill>
                        <a:srgbClr val="666699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7B8-4B12-958E-BACFBF1A535C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lang="es-ES" sz="599" b="0" i="0" u="none" strike="noStrike" baseline="0">
                      <a:solidFill>
                        <a:srgbClr val="666699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</c:dLbl>
            <c:dLbl>
              <c:idx val="12"/>
              <c:layout>
                <c:manualLayout>
                  <c:x val="-3.8207887769487338E-2"/>
                  <c:y val="5.5099949409124514E-2"/>
                </c:manualLayout>
              </c:layout>
              <c:tx>
                <c:rich>
                  <a:bodyPr/>
                  <a:lstStyle/>
                  <a:p>
                    <a:pPr>
                      <a:defRPr lang="es-ES" sz="599" b="1" i="0" u="none" strike="noStrike" baseline="0">
                        <a:solidFill>
                          <a:srgbClr val="666699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b="0"/>
                      <a:t>9.9</a:t>
                    </a:r>
                  </a:p>
                </c:rich>
              </c:tx>
              <c:spPr>
                <a:noFill/>
                <a:ln w="25368">
                  <a:noFill/>
                </a:ln>
              </c:spPr>
              <c:dLblPos val="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37B8-4B12-958E-BACFBF1A535C}"/>
                </c:ext>
              </c:extLst>
            </c:dLbl>
            <c:dLbl>
              <c:idx val="13"/>
              <c:layout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11.2</a:t>
                    </a:r>
                  </a:p>
                </c:rich>
              </c:tx>
              <c:dLblPos val="b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7B8-4B12-958E-BACFBF1A535C}"/>
                </c:ext>
              </c:extLst>
            </c:dLbl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lang="es-ES" sz="599" b="0" i="0" u="none" strike="noStrike" baseline="0">
                    <a:solidFill>
                      <a:srgbClr val="666699"/>
                    </a:solidFill>
                    <a:latin typeface="Arial"/>
                    <a:ea typeface="Arial"/>
                    <a:cs typeface="Arial"/>
                  </a:defRPr>
                </a:pPr>
                <a:endParaRPr lang="es-PE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Hoja1!$A$2:$A$15</c:f>
              <c:strCache>
                <c:ptCount val="14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</c:strCache>
            </c:strRef>
          </c:cat>
          <c:val>
            <c:numRef>
              <c:f>Hoja1!$C$2:$C$15</c:f>
              <c:numCache>
                <c:formatCode>0.0</c:formatCode>
                <c:ptCount val="14"/>
                <c:pt idx="0">
                  <c:v>14.258662498355122</c:v>
                </c:pt>
                <c:pt idx="1">
                  <c:v>9.8050259637469512</c:v>
                </c:pt>
                <c:pt idx="2">
                  <c:v>16.551124488355697</c:v>
                </c:pt>
                <c:pt idx="3">
                  <c:v>40.384813449419475</c:v>
                </c:pt>
                <c:pt idx="4">
                  <c:v>21.990762000825963</c:v>
                </c:pt>
                <c:pt idx="5">
                  <c:v>26.371275946748224</c:v>
                </c:pt>
                <c:pt idx="6">
                  <c:v>17.74051145936166</c:v>
                </c:pt>
                <c:pt idx="7">
                  <c:v>7.5185342735082568</c:v>
                </c:pt>
                <c:pt idx="8">
                  <c:v>14.276184571990205</c:v>
                </c:pt>
                <c:pt idx="9">
                  <c:v>5.5874778490314849</c:v>
                </c:pt>
                <c:pt idx="10">
                  <c:v>8.0599088735955338</c:v>
                </c:pt>
                <c:pt idx="11">
                  <c:v>-10.607649134710719</c:v>
                </c:pt>
                <c:pt idx="12">
                  <c:v>9.9243015252864257</c:v>
                </c:pt>
                <c:pt idx="13">
                  <c:v>11.202607189189862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6-37B8-4B12-958E-BACFBF1A535C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rgbClr val="0070C0"/>
              </a:solidFill>
              <a:prstDash val="dash"/>
            </a:ln>
          </c:spPr>
          <c:marker>
            <c:symbol val="none"/>
          </c:marker>
          <c:cat>
            <c:strRef>
              <c:f>Hoja1!$A$2:$A$15</c:f>
              <c:strCache>
                <c:ptCount val="14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</c:strCache>
            </c:strRef>
          </c:cat>
          <c:val>
            <c:numRef>
              <c:f>Hoja1!$D$2:$D$15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367-436F-A4C2-9F7FB904F148}"/>
            </c:ext>
          </c:extLst>
        </c:ser>
        <c:dLbls/>
        <c:marker val="1"/>
        <c:axId val="213048704"/>
        <c:axId val="213189760"/>
      </c:lineChart>
      <c:catAx>
        <c:axId val="213045632"/>
        <c:scaling>
          <c:orientation val="minMax"/>
        </c:scaling>
        <c:axPos val="b"/>
        <c:numFmt formatCode="mmm\-\y\y" sourceLinked="0"/>
        <c:majorTickMark val="none"/>
        <c:tickLblPos val="nextTo"/>
        <c:txPr>
          <a:bodyPr rot="0" vert="horz"/>
          <a:lstStyle/>
          <a:p>
            <a:pPr>
              <a:defRPr lang="es-ES" sz="599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213047168"/>
        <c:crosses val="autoZero"/>
        <c:auto val="1"/>
        <c:lblAlgn val="ctr"/>
        <c:lblOffset val="100"/>
        <c:noMultiLvlLbl val="1"/>
      </c:catAx>
      <c:valAx>
        <c:axId val="213047168"/>
        <c:scaling>
          <c:orientation val="minMax"/>
          <c:min val="0"/>
        </c:scaling>
        <c:axPos val="l"/>
        <c:numFmt formatCode="#,##0" sourceLinked="0"/>
        <c:majorTickMark val="none"/>
        <c:tickLblPos val="nextTo"/>
        <c:spPr>
          <a:ln w="8567">
            <a:solidFill>
              <a:schemeClr val="tx1">
                <a:alpha val="66000"/>
              </a:schemeClr>
            </a:solidFill>
          </a:ln>
        </c:spPr>
        <c:txPr>
          <a:bodyPr rot="0" vert="horz"/>
          <a:lstStyle/>
          <a:p>
            <a:pPr>
              <a:defRPr lang="es-ES" sz="599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213045632"/>
        <c:crosses val="autoZero"/>
        <c:crossBetween val="between"/>
      </c:valAx>
      <c:catAx>
        <c:axId val="213048704"/>
        <c:scaling>
          <c:orientation val="minMax"/>
        </c:scaling>
        <c:delete val="1"/>
        <c:axPos val="b"/>
        <c:numFmt formatCode="General" sourceLinked="1"/>
        <c:tickLblPos val="nextTo"/>
        <c:crossAx val="213189760"/>
        <c:crosses val="autoZero"/>
        <c:auto val="1"/>
        <c:lblAlgn val="ctr"/>
        <c:lblOffset val="100"/>
        <c:noMultiLvlLbl val="1"/>
      </c:catAx>
      <c:valAx>
        <c:axId val="213189760"/>
        <c:scaling>
          <c:orientation val="minMax"/>
        </c:scaling>
        <c:axPos val="r"/>
        <c:numFmt formatCode="0" sourceLinked="0"/>
        <c:tickLblPos val="nextTo"/>
        <c:txPr>
          <a:bodyPr rot="0" vert="horz"/>
          <a:lstStyle/>
          <a:p>
            <a:pPr>
              <a:defRPr lang="es-ES" sz="599" b="0" i="0" u="none" strike="noStrike" baseline="0">
                <a:solidFill>
                  <a:srgbClr val="666699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213048704"/>
        <c:crosses val="max"/>
        <c:crossBetween val="between"/>
      </c:valAx>
      <c:spPr>
        <a:noFill/>
        <a:ln w="25368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3971114970014046"/>
          <c:y val="0.92301956270328378"/>
          <c:w val="0.40355755025382306"/>
          <c:h val="6.6367755316865076E-2"/>
        </c:manualLayout>
      </c:layout>
      <c:txPr>
        <a:bodyPr/>
        <a:lstStyle/>
        <a:p>
          <a:pPr>
            <a:defRPr lang="es-ES" sz="549" b="0" i="0" u="none" strike="noStrike" baseline="0">
              <a:solidFill>
                <a:srgbClr val="969696"/>
              </a:solidFill>
              <a:latin typeface="Arial"/>
              <a:ea typeface="Arial"/>
              <a:cs typeface="Arial"/>
            </a:defRPr>
          </a:pPr>
          <a:endParaRPr lang="es-PE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599" b="0" i="0" u="none" strike="noStrike" baseline="0">
          <a:solidFill>
            <a:srgbClr val="969696"/>
          </a:solidFill>
          <a:latin typeface="Arial"/>
          <a:ea typeface="Arial"/>
          <a:cs typeface="Arial"/>
        </a:defRPr>
      </a:pPr>
      <a:endParaRPr lang="es-PE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PE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 lang="es-ES" sz="600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r>
              <a:rPr lang="es-PE" sz="7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Impuesto General a las Ventas: 2018-2019 </a:t>
            </a:r>
          </a:p>
          <a:p>
            <a:pPr algn="l">
              <a:defRPr lang="es-ES" sz="600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r>
              <a:rPr lang="es-PE" sz="7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En millones de soles y Var. % real anual </a:t>
            </a:r>
          </a:p>
        </c:rich>
      </c:tx>
      <c:layout>
        <c:manualLayout>
          <c:xMode val="edge"/>
          <c:yMode val="edge"/>
          <c:x val="9.4169453298737479E-2"/>
          <c:y val="4.5572976973311453E-2"/>
        </c:manualLayout>
      </c:layout>
    </c:title>
    <c:plotArea>
      <c:layout>
        <c:manualLayout>
          <c:layoutTarget val="inner"/>
          <c:xMode val="edge"/>
          <c:yMode val="edge"/>
          <c:x val="9.3649107557585695E-2"/>
          <c:y val="0.18567827994103478"/>
          <c:w val="0.84027516092356269"/>
          <c:h val="0.66635707634545216"/>
        </c:manualLayout>
      </c:layout>
      <c:barChart>
        <c:barDir val="col"/>
        <c:grouping val="stacked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49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dPt>
            <c:idx val="12"/>
            <c:spPr>
              <a:solidFill>
                <a:sysClr val="window" lastClr="FFFFFF">
                  <a:lumMod val="85000"/>
                </a:sysClr>
              </a:solidFill>
              <a:ln w="6349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2A0-4723-B6E4-9D353DBC63DA}"/>
              </c:ext>
            </c:extLst>
          </c:dPt>
          <c:dPt>
            <c:idx val="13"/>
            <c:spPr>
              <a:solidFill>
                <a:srgbClr val="4F81BD">
                  <a:lumMod val="40000"/>
                  <a:lumOff val="60000"/>
                </a:srgbClr>
              </a:solidFill>
              <a:ln w="6349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2A0-4723-B6E4-9D353DBC63DA}"/>
              </c:ext>
            </c:extLst>
          </c:dPt>
          <c:dLbls>
            <c:dLbl>
              <c:idx val="0"/>
              <c:layout>
                <c:manualLayout>
                  <c:x val="-1.4497170289062828E-17"/>
                  <c:y val="-0.29128100058921208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2A0-4723-B6E4-9D353DBC63DA}"/>
                </c:ext>
              </c:extLst>
            </c:dLbl>
            <c:dLbl>
              <c:idx val="1"/>
              <c:layout>
                <c:manualLayout>
                  <c:x val="-3.16305551162426E-3"/>
                  <c:y val="-0.24174210366561336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2A0-4723-B6E4-9D353DBC63DA}"/>
                </c:ext>
              </c:extLst>
            </c:dLbl>
            <c:dLbl>
              <c:idx val="2"/>
              <c:layout>
                <c:manualLayout>
                  <c:x val="0"/>
                  <c:y val="-0.24134126091381439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2A0-4723-B6E4-9D353DBC63DA}"/>
                </c:ext>
              </c:extLst>
            </c:dLbl>
            <c:dLbl>
              <c:idx val="3"/>
              <c:layout>
                <c:manualLayout>
                  <c:x val="0"/>
                  <c:y val="-0.26510168371810666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2A0-4723-B6E4-9D353DBC63DA}"/>
                </c:ext>
              </c:extLst>
            </c:dLbl>
            <c:dLbl>
              <c:idx val="4"/>
              <c:layout>
                <c:manualLayout>
                  <c:x val="-5.7988681156251324E-17"/>
                  <c:y val="-0.26464191976002999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2A0-4723-B6E4-9D353DBC63DA}"/>
                </c:ext>
              </c:extLst>
            </c:dLbl>
            <c:dLbl>
              <c:idx val="5"/>
              <c:layout>
                <c:manualLayout>
                  <c:x val="0"/>
                  <c:y val="-0.25883416358669475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2A0-4723-B6E4-9D353DBC63DA}"/>
                </c:ext>
              </c:extLst>
            </c:dLbl>
            <c:dLbl>
              <c:idx val="6"/>
              <c:layout>
                <c:manualLayout>
                  <c:x val="-3.1630555116241728E-3"/>
                  <c:y val="-0.26980020354598538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2A0-4723-B6E4-9D353DBC63DA}"/>
                </c:ext>
              </c:extLst>
            </c:dLbl>
            <c:dLbl>
              <c:idx val="7"/>
              <c:layout>
                <c:manualLayout>
                  <c:x val="-3.1630555116243463E-3"/>
                  <c:y val="-0.25853911118253076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2A0-4723-B6E4-9D353DBC63DA}"/>
                </c:ext>
              </c:extLst>
            </c:dLbl>
            <c:dLbl>
              <c:idx val="8"/>
              <c:layout>
                <c:manualLayout>
                  <c:x val="0"/>
                  <c:y val="-0.26898378774081838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2A0-4723-B6E4-9D353DBC63DA}"/>
                </c:ext>
              </c:extLst>
            </c:dLbl>
            <c:dLbl>
              <c:idx val="9"/>
              <c:layout>
                <c:manualLayout>
                  <c:x val="-3.1630555116242292E-3"/>
                  <c:y val="-0.27751932794115031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2A0-4723-B6E4-9D353DBC63DA}"/>
                </c:ext>
              </c:extLst>
            </c:dLbl>
            <c:dLbl>
              <c:idx val="10"/>
              <c:layout>
                <c:manualLayout>
                  <c:x val="-1.1597736231250252E-16"/>
                  <c:y val="-0.27341180566714895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2A0-4723-B6E4-9D353DBC63DA}"/>
                </c:ext>
              </c:extLst>
            </c:dLbl>
            <c:dLbl>
              <c:idx val="11"/>
              <c:layout>
                <c:manualLayout>
                  <c:x val="-3.1630555116242292E-3"/>
                  <c:y val="-0.27467637973824732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2A0-4723-B6E4-9D353DBC63DA}"/>
                </c:ext>
              </c:extLst>
            </c:dLbl>
            <c:dLbl>
              <c:idx val="12"/>
              <c:layout>
                <c:manualLayout>
                  <c:x val="-3.1630555116242292E-3"/>
                  <c:y val="-0.32501964040209258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 algn="ctr" rtl="0">
                    <a:defRPr lang="en-US" sz="600" b="0" i="0" u="none" strike="noStrike" kern="1200" baseline="0">
                      <a:solidFill>
                        <a:srgbClr val="969696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2A0-4723-B6E4-9D353DBC63DA}"/>
                </c:ext>
              </c:extLst>
            </c:dLbl>
            <c:dLbl>
              <c:idx val="13"/>
              <c:layout>
                <c:manualLayout>
                  <c:x val="0"/>
                  <c:y val="-0.2670310481395456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en-US">
                        <a:solidFill>
                          <a:schemeClr val="tx1"/>
                        </a:solidFill>
                      </a:rPr>
                      <a:t>4,946 </a:t>
                    </a:r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2A0-4723-B6E4-9D353DBC63DA}"/>
                </c:ext>
              </c:extLst>
            </c:dLbl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lang="es-ES" sz="600" b="0" i="0" u="none" strike="noStrike" baseline="0">
                    <a:solidFill>
                      <a:srgbClr val="969696"/>
                    </a:solidFill>
                    <a:latin typeface="Arial"/>
                    <a:ea typeface="Arial"/>
                    <a:cs typeface="Arial"/>
                  </a:defRPr>
                </a:pPr>
                <a:endParaRPr lang="es-PE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Hoja1!$A$2:$A$15</c:f>
              <c:strCache>
                <c:ptCount val="14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</c:strCache>
            </c:strRef>
          </c:cat>
          <c:val>
            <c:numRef>
              <c:f>Hoja1!$B$2:$B$15</c:f>
              <c:numCache>
                <c:formatCode>_ * #,##0_ ;_ * \-#,##0_ ;_ * "-"??_ ;_ @_ </c:formatCode>
                <c:ptCount val="14"/>
                <c:pt idx="0">
                  <c:v>5517.9785873856235</c:v>
                </c:pt>
                <c:pt idx="1">
                  <c:v>4596.2811914513804</c:v>
                </c:pt>
                <c:pt idx="2">
                  <c:v>4587.8640140556727</c:v>
                </c:pt>
                <c:pt idx="3">
                  <c:v>4967.9591863954374</c:v>
                </c:pt>
                <c:pt idx="4">
                  <c:v>5077.3996184053685</c:v>
                </c:pt>
                <c:pt idx="5">
                  <c:v>4955.3845259533928</c:v>
                </c:pt>
                <c:pt idx="6">
                  <c:v>5185.7826244332491</c:v>
                </c:pt>
                <c:pt idx="7">
                  <c:v>4949.1895987899052</c:v>
                </c:pt>
                <c:pt idx="8">
                  <c:v>5049.5197555105078</c:v>
                </c:pt>
                <c:pt idx="9">
                  <c:v>5347.9507349421092</c:v>
                </c:pt>
                <c:pt idx="10">
                  <c:v>5261.6537863848816</c:v>
                </c:pt>
                <c:pt idx="11">
                  <c:v>5169.1255811034116</c:v>
                </c:pt>
                <c:pt idx="12">
                  <c:v>6226.8230618475927</c:v>
                </c:pt>
                <c:pt idx="13">
                  <c:v>4946.0211376052093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82A0-4723-B6E4-9D353DBC63DA}"/>
            </c:ext>
          </c:extLst>
        </c:ser>
        <c:dLbls/>
        <c:gapWidth val="105"/>
        <c:overlap val="100"/>
        <c:axId val="213255680"/>
        <c:axId val="213257216"/>
      </c:barChart>
      <c:lineChart>
        <c:grouping val="standard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47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3"/>
              <c:layout/>
              <c:dLblPos val="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2A0-4723-B6E4-9D353DBC63DA}"/>
                </c:ext>
              </c:extLst>
            </c:dLbl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lang="es-ES" sz="600" b="0" i="0" u="none" strike="noStrike" baseline="0">
                      <a:solidFill>
                        <a:srgbClr val="666699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</c:dLbl>
            <c:dLbl>
              <c:idx val="6"/>
              <c:layout>
                <c:manualLayout>
                  <c:x val="-5.2304658297641839E-2"/>
                  <c:y val="6.1299075235026812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lang="es-ES" sz="600" b="0" i="0" u="none" strike="noStrike" baseline="0">
                      <a:solidFill>
                        <a:srgbClr val="666699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2A0-4723-B6E4-9D353DBC63DA}"/>
                </c:ext>
              </c:extLst>
            </c:dLbl>
            <c:dLbl>
              <c:idx val="7"/>
              <c:layout>
                <c:manualLayout>
                  <c:x val="-4.2547281242212735E-2"/>
                  <c:y val="2.3505655456272055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lang="es-ES" sz="600" b="0" i="0" u="none" strike="noStrike" baseline="0">
                      <a:solidFill>
                        <a:srgbClr val="666699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82A0-4723-B6E4-9D353DBC63DA}"/>
                </c:ext>
              </c:extLst>
            </c:dLbl>
            <c:dLbl>
              <c:idx val="12"/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lang="es-ES" sz="600" b="1" i="0" u="none" strike="noStrike" baseline="0">
                      <a:solidFill>
                        <a:srgbClr val="666699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</c:dLbl>
            <c:dLbl>
              <c:idx val="13"/>
              <c:layout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tx1"/>
                        </a:solidFill>
                      </a:rPr>
                      <a:t>5.5</a:t>
                    </a:r>
                  </a:p>
                </c:rich>
              </c:tx>
              <c:dLblPos val="b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82A0-4723-B6E4-9D353DBC63DA}"/>
                </c:ext>
              </c:extLst>
            </c:dLbl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lang="es-ES" sz="600" b="0" i="0" u="none" strike="noStrike" baseline="0">
                    <a:solidFill>
                      <a:srgbClr val="666699"/>
                    </a:solidFill>
                    <a:latin typeface="Arial"/>
                    <a:ea typeface="Arial"/>
                    <a:cs typeface="Arial"/>
                  </a:defRPr>
                </a:pPr>
                <a:endParaRPr lang="es-PE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Hoja1!$A$2:$A$15</c:f>
              <c:strCache>
                <c:ptCount val="14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</c:strCache>
            </c:strRef>
          </c:cat>
          <c:val>
            <c:numRef>
              <c:f>Hoja1!$C$2:$C$15</c:f>
              <c:numCache>
                <c:formatCode>0.0</c:formatCode>
                <c:ptCount val="14"/>
                <c:pt idx="0">
                  <c:v>6.172585318628097</c:v>
                </c:pt>
                <c:pt idx="1">
                  <c:v>8.4350864376811838</c:v>
                </c:pt>
                <c:pt idx="2">
                  <c:v>7.9641304688019092</c:v>
                </c:pt>
                <c:pt idx="3">
                  <c:v>19.735473870086427</c:v>
                </c:pt>
                <c:pt idx="4">
                  <c:v>13.837214127598262</c:v>
                </c:pt>
                <c:pt idx="5">
                  <c:v>15.894031097866025</c:v>
                </c:pt>
                <c:pt idx="6">
                  <c:v>11.324426579977722</c:v>
                </c:pt>
                <c:pt idx="7">
                  <c:v>2.7814245846103933</c:v>
                </c:pt>
                <c:pt idx="8">
                  <c:v>11.362677487199434</c:v>
                </c:pt>
                <c:pt idx="9">
                  <c:v>8.5240822043896944</c:v>
                </c:pt>
                <c:pt idx="10">
                  <c:v>6.9424509614443464</c:v>
                </c:pt>
                <c:pt idx="11">
                  <c:v>4.4455537378430998</c:v>
                </c:pt>
                <c:pt idx="12">
                  <c:v>10.49350840982517</c:v>
                </c:pt>
                <c:pt idx="13">
                  <c:v>5.4957088059207404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7-82A0-4723-B6E4-9D353DBC63DA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ceros</c:v>
                </c:pt>
              </c:strCache>
            </c:strRef>
          </c:tx>
          <c:spPr>
            <a:ln w="12700">
              <a:solidFill>
                <a:srgbClr val="0070C0"/>
              </a:solidFill>
              <a:prstDash val="dash"/>
            </a:ln>
          </c:spPr>
          <c:marker>
            <c:symbol val="none"/>
          </c:marker>
          <c:val>
            <c:numRef>
              <c:f>Hoja1!$D$2:$D$15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CC3-4C03-998C-C23109DA027A}"/>
            </c:ext>
          </c:extLst>
        </c:ser>
        <c:dLbls/>
        <c:marker val="1"/>
        <c:axId val="213263104"/>
        <c:axId val="213264640"/>
      </c:lineChart>
      <c:catAx>
        <c:axId val="213255680"/>
        <c:scaling>
          <c:orientation val="minMax"/>
        </c:scaling>
        <c:axPos val="b"/>
        <c:numFmt formatCode="mmm\-\y\y" sourceLinked="0"/>
        <c:majorTickMark val="none"/>
        <c:tickLblPos val="nextTo"/>
        <c:txPr>
          <a:bodyPr rot="0" vert="horz"/>
          <a:lstStyle/>
          <a:p>
            <a:pPr>
              <a:defRPr lang="es-ES" sz="600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213257216"/>
        <c:crosses val="autoZero"/>
        <c:auto val="1"/>
        <c:lblAlgn val="ctr"/>
        <c:lblOffset val="100"/>
        <c:noMultiLvlLbl val="1"/>
      </c:catAx>
      <c:valAx>
        <c:axId val="213257216"/>
        <c:scaling>
          <c:orientation val="minMax"/>
          <c:min val="0"/>
        </c:scaling>
        <c:axPos val="l"/>
        <c:numFmt formatCode="#,##0" sourceLinked="0"/>
        <c:majorTickMark val="none"/>
        <c:tickLblPos val="nextTo"/>
        <c:spPr>
          <a:ln w="8576">
            <a:solidFill>
              <a:schemeClr val="tx1">
                <a:alpha val="66000"/>
              </a:schemeClr>
            </a:solidFill>
          </a:ln>
        </c:spPr>
        <c:txPr>
          <a:bodyPr rot="0" vert="horz"/>
          <a:lstStyle/>
          <a:p>
            <a:pPr>
              <a:defRPr lang="es-ES" sz="600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213255680"/>
        <c:crosses val="autoZero"/>
        <c:crossBetween val="between"/>
      </c:valAx>
      <c:catAx>
        <c:axId val="213263104"/>
        <c:scaling>
          <c:orientation val="minMax"/>
        </c:scaling>
        <c:delete val="1"/>
        <c:axPos val="b"/>
        <c:numFmt formatCode="General" sourceLinked="1"/>
        <c:tickLblPos val="nextTo"/>
        <c:crossAx val="213264640"/>
        <c:crosses val="autoZero"/>
        <c:auto val="1"/>
        <c:lblAlgn val="ctr"/>
        <c:lblOffset val="100"/>
        <c:noMultiLvlLbl val="1"/>
      </c:catAx>
      <c:valAx>
        <c:axId val="213264640"/>
        <c:scaling>
          <c:orientation val="minMax"/>
          <c:min val="-5"/>
        </c:scaling>
        <c:axPos val="r"/>
        <c:numFmt formatCode="0" sourceLinked="0"/>
        <c:tickLblPos val="nextTo"/>
        <c:txPr>
          <a:bodyPr rot="0" vert="horz"/>
          <a:lstStyle/>
          <a:p>
            <a:pPr>
              <a:defRPr lang="es-ES" sz="600" b="0" i="0" u="none" strike="noStrike" baseline="0">
                <a:solidFill>
                  <a:srgbClr val="666699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213263104"/>
        <c:crosses val="max"/>
        <c:crossBetween val="between"/>
      </c:valAx>
      <c:spPr>
        <a:noFill/>
        <a:ln w="25395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6198520888072629"/>
          <c:y val="0.92883770752055383"/>
          <c:w val="0.40453518319580367"/>
          <c:h val="7.116235470566179E-2"/>
        </c:manualLayout>
      </c:layout>
      <c:txPr>
        <a:bodyPr/>
        <a:lstStyle/>
        <a:p>
          <a:pPr>
            <a:defRPr lang="es-ES" sz="550" b="0" i="0" u="none" strike="noStrike" baseline="0">
              <a:solidFill>
                <a:srgbClr val="969696"/>
              </a:solidFill>
              <a:latin typeface="Arial"/>
              <a:ea typeface="Arial"/>
              <a:cs typeface="Arial"/>
            </a:defRPr>
          </a:pPr>
          <a:endParaRPr lang="es-PE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600" b="0" i="0" u="none" strike="noStrike" baseline="0">
          <a:solidFill>
            <a:srgbClr val="969696"/>
          </a:solidFill>
          <a:latin typeface="Arial"/>
          <a:ea typeface="Arial"/>
          <a:cs typeface="Arial"/>
        </a:defRPr>
      </a:pPr>
      <a:endParaRPr lang="es-PE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PE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 lang="es-ES" sz="600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r>
              <a:rPr lang="es-PE" sz="719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Impuesto Selectivo al Consumo: 2018-2019 </a:t>
            </a:r>
          </a:p>
          <a:p>
            <a:pPr algn="l">
              <a:defRPr lang="es-ES" sz="600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r>
              <a:rPr lang="es-PE" sz="719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En millones de soles y Var. % real anual </a:t>
            </a:r>
          </a:p>
        </c:rich>
      </c:tx>
      <c:layout>
        <c:manualLayout>
          <c:xMode val="edge"/>
          <c:yMode val="edge"/>
          <c:x val="7.5724846124162623E-2"/>
          <c:y val="5.972852386875957E-2"/>
        </c:manualLayout>
      </c:layout>
    </c:title>
    <c:plotArea>
      <c:layout>
        <c:manualLayout>
          <c:layoutTarget val="inner"/>
          <c:xMode val="edge"/>
          <c:yMode val="edge"/>
          <c:x val="8.3394758901210689E-2"/>
          <c:y val="0.18598980588177344"/>
          <c:w val="0.84444808102828339"/>
          <c:h val="0.65217969583267854"/>
        </c:manualLayout>
      </c:layout>
      <c:barChart>
        <c:barDir val="col"/>
        <c:grouping val="stacked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45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dPt>
            <c:idx val="12"/>
            <c:spPr>
              <a:solidFill>
                <a:sysClr val="window" lastClr="FFFFFF">
                  <a:lumMod val="85000"/>
                </a:sysClr>
              </a:solidFill>
              <a:ln w="6345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933-47AC-AFE3-EBD60C7D9016}"/>
              </c:ext>
            </c:extLst>
          </c:dPt>
          <c:dPt>
            <c:idx val="13"/>
            <c:spPr>
              <a:solidFill>
                <a:srgbClr val="4F81BD">
                  <a:lumMod val="40000"/>
                  <a:lumOff val="60000"/>
                </a:srgbClr>
              </a:solidFill>
              <a:ln w="6345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933-47AC-AFE3-EBD60C7D9016}"/>
              </c:ext>
            </c:extLst>
          </c:dPt>
          <c:dLbls>
            <c:dLbl>
              <c:idx val="0"/>
              <c:layout>
                <c:manualLayout>
                  <c:x val="0"/>
                  <c:y val="-0.27164504463925276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933-47AC-AFE3-EBD60C7D9016}"/>
                </c:ext>
              </c:extLst>
            </c:dLbl>
            <c:dLbl>
              <c:idx val="1"/>
              <c:layout>
                <c:manualLayout>
                  <c:x val="0"/>
                  <c:y val="-0.21585723937772763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933-47AC-AFE3-EBD60C7D9016}"/>
                </c:ext>
              </c:extLst>
            </c:dLbl>
            <c:dLbl>
              <c:idx val="2"/>
              <c:layout>
                <c:manualLayout>
                  <c:x val="-2.9295496240889797E-17"/>
                  <c:y val="-0.20923890180214272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933-47AC-AFE3-EBD60C7D9016}"/>
                </c:ext>
              </c:extLst>
            </c:dLbl>
            <c:dLbl>
              <c:idx val="3"/>
              <c:layout>
                <c:manualLayout>
                  <c:x val="0"/>
                  <c:y val="-0.25194810713420696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933-47AC-AFE3-EBD60C7D9016}"/>
                </c:ext>
              </c:extLst>
            </c:dLbl>
            <c:dLbl>
              <c:idx val="4"/>
              <c:layout>
                <c:manualLayout>
                  <c:x val="0"/>
                  <c:y val="-0.23770688944507962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933-47AC-AFE3-EBD60C7D9016}"/>
                </c:ext>
              </c:extLst>
            </c:dLbl>
            <c:dLbl>
              <c:idx val="5"/>
              <c:layout>
                <c:manualLayout>
                  <c:x val="6.391818472355329E-3"/>
                  <c:y val="-0.34697383685107358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933-47AC-AFE3-EBD60C7D9016}"/>
                </c:ext>
              </c:extLst>
            </c:dLbl>
            <c:dLbl>
              <c:idx val="6"/>
              <c:layout>
                <c:manualLayout>
                  <c:x val="-5.8590992481779594E-17"/>
                  <c:y val="-0.22465293565233649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933-47AC-AFE3-EBD60C7D9016}"/>
                </c:ext>
              </c:extLst>
            </c:dLbl>
            <c:dLbl>
              <c:idx val="7"/>
              <c:layout>
                <c:manualLayout>
                  <c:x val="0"/>
                  <c:y val="-0.27881707042421117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933-47AC-AFE3-EBD60C7D9016}"/>
                </c:ext>
              </c:extLst>
            </c:dLbl>
            <c:dLbl>
              <c:idx val="8"/>
              <c:layout>
                <c:manualLayout>
                  <c:x val="0"/>
                  <c:y val="-0.31324262421865395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933-47AC-AFE3-EBD60C7D9016}"/>
                </c:ext>
              </c:extLst>
            </c:dLbl>
            <c:dLbl>
              <c:idx val="9"/>
              <c:layout>
                <c:manualLayout>
                  <c:x val="-3.1959092361776957E-3"/>
                  <c:y val="-0.25175008817367883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933-47AC-AFE3-EBD60C7D9016}"/>
                </c:ext>
              </c:extLst>
            </c:dLbl>
            <c:dLbl>
              <c:idx val="10"/>
              <c:layout>
                <c:manualLayout>
                  <c:x val="-1.1718198496355921E-16"/>
                  <c:y val="-0.31855811601531481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933-47AC-AFE3-EBD60C7D9016}"/>
                </c:ext>
              </c:extLst>
            </c:dLbl>
            <c:dLbl>
              <c:idx val="11"/>
              <c:layout>
                <c:manualLayout>
                  <c:x val="0"/>
                  <c:y val="-0.27234236033501774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933-47AC-AFE3-EBD60C7D9016}"/>
                </c:ext>
              </c:extLst>
            </c:dLbl>
            <c:dLbl>
              <c:idx val="12"/>
              <c:layout>
                <c:manualLayout>
                  <c:x val="-1.1718198496355921E-16"/>
                  <c:y val="-0.33971554958760242"/>
                </c:manualLayout>
              </c:layout>
              <c:spPr>
                <a:noFill/>
                <a:ln w="25380">
                  <a:noFill/>
                </a:ln>
              </c:spPr>
              <c:txPr>
                <a:bodyPr/>
                <a:lstStyle/>
                <a:p>
                  <a:pPr algn="ctr" rtl="0">
                    <a:defRPr lang="en-US" sz="600" b="0" i="0" u="none" strike="noStrike" kern="1200" baseline="0">
                      <a:solidFill>
                        <a:srgbClr val="969696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933-47AC-AFE3-EBD60C7D9016}"/>
                </c:ext>
              </c:extLst>
            </c:dLbl>
            <c:dLbl>
              <c:idx val="13"/>
              <c:layout>
                <c:manualLayout>
                  <c:x val="0"/>
                  <c:y val="-0.31163309916374859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tx1"/>
                        </a:solidFill>
                      </a:rPr>
                      <a:t> 666 </a:t>
                    </a:r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933-47AC-AFE3-EBD60C7D9016}"/>
                </c:ext>
              </c:extLst>
            </c:dLbl>
            <c:spPr>
              <a:noFill/>
              <a:ln w="25380">
                <a:noFill/>
              </a:ln>
            </c:spPr>
            <c:txPr>
              <a:bodyPr/>
              <a:lstStyle/>
              <a:p>
                <a:pPr>
                  <a:defRPr lang="es-ES" sz="600" b="0" i="0" u="none" strike="noStrike" baseline="0">
                    <a:solidFill>
                      <a:srgbClr val="969696"/>
                    </a:solidFill>
                    <a:latin typeface="Arial"/>
                    <a:ea typeface="Arial"/>
                    <a:cs typeface="Arial"/>
                  </a:defRPr>
                </a:pPr>
                <a:endParaRPr lang="es-PE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Hoja1!$A$2:$A$15</c:f>
              <c:strCache>
                <c:ptCount val="14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</c:strCache>
            </c:strRef>
          </c:cat>
          <c:val>
            <c:numRef>
              <c:f>Hoja1!$B$2:$B$15</c:f>
              <c:numCache>
                <c:formatCode>_ * #,##0_ ;_ * \-#,##0_ ;_ * "-"??_ ;_ @_ </c:formatCode>
                <c:ptCount val="14"/>
                <c:pt idx="0">
                  <c:v>585.01405374773685</c:v>
                </c:pt>
                <c:pt idx="1">
                  <c:v>451.46516699912922</c:v>
                </c:pt>
                <c:pt idx="2">
                  <c:v>435.62157304776269</c:v>
                </c:pt>
                <c:pt idx="3">
                  <c:v>537.86209882775825</c:v>
                </c:pt>
                <c:pt idx="4">
                  <c:v>516.68912132521439</c:v>
                </c:pt>
                <c:pt idx="5">
                  <c:v>752.42364520301714</c:v>
                </c:pt>
                <c:pt idx="6">
                  <c:v>485.44015089709131</c:v>
                </c:pt>
                <c:pt idx="7">
                  <c:v>615.10253455619579</c:v>
                </c:pt>
                <c:pt idx="8">
                  <c:v>697.51303390512487</c:v>
                </c:pt>
                <c:pt idx="9">
                  <c:v>537.38773120804046</c:v>
                </c:pt>
                <c:pt idx="10">
                  <c:v>658.56224656756729</c:v>
                </c:pt>
                <c:pt idx="11">
                  <c:v>586.6835686376678</c:v>
                </c:pt>
                <c:pt idx="12">
                  <c:v>760.88662544953638</c:v>
                </c:pt>
                <c:pt idx="13">
                  <c:v>665.7840853828535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1933-47AC-AFE3-EBD60C7D9016}"/>
            </c:ext>
          </c:extLst>
        </c:ser>
        <c:dLbls/>
        <c:gapWidth val="105"/>
        <c:overlap val="100"/>
        <c:axId val="213489152"/>
        <c:axId val="213490688"/>
      </c:barChart>
      <c:lineChart>
        <c:grouping val="standard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35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layout>
                <c:manualLayout>
                  <c:x val="-8.7360304794115495E-2"/>
                  <c:y val="-5.6381437209717417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lang="es-ES" sz="600" b="0" i="0" u="none" strike="noStrike" baseline="0">
                      <a:solidFill>
                        <a:srgbClr val="666699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933-47AC-AFE3-EBD60C7D9016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lang="es-ES" sz="600" b="0" i="0" u="none" strike="noStrike" baseline="0">
                      <a:solidFill>
                        <a:srgbClr val="666699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lang="es-ES" sz="600" b="0" i="0" u="none" strike="noStrike" baseline="0">
                      <a:solidFill>
                        <a:srgbClr val="666699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</c:dLbl>
            <c:dLbl>
              <c:idx val="10"/>
              <c:layout>
                <c:manualLayout>
                  <c:x val="-8.4164395557937935E-2"/>
                  <c:y val="-2.400151276287444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1933-47AC-AFE3-EBD60C7D9016}"/>
                </c:ext>
              </c:extLst>
            </c:dLbl>
            <c:dLbl>
              <c:idx val="12"/>
              <c:spPr>
                <a:noFill/>
                <a:ln w="25380">
                  <a:noFill/>
                </a:ln>
              </c:spPr>
              <c:txPr>
                <a:bodyPr/>
                <a:lstStyle/>
                <a:p>
                  <a:pPr>
                    <a:defRPr lang="es-ES" sz="600" b="1" i="0" u="none" strike="noStrike" baseline="0">
                      <a:solidFill>
                        <a:srgbClr val="666699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</c:dLbl>
            <c:dLbl>
              <c:idx val="13"/>
              <c:layout>
                <c:manualLayout>
                  <c:x val="-4.5856712351678215E-2"/>
                  <c:y val="4.3105509336823097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tx1"/>
                        </a:solidFill>
                      </a:rPr>
                      <a:t>44.6</a:t>
                    </a:r>
                  </a:p>
                </c:rich>
              </c:tx>
              <c:dLblPos val="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1933-47AC-AFE3-EBD60C7D9016}"/>
                </c:ext>
              </c:extLst>
            </c:dLbl>
            <c:spPr>
              <a:noFill/>
              <a:ln w="25380">
                <a:noFill/>
              </a:ln>
            </c:spPr>
            <c:txPr>
              <a:bodyPr/>
              <a:lstStyle/>
              <a:p>
                <a:pPr>
                  <a:defRPr lang="es-ES" sz="600" b="0" i="0" u="none" strike="noStrike" baseline="0">
                    <a:solidFill>
                      <a:srgbClr val="666699"/>
                    </a:solidFill>
                    <a:latin typeface="Arial"/>
                    <a:ea typeface="Arial"/>
                    <a:cs typeface="Arial"/>
                  </a:defRPr>
                </a:pPr>
                <a:endParaRPr lang="es-PE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Hoja1!$A$2:$A$15</c:f>
              <c:strCache>
                <c:ptCount val="14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</c:strCache>
            </c:strRef>
          </c:cat>
          <c:val>
            <c:numRef>
              <c:f>Hoja1!$C$2:$C$15</c:f>
              <c:numCache>
                <c:formatCode>0.0</c:formatCode>
                <c:ptCount val="14"/>
                <c:pt idx="0">
                  <c:v>-7.7256342781513379</c:v>
                </c:pt>
                <c:pt idx="1">
                  <c:v>-10.086578921140852</c:v>
                </c:pt>
                <c:pt idx="2">
                  <c:v>-7.8635527518428283</c:v>
                </c:pt>
                <c:pt idx="3">
                  <c:v>6.3051498474938175</c:v>
                </c:pt>
                <c:pt idx="4">
                  <c:v>16.767474305228404</c:v>
                </c:pt>
                <c:pt idx="5">
                  <c:v>52.934238798177532</c:v>
                </c:pt>
                <c:pt idx="6">
                  <c:v>-5.9576780058654633</c:v>
                </c:pt>
                <c:pt idx="7">
                  <c:v>8.9277017286429672</c:v>
                </c:pt>
                <c:pt idx="8">
                  <c:v>20.674116699807055</c:v>
                </c:pt>
                <c:pt idx="9">
                  <c:v>-14.855744496231706</c:v>
                </c:pt>
                <c:pt idx="10">
                  <c:v>44.026585103780789</c:v>
                </c:pt>
                <c:pt idx="11">
                  <c:v>-2.6913451042299803</c:v>
                </c:pt>
                <c:pt idx="12">
                  <c:v>27.351451818595841</c:v>
                </c:pt>
                <c:pt idx="13">
                  <c:v>44.575458567127143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7-1933-47AC-AFE3-EBD60C7D9016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ceros</c:v>
                </c:pt>
              </c:strCache>
            </c:strRef>
          </c:tx>
          <c:spPr>
            <a:ln w="12700">
              <a:solidFill>
                <a:srgbClr val="0070C0"/>
              </a:solidFill>
              <a:prstDash val="dash"/>
            </a:ln>
          </c:spPr>
          <c:marker>
            <c:symbol val="none"/>
          </c:marker>
          <c:val>
            <c:numRef>
              <c:f>Hoja1!$D$2:$D$15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2DE-4D35-A9FA-98655215D0D2}"/>
            </c:ext>
          </c:extLst>
        </c:ser>
        <c:dLbls/>
        <c:marker val="1"/>
        <c:axId val="213504768"/>
        <c:axId val="213506304"/>
      </c:lineChart>
      <c:catAx>
        <c:axId val="213489152"/>
        <c:scaling>
          <c:orientation val="minMax"/>
        </c:scaling>
        <c:axPos val="b"/>
        <c:numFmt formatCode="mmm\-\y\y" sourceLinked="0"/>
        <c:majorTickMark val="none"/>
        <c:tickLblPos val="nextTo"/>
        <c:txPr>
          <a:bodyPr rot="0" vert="horz"/>
          <a:lstStyle/>
          <a:p>
            <a:pPr>
              <a:defRPr lang="es-ES" sz="600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213490688"/>
        <c:crosses val="autoZero"/>
        <c:auto val="1"/>
        <c:lblAlgn val="ctr"/>
        <c:lblOffset val="100"/>
        <c:noMultiLvlLbl val="1"/>
      </c:catAx>
      <c:valAx>
        <c:axId val="213490688"/>
        <c:scaling>
          <c:orientation val="minMax"/>
          <c:min val="0"/>
        </c:scaling>
        <c:axPos val="l"/>
        <c:numFmt formatCode="#,##0" sourceLinked="0"/>
        <c:majorTickMark val="none"/>
        <c:tickLblPos val="nextTo"/>
        <c:spPr>
          <a:ln w="8571">
            <a:solidFill>
              <a:schemeClr val="tx1">
                <a:alpha val="66000"/>
              </a:schemeClr>
            </a:solidFill>
          </a:ln>
        </c:spPr>
        <c:txPr>
          <a:bodyPr rot="0" vert="horz"/>
          <a:lstStyle/>
          <a:p>
            <a:pPr>
              <a:defRPr lang="es-ES" sz="600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213489152"/>
        <c:crosses val="autoZero"/>
        <c:crossBetween val="between"/>
      </c:valAx>
      <c:catAx>
        <c:axId val="213504768"/>
        <c:scaling>
          <c:orientation val="minMax"/>
        </c:scaling>
        <c:delete val="1"/>
        <c:axPos val="b"/>
        <c:numFmt formatCode="General" sourceLinked="1"/>
        <c:tickLblPos val="nextTo"/>
        <c:crossAx val="213506304"/>
        <c:crosses val="autoZero"/>
        <c:auto val="1"/>
        <c:lblAlgn val="ctr"/>
        <c:lblOffset val="100"/>
        <c:noMultiLvlLbl val="1"/>
      </c:catAx>
      <c:valAx>
        <c:axId val="213506304"/>
        <c:scaling>
          <c:orientation val="minMax"/>
        </c:scaling>
        <c:axPos val="r"/>
        <c:numFmt formatCode="0" sourceLinked="0"/>
        <c:tickLblPos val="nextTo"/>
        <c:txPr>
          <a:bodyPr rot="0" vert="horz"/>
          <a:lstStyle/>
          <a:p>
            <a:pPr>
              <a:defRPr lang="es-ES" sz="600" b="0" i="0" u="none" strike="noStrike" baseline="0">
                <a:solidFill>
                  <a:srgbClr val="666699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213504768"/>
        <c:crosses val="max"/>
        <c:crossBetween val="between"/>
      </c:valAx>
      <c:spPr>
        <a:noFill/>
        <a:ln w="25380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7088595606541327"/>
          <c:y val="0.91724085552192003"/>
          <c:w val="0.40453518319580367"/>
          <c:h val="6.6073187701930963E-2"/>
        </c:manualLayout>
      </c:layout>
      <c:txPr>
        <a:bodyPr/>
        <a:lstStyle/>
        <a:p>
          <a:pPr>
            <a:defRPr lang="es-ES" sz="550" b="0" i="0" u="none" strike="noStrike" baseline="0">
              <a:solidFill>
                <a:srgbClr val="969696"/>
              </a:solidFill>
              <a:latin typeface="Arial"/>
              <a:ea typeface="Arial"/>
              <a:cs typeface="Arial"/>
            </a:defRPr>
          </a:pPr>
          <a:endParaRPr lang="es-PE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600" b="0" i="0" u="none" strike="noStrike" baseline="0">
          <a:solidFill>
            <a:srgbClr val="969696"/>
          </a:solidFill>
          <a:latin typeface="Arial"/>
          <a:ea typeface="Arial"/>
          <a:cs typeface="Arial"/>
        </a:defRPr>
      </a:pPr>
      <a:endParaRPr lang="es-PE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PE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 lang="es-ES" sz="525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r>
              <a:rPr lang="es-PE" sz="674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Impuesto a la Renta: 2018-2019 </a:t>
            </a:r>
          </a:p>
          <a:p>
            <a:pPr algn="l">
              <a:defRPr lang="es-ES" sz="525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r>
              <a:rPr lang="es-PE" sz="674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En millones de soles y Var. % real anual </a:t>
            </a:r>
          </a:p>
        </c:rich>
      </c:tx>
      <c:layout>
        <c:manualLayout>
          <c:xMode val="edge"/>
          <c:yMode val="edge"/>
          <c:x val="9.1202572379601984E-2"/>
          <c:y val="4.4935754299369288E-2"/>
        </c:manualLayout>
      </c:layout>
    </c:title>
    <c:plotArea>
      <c:layout>
        <c:manualLayout>
          <c:layoutTarget val="inner"/>
          <c:xMode val="edge"/>
          <c:yMode val="edge"/>
          <c:x val="9.1449010208492512E-2"/>
          <c:y val="0.21025145761162334"/>
          <c:w val="0.830879267109911"/>
          <c:h val="0.62909768787735454"/>
        </c:manualLayout>
      </c:layout>
      <c:barChart>
        <c:barDir val="col"/>
        <c:grouping val="stacked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5942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dPt>
            <c:idx val="12"/>
            <c:spPr>
              <a:solidFill>
                <a:sysClr val="window" lastClr="FFFFFF">
                  <a:lumMod val="85000"/>
                </a:sysClr>
              </a:solidFill>
              <a:ln w="5942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137-488B-81C8-134B5A464485}"/>
              </c:ext>
            </c:extLst>
          </c:dPt>
          <c:dPt>
            <c:idx val="13"/>
            <c:spPr>
              <a:solidFill>
                <a:srgbClr val="1F497D">
                  <a:lumMod val="20000"/>
                  <a:lumOff val="80000"/>
                </a:srgbClr>
              </a:solidFill>
              <a:ln w="5942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C137-488B-81C8-134B5A464485}"/>
              </c:ext>
            </c:extLst>
          </c:dPt>
          <c:dLbls>
            <c:dLbl>
              <c:idx val="0"/>
              <c:layout>
                <c:manualLayout>
                  <c:x val="-6.0510587730116701E-3"/>
                  <c:y val="-0.18583976803696359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137-488B-81C8-134B5A464485}"/>
                </c:ext>
              </c:extLst>
            </c:dLbl>
            <c:dLbl>
              <c:idx val="1"/>
              <c:layout>
                <c:manualLayout>
                  <c:x val="-3.0255293865058255E-3"/>
                  <c:y val="-0.17728590699070992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137-488B-81C8-134B5A464485}"/>
                </c:ext>
              </c:extLst>
            </c:dLbl>
            <c:dLbl>
              <c:idx val="2"/>
              <c:layout>
                <c:manualLayout>
                  <c:x val="-9.0768378112533118E-3"/>
                  <c:y val="-0.22476259192700521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137-488B-81C8-134B5A464485}"/>
                </c:ext>
              </c:extLst>
            </c:dLbl>
            <c:dLbl>
              <c:idx val="3"/>
              <c:layout>
                <c:manualLayout>
                  <c:x val="-2.8390145746683405E-2"/>
                  <c:y val="-0.33691689933180718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137-488B-81C8-134B5A464485}"/>
                </c:ext>
              </c:extLst>
            </c:dLbl>
            <c:dLbl>
              <c:idx val="4"/>
              <c:layout>
                <c:manualLayout>
                  <c:x val="-9.0768378112533726E-3"/>
                  <c:y val="-0.13184606904216661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137-488B-81C8-134B5A464485}"/>
                </c:ext>
              </c:extLst>
            </c:dLbl>
            <c:dLbl>
              <c:idx val="5"/>
              <c:layout>
                <c:manualLayout>
                  <c:x val="0"/>
                  <c:y val="-0.13608333818830426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137-488B-81C8-134B5A464485}"/>
                </c:ext>
              </c:extLst>
            </c:dLbl>
            <c:dLbl>
              <c:idx val="6"/>
              <c:layout>
                <c:manualLayout>
                  <c:x val="-5.8126574342260111E-17"/>
                  <c:y val="-0.14174438354568245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137-488B-81C8-134B5A464485}"/>
                </c:ext>
              </c:extLst>
            </c:dLbl>
            <c:dLbl>
              <c:idx val="7"/>
              <c:layout>
                <c:manualLayout>
                  <c:x val="0"/>
                  <c:y val="-0.13155566709539793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137-488B-81C8-134B5A464485}"/>
                </c:ext>
              </c:extLst>
            </c:dLbl>
            <c:dLbl>
              <c:idx val="8"/>
              <c:layout>
                <c:manualLayout>
                  <c:x val="0"/>
                  <c:y val="-0.13073196527724881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137-488B-81C8-134B5A464485}"/>
                </c:ext>
              </c:extLst>
            </c:dLbl>
            <c:dLbl>
              <c:idx val="9"/>
              <c:layout>
                <c:manualLayout>
                  <c:x val="6.341154090044392E-3"/>
                  <c:y val="-0.19326742523718399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137-488B-81C8-134B5A464485}"/>
                </c:ext>
              </c:extLst>
            </c:dLbl>
            <c:dLbl>
              <c:idx val="10"/>
              <c:layout>
                <c:manualLayout>
                  <c:x val="-1.1625314868452025E-16"/>
                  <c:y val="-0.14168881280278214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137-488B-81C8-134B5A464485}"/>
                </c:ext>
              </c:extLst>
            </c:dLbl>
            <c:dLbl>
              <c:idx val="11"/>
              <c:layout>
                <c:manualLayout>
                  <c:x val="0"/>
                  <c:y val="-0.16443203563697975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137-488B-81C8-134B5A464485}"/>
                </c:ext>
              </c:extLst>
            </c:dLbl>
            <c:dLbl>
              <c:idx val="12"/>
              <c:layout>
                <c:manualLayout>
                  <c:x val="0"/>
                  <c:y val="-0.1907335786213974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4,120 </a:t>
                    </a:r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137-488B-81C8-134B5A464485}"/>
                </c:ext>
              </c:extLst>
            </c:dLbl>
            <c:dLbl>
              <c:idx val="13"/>
              <c:layout>
                <c:manualLayout>
                  <c:x val="-6.0337285424358035E-6"/>
                  <c:y val="-0.15464850942139699"/>
                </c:manualLayout>
              </c:layout>
              <c:tx>
                <c:rich>
                  <a:bodyPr/>
                  <a:lstStyle/>
                  <a:p>
                    <a:r>
                      <a:rPr lang="en-US" sz="561" b="0" i="0" u="none" strike="noStrike" baseline="0">
                        <a:solidFill>
                          <a:srgbClr val="969696"/>
                        </a:solidFill>
                        <a:latin typeface="Arial"/>
                        <a:cs typeface="Arial"/>
                      </a:rPr>
                      <a:t> </a:t>
                    </a:r>
                    <a:r>
                      <a:rPr lang="en-US" sz="561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3,134</a:t>
                    </a:r>
                    <a:r>
                      <a:rPr lang="en-US" sz="561" b="0" i="0" u="none" strike="noStrike" baseline="0">
                        <a:solidFill>
                          <a:srgbClr val="969696"/>
                        </a:solidFill>
                        <a:latin typeface="Arial"/>
                        <a:cs typeface="Arial"/>
                      </a:rPr>
                      <a:t> </a:t>
                    </a:r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137-488B-81C8-134B5A464485}"/>
                </c:ext>
              </c:extLst>
            </c:dLbl>
            <c:spPr>
              <a:noFill/>
              <a:ln w="23766">
                <a:noFill/>
              </a:ln>
            </c:spPr>
            <c:txPr>
              <a:bodyPr/>
              <a:lstStyle/>
              <a:p>
                <a:pPr>
                  <a:defRPr lang="es-ES" sz="561" b="0" i="0" u="none" strike="noStrike" baseline="0">
                    <a:solidFill>
                      <a:srgbClr val="969696"/>
                    </a:solidFill>
                    <a:latin typeface="Arial"/>
                    <a:ea typeface="Arial"/>
                    <a:cs typeface="Arial"/>
                  </a:defRPr>
                </a:pPr>
                <a:endParaRPr lang="es-PE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Hoja1!$A$2:$A$15</c:f>
              <c:strCache>
                <c:ptCount val="14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</c:strCache>
            </c:strRef>
          </c:cat>
          <c:val>
            <c:numRef>
              <c:f>Hoja1!$B$2:$B$15</c:f>
              <c:numCache>
                <c:formatCode>_ * #,##0_ ;_ * \-#,##0_ ;_ * "-"??_ ;_ @_ </c:formatCode>
                <c:ptCount val="14"/>
                <c:pt idx="0">
                  <c:v>3929.0430274699997</c:v>
                </c:pt>
                <c:pt idx="1">
                  <c:v>3159.9821712500002</c:v>
                </c:pt>
                <c:pt idx="2">
                  <c:v>4723.0066664900023</c:v>
                </c:pt>
                <c:pt idx="3">
                  <c:v>6859.8274243700016</c:v>
                </c:pt>
                <c:pt idx="4">
                  <c:v>2765.9116278300003</c:v>
                </c:pt>
                <c:pt idx="5">
                  <c:v>2729.6802019199999</c:v>
                </c:pt>
                <c:pt idx="6">
                  <c:v>2873.6579031700012</c:v>
                </c:pt>
                <c:pt idx="7">
                  <c:v>2759.2796705800001</c:v>
                </c:pt>
                <c:pt idx="8">
                  <c:v>2738.3304845600001</c:v>
                </c:pt>
                <c:pt idx="9">
                  <c:v>2881.2706527999994</c:v>
                </c:pt>
                <c:pt idx="10">
                  <c:v>2872.2423492499997</c:v>
                </c:pt>
                <c:pt idx="11">
                  <c:v>3305.9207966100003</c:v>
                </c:pt>
                <c:pt idx="12">
                  <c:v>4119.6140546400002</c:v>
                </c:pt>
                <c:pt idx="13">
                  <c:v>3134.3328087700006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C137-488B-81C8-134B5A464485}"/>
            </c:ext>
          </c:extLst>
        </c:ser>
        <c:dLbls/>
        <c:gapWidth val="105"/>
        <c:overlap val="100"/>
        <c:axId val="213620224"/>
        <c:axId val="213621760"/>
      </c:barChart>
      <c:lineChart>
        <c:grouping val="standard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7825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3"/>
              <c:layout>
                <c:manualLayout>
                  <c:x val="-4.2328451809725502E-3"/>
                  <c:y val="-1.452726775686906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137-488B-81C8-134B5A464485}"/>
                </c:ext>
              </c:extLst>
            </c:dLbl>
            <c:dLbl>
              <c:idx val="4"/>
              <c:layout>
                <c:manualLayout>
                  <c:x val="-3.7176757254602816E-2"/>
                  <c:y val="-3.9483377508319227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137-488B-81C8-134B5A464485}"/>
                </c:ext>
              </c:extLst>
            </c:dLbl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lang="es-ES" sz="561" b="0" i="0" u="none" strike="noStrike" baseline="0">
                      <a:solidFill>
                        <a:srgbClr val="666699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137-488B-81C8-134B5A464485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lang="es-ES" sz="561" b="0" i="0" u="none" strike="noStrike" baseline="0">
                      <a:solidFill>
                        <a:srgbClr val="666699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C137-488B-81C8-134B5A464485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lang="es-ES" sz="561" b="0" i="0" u="none" strike="noStrike" baseline="0">
                      <a:solidFill>
                        <a:srgbClr val="666699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C137-488B-81C8-134B5A464485}"/>
                </c:ext>
              </c:extLst>
            </c:dLbl>
            <c:dLbl>
              <c:idx val="8"/>
              <c:dLblPos val="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C137-488B-81C8-134B5A464485}"/>
                </c:ext>
              </c:extLst>
            </c:dLbl>
            <c:dLbl>
              <c:idx val="9"/>
              <c:layout>
                <c:manualLayout>
                  <c:x val="-4.2547281242212832E-2"/>
                  <c:y val="-2.6885570915400961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C137-488B-81C8-134B5A464485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pPr>
                      <a:defRPr lang="es-ES" sz="561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-2.8</a:t>
                    </a:r>
                  </a:p>
                </c:rich>
              </c:tx>
              <c:spPr>
                <a:noFill/>
                <a:ln w="23766">
                  <a:noFill/>
                </a:ln>
              </c:spPr>
              <c:dLblPos val="b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C137-488B-81C8-134B5A464485}"/>
                </c:ext>
              </c:extLst>
            </c:dLbl>
            <c:spPr>
              <a:noFill/>
              <a:ln w="23766">
                <a:noFill/>
              </a:ln>
            </c:spPr>
            <c:txPr>
              <a:bodyPr/>
              <a:lstStyle/>
              <a:p>
                <a:pPr>
                  <a:defRPr lang="es-ES" sz="561" b="0" i="0" u="none" strike="noStrike" baseline="0">
                    <a:solidFill>
                      <a:srgbClr val="666699"/>
                    </a:solidFill>
                    <a:latin typeface="Arial"/>
                    <a:ea typeface="Arial"/>
                    <a:cs typeface="Arial"/>
                  </a:defRPr>
                </a:pPr>
                <a:endParaRPr lang="es-PE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Hoja1!$A$2:$A$15</c:f>
              <c:strCache>
                <c:ptCount val="14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</c:strCache>
            </c:strRef>
          </c:cat>
          <c:val>
            <c:numRef>
              <c:f>Hoja1!$C$2:$C$15</c:f>
              <c:numCache>
                <c:formatCode>0.0</c:formatCode>
                <c:ptCount val="14"/>
                <c:pt idx="0">
                  <c:v>4.975051907683171</c:v>
                </c:pt>
                <c:pt idx="1">
                  <c:v>9.6811438791979398</c:v>
                </c:pt>
                <c:pt idx="2">
                  <c:v>12.993730819181696</c:v>
                </c:pt>
                <c:pt idx="3">
                  <c:v>52.710865638310999</c:v>
                </c:pt>
                <c:pt idx="4">
                  <c:v>14.841516083158821</c:v>
                </c:pt>
                <c:pt idx="5">
                  <c:v>18.54450331171515</c:v>
                </c:pt>
                <c:pt idx="6">
                  <c:v>14.869819703676889</c:v>
                </c:pt>
                <c:pt idx="7">
                  <c:v>9.9511795799940295</c:v>
                </c:pt>
                <c:pt idx="8">
                  <c:v>10.802553159403486</c:v>
                </c:pt>
                <c:pt idx="9">
                  <c:v>3.208403759571588</c:v>
                </c:pt>
                <c:pt idx="10">
                  <c:v>-2.2141620945577145</c:v>
                </c:pt>
                <c:pt idx="11">
                  <c:v>-17.446495804502177</c:v>
                </c:pt>
                <c:pt idx="12">
                  <c:v>2.6644288779916092</c:v>
                </c:pt>
                <c:pt idx="13">
                  <c:v>-2.759788927260598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8-C137-488B-81C8-134B5A464485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rgbClr val="0070C0"/>
              </a:solidFill>
              <a:prstDash val="dash"/>
            </a:ln>
          </c:spPr>
          <c:marker>
            <c:symbol val="none"/>
          </c:marker>
          <c:cat>
            <c:strRef>
              <c:f>Hoja1!$A$2:$A$15</c:f>
              <c:strCache>
                <c:ptCount val="14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</c:strCache>
            </c:strRef>
          </c:cat>
          <c:val>
            <c:numRef>
              <c:f>Hoja1!$D$2:$D$15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678-4243-8628-15A6459B41F6}"/>
            </c:ext>
          </c:extLst>
        </c:ser>
        <c:dLbls/>
        <c:marker val="1"/>
        <c:axId val="213635840"/>
        <c:axId val="213637376"/>
      </c:lineChart>
      <c:catAx>
        <c:axId val="213620224"/>
        <c:scaling>
          <c:orientation val="minMax"/>
        </c:scaling>
        <c:axPos val="b"/>
        <c:numFmt formatCode="mmm\-\y\y" sourceLinked="0"/>
        <c:majorTickMark val="none"/>
        <c:tickLblPos val="nextTo"/>
        <c:txPr>
          <a:bodyPr rot="0" vert="horz"/>
          <a:lstStyle/>
          <a:p>
            <a:pPr>
              <a:defRPr lang="es-ES" sz="561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213621760"/>
        <c:crosses val="autoZero"/>
        <c:auto val="1"/>
        <c:lblAlgn val="ctr"/>
        <c:lblOffset val="100"/>
        <c:noMultiLvlLbl val="1"/>
      </c:catAx>
      <c:valAx>
        <c:axId val="213621760"/>
        <c:scaling>
          <c:orientation val="minMax"/>
          <c:min val="0"/>
        </c:scaling>
        <c:axPos val="l"/>
        <c:numFmt formatCode="#,##0" sourceLinked="0"/>
        <c:majorTickMark val="none"/>
        <c:tickLblPos val="nextTo"/>
        <c:spPr>
          <a:ln w="8026">
            <a:solidFill>
              <a:schemeClr val="tx1">
                <a:alpha val="66000"/>
              </a:schemeClr>
            </a:solidFill>
          </a:ln>
        </c:spPr>
        <c:txPr>
          <a:bodyPr rot="0" vert="horz"/>
          <a:lstStyle/>
          <a:p>
            <a:pPr>
              <a:defRPr lang="es-ES" sz="561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213620224"/>
        <c:crosses val="autoZero"/>
        <c:crossBetween val="between"/>
      </c:valAx>
      <c:catAx>
        <c:axId val="213635840"/>
        <c:scaling>
          <c:orientation val="minMax"/>
        </c:scaling>
        <c:delete val="1"/>
        <c:axPos val="b"/>
        <c:numFmt formatCode="General" sourceLinked="1"/>
        <c:tickLblPos val="nextTo"/>
        <c:crossAx val="213637376"/>
        <c:crosses val="autoZero"/>
        <c:auto val="1"/>
        <c:lblAlgn val="ctr"/>
        <c:lblOffset val="100"/>
        <c:noMultiLvlLbl val="1"/>
      </c:catAx>
      <c:valAx>
        <c:axId val="213637376"/>
        <c:scaling>
          <c:orientation val="minMax"/>
        </c:scaling>
        <c:axPos val="r"/>
        <c:numFmt formatCode="0" sourceLinked="0"/>
        <c:tickLblPos val="nextTo"/>
        <c:txPr>
          <a:bodyPr rot="0" vert="horz"/>
          <a:lstStyle/>
          <a:p>
            <a:pPr>
              <a:defRPr lang="es-ES" sz="561" b="0" i="0" u="none" strike="noStrike" baseline="0">
                <a:solidFill>
                  <a:srgbClr val="666699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213635840"/>
        <c:crosses val="max"/>
        <c:crossBetween val="between"/>
      </c:valAx>
      <c:spPr>
        <a:noFill/>
        <a:ln w="23766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11990401343510225"/>
          <c:y val="0.90186909938496473"/>
          <c:w val="0.80402619633697525"/>
          <c:h val="9.8130723911804621E-2"/>
        </c:manualLayout>
      </c:layout>
      <c:txPr>
        <a:bodyPr/>
        <a:lstStyle/>
        <a:p>
          <a:pPr>
            <a:defRPr lang="es-ES" sz="473" b="0" i="0" u="none" strike="noStrike" baseline="0">
              <a:solidFill>
                <a:srgbClr val="969696"/>
              </a:solidFill>
              <a:latin typeface="Arial"/>
              <a:ea typeface="Arial"/>
              <a:cs typeface="Arial"/>
            </a:defRPr>
          </a:pPr>
          <a:endParaRPr lang="es-PE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561" b="0" i="0" u="none" strike="noStrike" baseline="0">
          <a:solidFill>
            <a:srgbClr val="969696"/>
          </a:solidFill>
          <a:latin typeface="Arial"/>
          <a:ea typeface="Arial"/>
          <a:cs typeface="Arial"/>
        </a:defRPr>
      </a:pPr>
      <a:endParaRPr lang="es-PE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PE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 lang="es-ES" sz="598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r>
              <a:rPr lang="es-PE" sz="7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Pagos a cuenta Régimen General y Mype Tributario : 2018-2019 </a:t>
            </a:r>
          </a:p>
          <a:p>
            <a:pPr algn="l">
              <a:defRPr lang="es-ES" sz="598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r>
              <a:rPr lang="es-PE" sz="7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En millones de soles y Var. % real anual </a:t>
            </a:r>
          </a:p>
        </c:rich>
      </c:tx>
      <c:layout>
        <c:manualLayout>
          <c:xMode val="edge"/>
          <c:yMode val="edge"/>
          <c:x val="8.3841906825787446E-2"/>
          <c:y val="3.2603650647086715E-2"/>
        </c:manualLayout>
      </c:layout>
    </c:title>
    <c:plotArea>
      <c:layout>
        <c:manualLayout>
          <c:layoutTarget val="inner"/>
          <c:xMode val="edge"/>
          <c:yMode val="edge"/>
          <c:x val="8.7995214673045469E-2"/>
          <c:y val="0.25226226978926036"/>
          <c:w val="0.84638097416632929"/>
          <c:h val="0.56432108529729186"/>
        </c:manualLayout>
      </c:layout>
      <c:barChart>
        <c:barDir val="col"/>
        <c:grouping val="stacked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42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dPt>
            <c:idx val="12"/>
            <c:spPr>
              <a:solidFill>
                <a:sysClr val="window" lastClr="FFFFFF">
                  <a:lumMod val="85000"/>
                </a:sysClr>
              </a:solidFill>
              <a:ln w="6342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DAD-4D11-998D-171DEC5968CA}"/>
              </c:ext>
            </c:extLst>
          </c:dPt>
          <c:dPt>
            <c:idx val="13"/>
            <c:spPr>
              <a:solidFill>
                <a:srgbClr val="4F81BD">
                  <a:lumMod val="40000"/>
                  <a:lumOff val="60000"/>
                </a:srgbClr>
              </a:solidFill>
              <a:ln w="6342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DAD-4D11-998D-171DEC5968CA}"/>
              </c:ext>
            </c:extLst>
          </c:dPt>
          <c:dLbls>
            <c:dLbl>
              <c:idx val="0"/>
              <c:layout>
                <c:manualLayout>
                  <c:x val="-3.1313605761703477E-3"/>
                  <c:y val="-0.24071923421708086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DAD-4D11-998D-171DEC5968CA}"/>
                </c:ext>
              </c:extLst>
            </c:dLbl>
            <c:dLbl>
              <c:idx val="1"/>
              <c:layout>
                <c:manualLayout>
                  <c:x val="-3.1313605761703477E-3"/>
                  <c:y val="-0.24128311687082987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DAD-4D11-998D-171DEC5968CA}"/>
                </c:ext>
              </c:extLst>
            </c:dLbl>
            <c:dLbl>
              <c:idx val="2"/>
              <c:layout>
                <c:manualLayout>
                  <c:x val="0"/>
                  <c:y val="-0.22964073768339793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DAD-4D11-998D-171DEC5968CA}"/>
                </c:ext>
              </c:extLst>
            </c:dLbl>
            <c:dLbl>
              <c:idx val="3"/>
              <c:layout>
                <c:manualLayout>
                  <c:x val="-5.740761405213357E-17"/>
                  <c:y val="-0.16629050836954187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DAD-4D11-998D-171DEC5968CA}"/>
                </c:ext>
              </c:extLst>
            </c:dLbl>
            <c:dLbl>
              <c:idx val="4"/>
              <c:layout>
                <c:manualLayout>
                  <c:x val="3.1313605761703477E-3"/>
                  <c:y val="-0.16359077824794285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DAD-4D11-998D-171DEC5968CA}"/>
                </c:ext>
              </c:extLst>
            </c:dLbl>
            <c:dLbl>
              <c:idx val="5"/>
              <c:layout>
                <c:manualLayout>
                  <c:x val="-5.740761405213357E-17"/>
                  <c:y val="-0.18619055165415827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DAD-4D11-998D-171DEC5968CA}"/>
                </c:ext>
              </c:extLst>
            </c:dLbl>
            <c:dLbl>
              <c:idx val="6"/>
              <c:layout>
                <c:manualLayout>
                  <c:x val="3.1313605761702891E-3"/>
                  <c:y val="-0.21350385422308837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DAD-4D11-998D-171DEC5968CA}"/>
                </c:ext>
              </c:extLst>
            </c:dLbl>
            <c:dLbl>
              <c:idx val="7"/>
              <c:layout>
                <c:manualLayout>
                  <c:x val="0"/>
                  <c:y val="-0.20621642781284982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DAD-4D11-998D-171DEC5968CA}"/>
                </c:ext>
              </c:extLst>
            </c:dLbl>
            <c:dLbl>
              <c:idx val="8"/>
              <c:layout>
                <c:manualLayout>
                  <c:x val="0"/>
                  <c:y val="-0.18730459834004679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DAD-4D11-998D-171DEC5968CA}"/>
                </c:ext>
              </c:extLst>
            </c:dLbl>
            <c:dLbl>
              <c:idx val="9"/>
              <c:layout>
                <c:manualLayout>
                  <c:x val="0"/>
                  <c:y val="-0.20136050881894491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DAD-4D11-998D-171DEC5968CA}"/>
                </c:ext>
              </c:extLst>
            </c:dLbl>
            <c:dLbl>
              <c:idx val="10"/>
              <c:layout>
                <c:manualLayout>
                  <c:x val="-1.1481522810426709E-16"/>
                  <c:y val="-0.19921046967356781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DAD-4D11-998D-171DEC5968CA}"/>
                </c:ext>
              </c:extLst>
            </c:dLbl>
            <c:dLbl>
              <c:idx val="11"/>
              <c:layout>
                <c:manualLayout>
                  <c:x val="-1.1481522810426709E-16"/>
                  <c:y val="-0.21636253113299281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DAD-4D11-998D-171DEC5968CA}"/>
                </c:ext>
              </c:extLst>
            </c:dLbl>
            <c:dLbl>
              <c:idx val="12"/>
              <c:layout>
                <c:manualLayout>
                  <c:x val="-1.2795699033068321E-2"/>
                  <c:y val="-0.279104450555615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2,094 </a:t>
                    </a:r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DAD-4D11-998D-171DEC5968CA}"/>
                </c:ext>
              </c:extLst>
            </c:dLbl>
            <c:dLbl>
              <c:idx val="13"/>
              <c:layout>
                <c:manualLayout>
                  <c:x val="0"/>
                  <c:y val="-0.2582286389450314"/>
                </c:manualLayout>
              </c:layout>
              <c:tx>
                <c:rich>
                  <a:bodyPr/>
                  <a:lstStyle/>
                  <a:p>
                    <a:r>
                      <a:rPr lang="en-US" sz="599" b="0" i="0" u="none" strike="noStrike" baseline="0">
                        <a:solidFill>
                          <a:srgbClr val="969696"/>
                        </a:solidFill>
                        <a:latin typeface="Arial"/>
                        <a:cs typeface="Arial"/>
                      </a:rPr>
                      <a:t> </a:t>
                    </a:r>
                    <a:r>
                      <a:rPr lang="en-US" sz="599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1,894</a:t>
                    </a:r>
                    <a:r>
                      <a:rPr lang="en-US" sz="599" b="0" i="0" u="none" strike="noStrike" baseline="0">
                        <a:solidFill>
                          <a:srgbClr val="969696"/>
                        </a:solidFill>
                        <a:latin typeface="Arial"/>
                        <a:cs typeface="Arial"/>
                      </a:rPr>
                      <a:t> </a:t>
                    </a:r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DAD-4D11-998D-171DEC5968CA}"/>
                </c:ext>
              </c:extLst>
            </c:dLbl>
            <c:spPr>
              <a:noFill/>
              <a:ln w="25369">
                <a:noFill/>
              </a:ln>
            </c:spPr>
            <c:txPr>
              <a:bodyPr/>
              <a:lstStyle/>
              <a:p>
                <a:pPr>
                  <a:defRPr lang="es-ES" sz="599" b="0" i="0" u="none" strike="noStrike" baseline="0">
                    <a:solidFill>
                      <a:srgbClr val="969696"/>
                    </a:solidFill>
                    <a:latin typeface="Arial"/>
                    <a:ea typeface="Arial"/>
                    <a:cs typeface="Arial"/>
                  </a:defRPr>
                </a:pPr>
                <a:endParaRPr lang="es-PE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Hoja1!$A$2:$A$15</c:f>
              <c:strCache>
                <c:ptCount val="14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</c:strCache>
            </c:strRef>
          </c:cat>
          <c:val>
            <c:numRef>
              <c:f>Hoja1!$B$2:$B$15</c:f>
              <c:numCache>
                <c:formatCode>_ * #,##0_ ;_ * \-#,##0_ ;_ * "-"??_ ;_ @_ </c:formatCode>
                <c:ptCount val="14"/>
                <c:pt idx="0">
                  <c:v>1917.1059749199999</c:v>
                </c:pt>
                <c:pt idx="1">
                  <c:v>1868.8739240999998</c:v>
                </c:pt>
                <c:pt idx="2">
                  <c:v>1765.7171052900001</c:v>
                </c:pt>
                <c:pt idx="3">
                  <c:v>1257.6534843199997</c:v>
                </c:pt>
                <c:pt idx="4">
                  <c:v>1233.7330210499999</c:v>
                </c:pt>
                <c:pt idx="5">
                  <c:v>1433.97298</c:v>
                </c:pt>
                <c:pt idx="6">
                  <c:v>1463.0527057500001</c:v>
                </c:pt>
                <c:pt idx="7">
                  <c:v>1451.7135118199999</c:v>
                </c:pt>
                <c:pt idx="8">
                  <c:v>1443.8426807599999</c:v>
                </c:pt>
                <c:pt idx="9">
                  <c:v>1515.1511868699999</c:v>
                </c:pt>
                <c:pt idx="10">
                  <c:v>1549.3296807900001</c:v>
                </c:pt>
                <c:pt idx="11">
                  <c:v>1701.3023926799997</c:v>
                </c:pt>
                <c:pt idx="12">
                  <c:v>2093.7190636</c:v>
                </c:pt>
                <c:pt idx="13">
                  <c:v>1894.46458082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2DAD-4D11-998D-171DEC5968CA}"/>
            </c:ext>
          </c:extLst>
        </c:ser>
        <c:dLbls/>
        <c:gapWidth val="105"/>
        <c:overlap val="100"/>
        <c:axId val="213784448"/>
        <c:axId val="213785984"/>
      </c:barChart>
      <c:lineChart>
        <c:grouping val="standard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27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lang="es-ES" sz="599" b="0" i="0" u="none" strike="noStrike" baseline="0">
                      <a:solidFill>
                        <a:srgbClr val="666699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</c:dLbl>
            <c:dLbl>
              <c:idx val="6"/>
              <c:layout>
                <c:manualLayout>
                  <c:x val="-4.8019537717484712E-2"/>
                  <c:y val="-0.12885238999675963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lang="es-ES" sz="599" b="0" i="0" u="none" strike="noStrike" baseline="0">
                      <a:solidFill>
                        <a:srgbClr val="666699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DAD-4D11-998D-171DEC5968CA}"/>
                </c:ext>
              </c:extLst>
            </c:dLbl>
            <c:dLbl>
              <c:idx val="7"/>
              <c:layout>
                <c:manualLayout>
                  <c:x val="-7.3070422326847614E-2"/>
                  <c:y val="1.5335053680020246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lang="es-ES" sz="599" b="0" i="0" u="none" strike="noStrike" baseline="0">
                      <a:solidFill>
                        <a:srgbClr val="666699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DAD-4D11-998D-171DEC5968CA}"/>
                </c:ext>
              </c:extLst>
            </c:dLbl>
            <c:dLbl>
              <c:idx val="8"/>
              <c:layout>
                <c:manualLayout>
                  <c:x val="-4.9279078089033986E-2"/>
                  <c:y val="3.948370815941080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DAD-4D11-998D-171DEC5968CA}"/>
                </c:ext>
              </c:extLst>
            </c:dLbl>
            <c:dLbl>
              <c:idx val="12"/>
              <c:spPr>
                <a:noFill/>
                <a:ln w="25369">
                  <a:noFill/>
                </a:ln>
              </c:spPr>
              <c:txPr>
                <a:bodyPr/>
                <a:lstStyle/>
                <a:p>
                  <a:pPr>
                    <a:defRPr lang="es-ES" sz="599" b="1" i="0" u="none" strike="noStrike" baseline="0">
                      <a:solidFill>
                        <a:srgbClr val="666699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</c:dLbl>
            <c:dLbl>
              <c:idx val="13"/>
              <c:layout>
                <c:manualLayout>
                  <c:x val="-4.3790088713919373E-2"/>
                  <c:y val="1.5972443261045018E-2"/>
                </c:manualLayout>
              </c:layout>
              <c:tx>
                <c:rich>
                  <a:bodyPr/>
                  <a:lstStyle/>
                  <a:p>
                    <a:pPr>
                      <a:defRPr lang="es-ES" sz="5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-0.6</a:t>
                    </a:r>
                  </a:p>
                </c:rich>
              </c:tx>
              <c:spPr>
                <a:noFill/>
                <a:ln w="25369">
                  <a:noFill/>
                </a:ln>
              </c:spPr>
              <c:dLblPos val="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2DAD-4D11-998D-171DEC5968CA}"/>
                </c:ext>
              </c:extLst>
            </c:dLbl>
            <c:spPr>
              <a:noFill/>
              <a:ln w="25369">
                <a:noFill/>
              </a:ln>
            </c:spPr>
            <c:txPr>
              <a:bodyPr/>
              <a:lstStyle/>
              <a:p>
                <a:pPr>
                  <a:defRPr lang="es-ES" sz="599" b="0" i="0" u="none" strike="noStrike" baseline="0">
                    <a:solidFill>
                      <a:srgbClr val="666699"/>
                    </a:solidFill>
                    <a:latin typeface="Arial"/>
                    <a:ea typeface="Arial"/>
                    <a:cs typeface="Arial"/>
                  </a:defRPr>
                </a:pPr>
                <a:endParaRPr lang="es-PE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Hoja1!$A$2:$A$15</c:f>
              <c:strCache>
                <c:ptCount val="14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</c:strCache>
            </c:strRef>
          </c:cat>
          <c:val>
            <c:numRef>
              <c:f>Hoja1!$C$2:$C$15</c:f>
              <c:numCache>
                <c:formatCode>0.0</c:formatCode>
                <c:ptCount val="14"/>
                <c:pt idx="0">
                  <c:v>3.626594681484141</c:v>
                </c:pt>
                <c:pt idx="1">
                  <c:v>5.8392694919508408</c:v>
                </c:pt>
                <c:pt idx="2">
                  <c:v>0.48900450403679407</c:v>
                </c:pt>
                <c:pt idx="3">
                  <c:v>35.552502714434979</c:v>
                </c:pt>
                <c:pt idx="4">
                  <c:v>24.884628294305486</c:v>
                </c:pt>
                <c:pt idx="5">
                  <c:v>28.035352022762812</c:v>
                </c:pt>
                <c:pt idx="6">
                  <c:v>20.735986816355823</c:v>
                </c:pt>
                <c:pt idx="7">
                  <c:v>17.015544698420882</c:v>
                </c:pt>
                <c:pt idx="8">
                  <c:v>12.388025321150062</c:v>
                </c:pt>
                <c:pt idx="9">
                  <c:v>5.217854271273036</c:v>
                </c:pt>
                <c:pt idx="10">
                  <c:v>4.7431296942097374</c:v>
                </c:pt>
                <c:pt idx="11">
                  <c:v>9.2540950283142021</c:v>
                </c:pt>
                <c:pt idx="12">
                  <c:v>6.935655486254146</c:v>
                </c:pt>
                <c:pt idx="13">
                  <c:v>-0.62162247793389214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7-2DAD-4D11-998D-171DEC5968CA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ceros</c:v>
                </c:pt>
              </c:strCache>
            </c:strRef>
          </c:tx>
          <c:spPr>
            <a:ln w="12700">
              <a:solidFill>
                <a:srgbClr val="0070C0"/>
              </a:solidFill>
              <a:prstDash val="dash"/>
            </a:ln>
          </c:spPr>
          <c:marker>
            <c:symbol val="none"/>
          </c:marker>
          <c:val>
            <c:numRef>
              <c:f>Hoja1!$D$2:$D$15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972-44D2-9E5E-8DEF7738BCE4}"/>
            </c:ext>
          </c:extLst>
        </c:ser>
        <c:dLbls/>
        <c:marker val="1"/>
        <c:axId val="213804160"/>
        <c:axId val="213805696"/>
      </c:lineChart>
      <c:catAx>
        <c:axId val="213784448"/>
        <c:scaling>
          <c:orientation val="minMax"/>
        </c:scaling>
        <c:axPos val="b"/>
        <c:numFmt formatCode="mmm\-\y\y" sourceLinked="0"/>
        <c:majorTickMark val="none"/>
        <c:tickLblPos val="nextTo"/>
        <c:txPr>
          <a:bodyPr rot="0" vert="horz"/>
          <a:lstStyle/>
          <a:p>
            <a:pPr>
              <a:defRPr lang="es-ES" sz="599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213785984"/>
        <c:crosses val="autoZero"/>
        <c:auto val="1"/>
        <c:lblAlgn val="ctr"/>
        <c:lblOffset val="100"/>
        <c:noMultiLvlLbl val="1"/>
      </c:catAx>
      <c:valAx>
        <c:axId val="213785984"/>
        <c:scaling>
          <c:orientation val="minMax"/>
          <c:min val="0"/>
        </c:scaling>
        <c:axPos val="l"/>
        <c:numFmt formatCode="#,##0" sourceLinked="0"/>
        <c:majorTickMark val="none"/>
        <c:tickLblPos val="nextTo"/>
        <c:spPr>
          <a:ln w="8567">
            <a:solidFill>
              <a:schemeClr val="tx1">
                <a:alpha val="66000"/>
              </a:schemeClr>
            </a:solidFill>
          </a:ln>
        </c:spPr>
        <c:txPr>
          <a:bodyPr rot="0" vert="horz"/>
          <a:lstStyle/>
          <a:p>
            <a:pPr>
              <a:defRPr lang="es-ES" sz="599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213784448"/>
        <c:crosses val="autoZero"/>
        <c:crossBetween val="between"/>
      </c:valAx>
      <c:catAx>
        <c:axId val="213804160"/>
        <c:scaling>
          <c:orientation val="minMax"/>
        </c:scaling>
        <c:delete val="1"/>
        <c:axPos val="b"/>
        <c:numFmt formatCode="General" sourceLinked="1"/>
        <c:tickLblPos val="nextTo"/>
        <c:crossAx val="213805696"/>
        <c:crosses val="autoZero"/>
        <c:auto val="1"/>
        <c:lblAlgn val="ctr"/>
        <c:lblOffset val="100"/>
        <c:noMultiLvlLbl val="1"/>
      </c:catAx>
      <c:valAx>
        <c:axId val="213805696"/>
        <c:scaling>
          <c:orientation val="minMax"/>
          <c:min val="-20"/>
        </c:scaling>
        <c:axPos val="r"/>
        <c:numFmt formatCode="0" sourceLinked="0"/>
        <c:tickLblPos val="nextTo"/>
        <c:txPr>
          <a:bodyPr rot="0" vert="horz"/>
          <a:lstStyle/>
          <a:p>
            <a:pPr>
              <a:defRPr lang="es-ES" sz="599" b="0" i="0" u="none" strike="noStrike" baseline="0">
                <a:solidFill>
                  <a:srgbClr val="666699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213804160"/>
        <c:crosses val="max"/>
        <c:crossBetween val="between"/>
      </c:valAx>
      <c:spPr>
        <a:noFill/>
        <a:ln w="25369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5344505930449196"/>
          <c:y val="0.90951133202401702"/>
          <c:w val="0.38579602915077899"/>
          <c:h val="6.8920134983127129E-2"/>
        </c:manualLayout>
      </c:layout>
      <c:txPr>
        <a:bodyPr/>
        <a:lstStyle/>
        <a:p>
          <a:pPr>
            <a:defRPr lang="es-ES" sz="504" b="0" i="0" u="none" strike="noStrike" baseline="0">
              <a:solidFill>
                <a:srgbClr val="969696"/>
              </a:solidFill>
              <a:latin typeface="Arial"/>
              <a:ea typeface="Arial"/>
              <a:cs typeface="Arial"/>
            </a:defRPr>
          </a:pPr>
          <a:endParaRPr lang="es-PE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599" b="0" i="0" u="none" strike="noStrike" baseline="0">
          <a:solidFill>
            <a:srgbClr val="969696"/>
          </a:solidFill>
          <a:latin typeface="Arial"/>
          <a:ea typeface="Arial"/>
          <a:cs typeface="Arial"/>
        </a:defRPr>
      </a:pPr>
      <a:endParaRPr lang="es-PE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PE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 lang="es-ES" sz="598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r>
              <a:rPr lang="es-PE" sz="72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Otros Ingresos : 2018-2019 </a:t>
            </a:r>
          </a:p>
          <a:p>
            <a:pPr algn="l">
              <a:defRPr lang="es-ES" sz="598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r>
              <a:rPr lang="es-PE" sz="72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En millones de soles y Var. % real anual </a:t>
            </a:r>
          </a:p>
        </c:rich>
      </c:tx>
      <c:layout>
        <c:manualLayout>
          <c:xMode val="edge"/>
          <c:yMode val="edge"/>
          <c:x val="8.6515398564527723E-2"/>
          <c:y val="3.2548741398404593E-2"/>
        </c:manualLayout>
      </c:layout>
    </c:title>
    <c:plotArea>
      <c:layout>
        <c:manualLayout>
          <c:layoutTarget val="inner"/>
          <c:xMode val="edge"/>
          <c:yMode val="edge"/>
          <c:x val="8.7995214673045469E-2"/>
          <c:y val="0.25226226978926036"/>
          <c:w val="0.84638097416632929"/>
          <c:h val="0.56432108529729186"/>
        </c:manualLayout>
      </c:layout>
      <c:barChart>
        <c:barDir val="col"/>
        <c:grouping val="stacked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42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dPt>
            <c:idx val="12"/>
            <c:spPr>
              <a:solidFill>
                <a:sysClr val="window" lastClr="FFFFFF">
                  <a:lumMod val="85000"/>
                </a:sysClr>
              </a:solidFill>
              <a:ln w="6342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DEA-448C-B05E-00C09F275A3B}"/>
              </c:ext>
            </c:extLst>
          </c:dPt>
          <c:dPt>
            <c:idx val="13"/>
            <c:spPr>
              <a:solidFill>
                <a:srgbClr val="4F81BD">
                  <a:lumMod val="40000"/>
                  <a:lumOff val="60000"/>
                </a:srgbClr>
              </a:solidFill>
              <a:ln w="6342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DEA-448C-B05E-00C09F275A3B}"/>
              </c:ext>
            </c:extLst>
          </c:dPt>
          <c:dLbls>
            <c:dLbl>
              <c:idx val="0"/>
              <c:layout>
                <c:manualLayout>
                  <c:x val="3.225495126200672E-3"/>
                  <c:y val="-9.8228594838181083E-2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DEA-448C-B05E-00C09F275A3B}"/>
                </c:ext>
              </c:extLst>
            </c:dLbl>
            <c:dLbl>
              <c:idx val="1"/>
              <c:layout>
                <c:manualLayout>
                  <c:x val="0"/>
                  <c:y val="-0.11969146134488209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DEA-448C-B05E-00C09F275A3B}"/>
                </c:ext>
              </c:extLst>
            </c:dLbl>
            <c:dLbl>
              <c:idx val="2"/>
              <c:layout>
                <c:manualLayout>
                  <c:x val="0"/>
                  <c:y val="-0.13881711242465031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DEA-448C-B05E-00C09F275A3B}"/>
                </c:ext>
              </c:extLst>
            </c:dLbl>
            <c:dLbl>
              <c:idx val="3"/>
              <c:layout>
                <c:manualLayout>
                  <c:x val="-3.2254951262006425E-3"/>
                  <c:y val="-0.2820848598349624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DEA-448C-B05E-00C09F275A3B}"/>
                </c:ext>
              </c:extLst>
            </c:dLbl>
            <c:dLbl>
              <c:idx val="4"/>
              <c:layout>
                <c:manualLayout>
                  <c:x val="0"/>
                  <c:y val="-0.21279194709428229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DEA-448C-B05E-00C09F275A3B}"/>
                </c:ext>
              </c:extLst>
            </c:dLbl>
            <c:dLbl>
              <c:idx val="5"/>
              <c:layout>
                <c:manualLayout>
                  <c:x val="3.225495126200672E-3"/>
                  <c:y val="-0.22191139462749468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DEA-448C-B05E-00C09F275A3B}"/>
                </c:ext>
              </c:extLst>
            </c:dLbl>
            <c:dLbl>
              <c:idx val="6"/>
              <c:layout>
                <c:manualLayout>
                  <c:x val="0"/>
                  <c:y val="-0.22499303564113074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DEA-448C-B05E-00C09F275A3B}"/>
                </c:ext>
              </c:extLst>
            </c:dLbl>
            <c:dLbl>
              <c:idx val="7"/>
              <c:layout>
                <c:manualLayout>
                  <c:x val="-3.225495126200672E-3"/>
                  <c:y val="-0.2273016913442969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DEA-448C-B05E-00C09F275A3B}"/>
                </c:ext>
              </c:extLst>
            </c:dLbl>
            <c:dLbl>
              <c:idx val="8"/>
              <c:layout>
                <c:manualLayout>
                  <c:x val="3.225495126200672E-3"/>
                  <c:y val="-0.24389208169953769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DEA-448C-B05E-00C09F275A3B}"/>
                </c:ext>
              </c:extLst>
            </c:dLbl>
            <c:dLbl>
              <c:idx val="9"/>
              <c:layout>
                <c:manualLayout>
                  <c:x val="0"/>
                  <c:y val="-0.19950839819746019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DEA-448C-B05E-00C09F275A3B}"/>
                </c:ext>
              </c:extLst>
            </c:dLbl>
            <c:dLbl>
              <c:idx val="10"/>
              <c:layout>
                <c:manualLayout>
                  <c:x val="-3.225495126200672E-3"/>
                  <c:y val="-0.22555439808041208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DEA-448C-B05E-00C09F275A3B}"/>
                </c:ext>
              </c:extLst>
            </c:dLbl>
            <c:dLbl>
              <c:idx val="11"/>
              <c:layout>
                <c:manualLayout>
                  <c:x val="0"/>
                  <c:y val="-0.27406706853163221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DEA-448C-B05E-00C09F275A3B}"/>
                </c:ext>
              </c:extLst>
            </c:dLbl>
            <c:dLbl>
              <c:idx val="12"/>
              <c:layout>
                <c:manualLayout>
                  <c:x val="3.2274951430651612E-3"/>
                  <c:y val="-0.1072081310977965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lang="es-ES"/>
                  </a:pPr>
                  <a:endParaRPr lang="es-PE"/>
                </a:p>
              </c:txPr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6.3433792576799278E-2"/>
                      <c:h val="9.449895926256317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DEA-448C-B05E-00C09F275A3B}"/>
                </c:ext>
              </c:extLst>
            </c:dLbl>
            <c:dLbl>
              <c:idx val="13"/>
              <c:layout>
                <c:manualLayout>
                  <c:x val="0"/>
                  <c:y val="-0.1487207818809621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en-US">
                        <a:solidFill>
                          <a:schemeClr val="tx1"/>
                        </a:solidFill>
                      </a:rPr>
                      <a:t>559 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DEA-448C-B05E-00C09F275A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s-ES"/>
                </a:pPr>
                <a:endParaRPr lang="es-PE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Hoja1!$A$2:$A$15</c:f>
              <c:strCache>
                <c:ptCount val="14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</c:strCache>
            </c:strRef>
          </c:cat>
          <c:val>
            <c:numRef>
              <c:f>Hoja1!$B$2:$B$15</c:f>
              <c:numCache>
                <c:formatCode>_ * #,##0_ ;_ * \-#,##0_ ;_ * "-"??_ ;_ @_ </c:formatCode>
                <c:ptCount val="14"/>
                <c:pt idx="0">
                  <c:v>367.75083071737265</c:v>
                </c:pt>
                <c:pt idx="1">
                  <c:v>385.73592186986679</c:v>
                </c:pt>
                <c:pt idx="2">
                  <c:v>539.63652063503457</c:v>
                </c:pt>
                <c:pt idx="3">
                  <c:v>1309.496136063349</c:v>
                </c:pt>
                <c:pt idx="4">
                  <c:v>936.18002239648479</c:v>
                </c:pt>
                <c:pt idx="5">
                  <c:v>951.92562183869552</c:v>
                </c:pt>
                <c:pt idx="6">
                  <c:v>937.71097318185684</c:v>
                </c:pt>
                <c:pt idx="7">
                  <c:v>949.16972515958435</c:v>
                </c:pt>
                <c:pt idx="8">
                  <c:v>1001.983863769363</c:v>
                </c:pt>
                <c:pt idx="9">
                  <c:v>870.27094941598693</c:v>
                </c:pt>
                <c:pt idx="10">
                  <c:v>970.00138489451547</c:v>
                </c:pt>
                <c:pt idx="11">
                  <c:v>1181.2062988529942</c:v>
                </c:pt>
                <c:pt idx="12">
                  <c:v>412.28219118818834</c:v>
                </c:pt>
                <c:pt idx="13">
                  <c:v>559.27189485461952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0DEA-448C-B05E-00C09F275A3B}"/>
            </c:ext>
          </c:extLst>
        </c:ser>
        <c:dLbls/>
        <c:gapWidth val="105"/>
        <c:overlap val="100"/>
        <c:axId val="213988096"/>
        <c:axId val="213989632"/>
      </c:barChart>
      <c:lineChart>
        <c:grouping val="standard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27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6"/>
              <c:layout>
                <c:manualLayout>
                  <c:x val="-4.9438967028836447E-2"/>
                  <c:y val="9.2463276174869803E-3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DEA-448C-B05E-00C09F275A3B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tx1"/>
                        </a:solidFill>
                      </a:rPr>
                      <a:t>42.1</a:t>
                    </a:r>
                  </a:p>
                </c:rich>
              </c:tx>
              <c:dLblPos val="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0DEA-448C-B05E-00C09F275A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lang="es-ES">
                    <a:solidFill>
                      <a:schemeClr val="tx2"/>
                    </a:solidFill>
                  </a:defRPr>
                </a:pPr>
                <a:endParaRPr lang="es-PE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Hoja1!$A$2:$A$15</c:f>
              <c:strCache>
                <c:ptCount val="14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</c:strCache>
            </c:strRef>
          </c:cat>
          <c:val>
            <c:numRef>
              <c:f>Hoja1!$C$2:$C$15</c:f>
              <c:numCache>
                <c:formatCode>0.0</c:formatCode>
                <c:ptCount val="14"/>
                <c:pt idx="0">
                  <c:v>35.05780474664742</c:v>
                </c:pt>
                <c:pt idx="1">
                  <c:v>39.909765815815376</c:v>
                </c:pt>
                <c:pt idx="2">
                  <c:v>45.05606379060724</c:v>
                </c:pt>
                <c:pt idx="3">
                  <c:v>20.438521425898884</c:v>
                </c:pt>
                <c:pt idx="4">
                  <c:v>16.07285242985273</c:v>
                </c:pt>
                <c:pt idx="5">
                  <c:v>16.102162030673245</c:v>
                </c:pt>
                <c:pt idx="6">
                  <c:v>24.88705232736794</c:v>
                </c:pt>
                <c:pt idx="7">
                  <c:v>19.088583173597311</c:v>
                </c:pt>
                <c:pt idx="8">
                  <c:v>23.160967266708603</c:v>
                </c:pt>
                <c:pt idx="9">
                  <c:v>8.0423155473744679</c:v>
                </c:pt>
                <c:pt idx="10">
                  <c:v>16.778761857781017</c:v>
                </c:pt>
                <c:pt idx="11">
                  <c:v>10.847654498643601</c:v>
                </c:pt>
                <c:pt idx="12">
                  <c:v>9.7718952109620894</c:v>
                </c:pt>
                <c:pt idx="13">
                  <c:v>42.140659798683657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3-0DEA-448C-B05E-00C09F275A3B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ceros</c:v>
                </c:pt>
              </c:strCache>
            </c:strRef>
          </c:tx>
          <c:spPr>
            <a:ln w="12700">
              <a:solidFill>
                <a:srgbClr val="0070C0"/>
              </a:solidFill>
              <a:prstDash val="dash"/>
            </a:ln>
          </c:spPr>
          <c:marker>
            <c:symbol val="none"/>
          </c:marker>
          <c:val>
            <c:numRef>
              <c:f>Hoja1!$D$2:$D$15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465-42BC-A4EF-FCD17CA31A36}"/>
            </c:ext>
          </c:extLst>
        </c:ser>
        <c:dLbls/>
        <c:marker val="1"/>
        <c:axId val="214003712"/>
        <c:axId val="214005248"/>
      </c:lineChart>
      <c:catAx>
        <c:axId val="213988096"/>
        <c:scaling>
          <c:orientation val="minMax"/>
        </c:scaling>
        <c:axPos val="b"/>
        <c:numFmt formatCode="mmm\-\y\y" sourceLinked="0"/>
        <c:majorTickMark val="none"/>
        <c:tickLblPos val="nextTo"/>
        <c:txPr>
          <a:bodyPr rot="0" vert="horz"/>
          <a:lstStyle/>
          <a:p>
            <a:pPr>
              <a:defRPr lang="es-ES" sz="599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213989632"/>
        <c:crosses val="autoZero"/>
        <c:auto val="1"/>
        <c:lblAlgn val="ctr"/>
        <c:lblOffset val="100"/>
        <c:noMultiLvlLbl val="1"/>
      </c:catAx>
      <c:valAx>
        <c:axId val="213989632"/>
        <c:scaling>
          <c:orientation val="minMax"/>
          <c:min val="0"/>
        </c:scaling>
        <c:axPos val="l"/>
        <c:numFmt formatCode="#,##0" sourceLinked="0"/>
        <c:majorTickMark val="none"/>
        <c:tickLblPos val="nextTo"/>
        <c:spPr>
          <a:ln w="8567">
            <a:solidFill>
              <a:schemeClr val="tx1">
                <a:alpha val="66000"/>
              </a:schemeClr>
            </a:solidFill>
          </a:ln>
        </c:spPr>
        <c:txPr>
          <a:bodyPr rot="0" vert="horz"/>
          <a:lstStyle/>
          <a:p>
            <a:pPr>
              <a:defRPr lang="es-ES" sz="599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213988096"/>
        <c:crosses val="autoZero"/>
        <c:crossBetween val="between"/>
      </c:valAx>
      <c:catAx>
        <c:axId val="214003712"/>
        <c:scaling>
          <c:orientation val="minMax"/>
        </c:scaling>
        <c:delete val="1"/>
        <c:axPos val="b"/>
        <c:numFmt formatCode="General" sourceLinked="1"/>
        <c:tickLblPos val="nextTo"/>
        <c:crossAx val="214005248"/>
        <c:crosses val="autoZero"/>
        <c:auto val="1"/>
        <c:lblAlgn val="ctr"/>
        <c:lblOffset val="100"/>
        <c:noMultiLvlLbl val="1"/>
      </c:catAx>
      <c:valAx>
        <c:axId val="214005248"/>
        <c:scaling>
          <c:orientation val="minMax"/>
          <c:min val="-10"/>
        </c:scaling>
        <c:axPos val="r"/>
        <c:numFmt formatCode="0" sourceLinked="0"/>
        <c:tickLblPos val="nextTo"/>
        <c:txPr>
          <a:bodyPr rot="0" vert="horz"/>
          <a:lstStyle/>
          <a:p>
            <a:pPr>
              <a:defRPr lang="es-ES" sz="599" b="0" i="0" u="none" strike="noStrike" baseline="0">
                <a:solidFill>
                  <a:srgbClr val="666699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214003712"/>
        <c:crosses val="max"/>
        <c:crossBetween val="between"/>
      </c:valAx>
      <c:spPr>
        <a:noFill/>
        <a:ln w="25369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5344505930449196"/>
          <c:y val="0.90951133202401702"/>
          <c:w val="0.39833738613555664"/>
          <c:h val="6.8920134983127129E-2"/>
        </c:manualLayout>
      </c:layout>
      <c:txPr>
        <a:bodyPr/>
        <a:lstStyle/>
        <a:p>
          <a:pPr>
            <a:defRPr lang="es-ES" sz="504" b="0" i="0" u="none" strike="noStrike" baseline="0">
              <a:solidFill>
                <a:srgbClr val="969696"/>
              </a:solidFill>
              <a:latin typeface="Arial"/>
              <a:ea typeface="Arial"/>
              <a:cs typeface="Arial"/>
            </a:defRPr>
          </a:pPr>
          <a:endParaRPr lang="es-PE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599" b="0" i="0" u="none" strike="noStrike" baseline="0">
          <a:solidFill>
            <a:srgbClr val="969696"/>
          </a:solidFill>
          <a:latin typeface="Arial"/>
          <a:ea typeface="Arial"/>
          <a:cs typeface="Arial"/>
        </a:defRPr>
      </a:pPr>
      <a:endParaRPr lang="es-PE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PE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 lang="es-ES" sz="600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r>
              <a:rPr lang="es-PE" sz="72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Devoluciones: 2018-2019 </a:t>
            </a:r>
          </a:p>
          <a:p>
            <a:pPr algn="l">
              <a:defRPr lang="es-ES" sz="600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r>
              <a:rPr lang="es-PE" sz="72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En millones de soles y Var. % real anual </a:t>
            </a:r>
          </a:p>
        </c:rich>
      </c:tx>
      <c:layout>
        <c:manualLayout>
          <c:xMode val="edge"/>
          <c:yMode val="edge"/>
          <c:x val="7.5452520626156802E-2"/>
          <c:y val="4.6013804596195543E-2"/>
        </c:manualLayout>
      </c:layout>
    </c:title>
    <c:plotArea>
      <c:layout>
        <c:manualLayout>
          <c:layoutTarget val="inner"/>
          <c:xMode val="edge"/>
          <c:yMode val="edge"/>
          <c:x val="8.2681118534304612E-2"/>
          <c:y val="0.17550281993297553"/>
          <c:w val="0.8400351581612836"/>
          <c:h val="0.64108002070675418"/>
        </c:manualLayout>
      </c:layout>
      <c:barChart>
        <c:barDir val="col"/>
        <c:grouping val="stacked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48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dPt>
            <c:idx val="12"/>
            <c:spPr>
              <a:solidFill>
                <a:sysClr val="window" lastClr="FFFFFF">
                  <a:lumMod val="85000"/>
                </a:sysClr>
              </a:solidFill>
              <a:ln w="6348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6A2-4119-9715-93026543CEDE}"/>
              </c:ext>
            </c:extLst>
          </c:dPt>
          <c:dPt>
            <c:idx val="13"/>
            <c:spPr>
              <a:solidFill>
                <a:srgbClr val="4F81BD">
                  <a:lumMod val="40000"/>
                  <a:lumOff val="60000"/>
                </a:srgbClr>
              </a:solidFill>
              <a:ln w="6348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6A2-4119-9715-93026543CEDE}"/>
              </c:ext>
            </c:extLst>
          </c:dPt>
          <c:dLbls>
            <c:dLbl>
              <c:idx val="0"/>
              <c:layout>
                <c:manualLayout>
                  <c:x val="0"/>
                  <c:y val="-0.25722693396606328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6A2-4119-9715-93026543CEDE}"/>
                </c:ext>
              </c:extLst>
            </c:dLbl>
            <c:dLbl>
              <c:idx val="1"/>
              <c:layout>
                <c:manualLayout>
                  <c:x val="0"/>
                  <c:y val="-0.31531292656081278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6A2-4119-9715-93026543CEDE}"/>
                </c:ext>
              </c:extLst>
            </c:dLbl>
            <c:dLbl>
              <c:idx val="2"/>
              <c:layout>
                <c:manualLayout>
                  <c:x val="0"/>
                  <c:y val="-0.23992970587567194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6A2-4119-9715-93026543CEDE}"/>
                </c:ext>
              </c:extLst>
            </c:dLbl>
            <c:dLbl>
              <c:idx val="3"/>
              <c:layout>
                <c:manualLayout>
                  <c:x val="0"/>
                  <c:y val="-0.27438043493973191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6A2-4119-9715-93026543CEDE}"/>
                </c:ext>
              </c:extLst>
            </c:dLbl>
            <c:dLbl>
              <c:idx val="4"/>
              <c:layout>
                <c:manualLayout>
                  <c:x val="-5.8722362420079554E-17"/>
                  <c:y val="-0.24295004037162554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6A2-4119-9715-93026543CEDE}"/>
                </c:ext>
              </c:extLst>
            </c:dLbl>
            <c:dLbl>
              <c:idx val="5"/>
              <c:layout>
                <c:manualLayout>
                  <c:x val="0"/>
                  <c:y val="-0.26154742065581693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6A2-4119-9715-93026543CEDE}"/>
                </c:ext>
              </c:extLst>
            </c:dLbl>
            <c:dLbl>
              <c:idx val="6"/>
              <c:layout>
                <c:manualLayout>
                  <c:x val="5.8722362420079554E-17"/>
                  <c:y val="-0.31098046261133189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6A2-4119-9715-93026543CEDE}"/>
                </c:ext>
              </c:extLst>
            </c:dLbl>
            <c:dLbl>
              <c:idx val="7"/>
              <c:layout>
                <c:manualLayout>
                  <c:x val="-3.2030749519538783E-3"/>
                  <c:y val="-0.25456385221713529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6A2-4119-9715-93026543CEDE}"/>
                </c:ext>
              </c:extLst>
            </c:dLbl>
            <c:dLbl>
              <c:idx val="8"/>
              <c:layout>
                <c:manualLayout>
                  <c:x val="0"/>
                  <c:y val="-0.26304912122019369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6A2-4119-9715-93026543CEDE}"/>
                </c:ext>
              </c:extLst>
            </c:dLbl>
            <c:dLbl>
              <c:idx val="9"/>
              <c:layout>
                <c:manualLayout>
                  <c:x val="0"/>
                  <c:y val="-0.26958292290568342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6A2-4119-9715-93026543CEDE}"/>
                </c:ext>
              </c:extLst>
            </c:dLbl>
            <c:dLbl>
              <c:idx val="10"/>
              <c:layout>
                <c:manualLayout>
                  <c:x val="0"/>
                  <c:y val="-0.26053885278502265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6A2-4119-9715-93026543CEDE}"/>
                </c:ext>
              </c:extLst>
            </c:dLbl>
            <c:dLbl>
              <c:idx val="11"/>
              <c:layout>
                <c:manualLayout>
                  <c:x val="-1.1744472484015921E-16"/>
                  <c:y val="-0.3682548926073464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6A2-4119-9715-93026543CEDE}"/>
                </c:ext>
              </c:extLst>
            </c:dLbl>
            <c:dLbl>
              <c:idx val="12"/>
              <c:layout>
                <c:manualLayout>
                  <c:x val="-3.203074951953998E-3"/>
                  <c:y val="-0.26907739994341795"/>
                </c:manualLayout>
              </c:layout>
              <c:tx>
                <c:rich>
                  <a:bodyPr/>
                  <a:lstStyle/>
                  <a:p>
                    <a:pPr algn="ctr" rtl="0">
                      <a:defRPr lang="es-PE" sz="600" b="0" i="0" u="none" strike="noStrike" kern="1200" baseline="0">
                        <a:solidFill>
                          <a:srgbClr val="969696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600" b="0" i="0" u="none" strike="noStrike" kern="1200" baseline="0">
                        <a:solidFill>
                          <a:srgbClr val="969696"/>
                        </a:solidFill>
                        <a:latin typeface="Arial"/>
                        <a:ea typeface="Arial"/>
                        <a:cs typeface="Arial"/>
                      </a:rPr>
                      <a:t>1 359</a:t>
                    </a:r>
                  </a:p>
                </c:rich>
              </c:tx>
              <c:spPr>
                <a:noFill/>
                <a:ln w="25394">
                  <a:noFill/>
                </a:ln>
              </c:spPr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A2-4119-9715-93026543CEDE}"/>
                </c:ext>
              </c:extLst>
            </c:dLbl>
            <c:dLbl>
              <c:idx val="13"/>
              <c:layout>
                <c:manualLayout>
                  <c:x val="0"/>
                  <c:y val="-0.2617256291024466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en-US">
                        <a:solidFill>
                          <a:schemeClr val="tx1"/>
                        </a:solidFill>
                      </a:rPr>
                      <a:t>1,403 </a:t>
                    </a:r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6A2-4119-9715-93026543CEDE}"/>
                </c:ext>
              </c:extLst>
            </c:dLbl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lang="es-ES" sz="600" b="0" i="0" u="none" strike="noStrike" baseline="0">
                    <a:solidFill>
                      <a:srgbClr val="969696"/>
                    </a:solidFill>
                    <a:latin typeface="Arial"/>
                    <a:ea typeface="Arial"/>
                    <a:cs typeface="Arial"/>
                  </a:defRPr>
                </a:pPr>
                <a:endParaRPr lang="es-PE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Hoja1!$A$2:$A$15</c:f>
              <c:strCache>
                <c:ptCount val="14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</c:strCache>
            </c:strRef>
          </c:cat>
          <c:val>
            <c:numRef>
              <c:f>Hoja1!$B$2:$B$15</c:f>
              <c:numCache>
                <c:formatCode>_ * #,##0_ ;_ * \-#,##0_ ;_ * "-"??_ ;_ @_ </c:formatCode>
                <c:ptCount val="14"/>
                <c:pt idx="0">
                  <c:v>1354.5543169499999</c:v>
                </c:pt>
                <c:pt idx="1">
                  <c:v>1621.8279516</c:v>
                </c:pt>
                <c:pt idx="2">
                  <c:v>1227.9668620100001</c:v>
                </c:pt>
                <c:pt idx="3">
                  <c:v>1391.97167451</c:v>
                </c:pt>
                <c:pt idx="4">
                  <c:v>1215.47360024</c:v>
                </c:pt>
                <c:pt idx="5">
                  <c:v>1319.9083924500001</c:v>
                </c:pt>
                <c:pt idx="6">
                  <c:v>1626.9544867299999</c:v>
                </c:pt>
                <c:pt idx="7">
                  <c:v>1310.1462064700002</c:v>
                </c:pt>
                <c:pt idx="8">
                  <c:v>1357.7938863600002</c:v>
                </c:pt>
                <c:pt idx="9">
                  <c:v>1365.0309548100004</c:v>
                </c:pt>
                <c:pt idx="10">
                  <c:v>1314.24309279</c:v>
                </c:pt>
                <c:pt idx="11">
                  <c:v>1477.3076802700002</c:v>
                </c:pt>
                <c:pt idx="12">
                  <c:v>1358.7329106499999</c:v>
                </c:pt>
                <c:pt idx="13">
                  <c:v>1403.1535919200001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C6A2-4119-9715-93026543CEDE}"/>
            </c:ext>
          </c:extLst>
        </c:ser>
        <c:dLbls/>
        <c:gapWidth val="105"/>
        <c:overlap val="100"/>
        <c:axId val="214148224"/>
        <c:axId val="214149760"/>
      </c:barChart>
      <c:lineChart>
        <c:grouping val="standard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45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lang="es-ES" sz="600" b="0" i="0" u="none" strike="noStrike" baseline="0">
                      <a:solidFill>
                        <a:srgbClr val="666699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lang="es-ES" sz="600" b="0" i="0" u="none" strike="noStrike" baseline="0">
                      <a:solidFill>
                        <a:srgbClr val="666699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lang="es-ES" sz="600" b="0" i="0" u="none" strike="noStrike" baseline="0">
                      <a:solidFill>
                        <a:srgbClr val="666699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</c:dLbl>
            <c:dLbl>
              <c:idx val="11"/>
              <c:layout>
                <c:manualLayout>
                  <c:x val="-8.1150030013064506E-2"/>
                  <c:y val="-2.3471298975118785E-3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C6A2-4119-9715-93026543CEDE}"/>
                </c:ext>
              </c:extLst>
            </c:dLbl>
            <c:dLbl>
              <c:idx val="12"/>
              <c:layout>
                <c:manualLayout>
                  <c:x val="-4.377821606379919E-2"/>
                  <c:y val="2.9123946052770158E-2"/>
                </c:manualLayout>
              </c:layout>
              <c:tx>
                <c:rich>
                  <a:bodyPr/>
                  <a:lstStyle/>
                  <a:p>
                    <a:pPr>
                      <a:defRPr lang="es-ES" sz="600" b="1" i="0" u="none" strike="noStrike" baseline="0">
                        <a:solidFill>
                          <a:srgbClr val="333399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-1.8</a:t>
                    </a:r>
                  </a:p>
                </c:rich>
              </c:tx>
              <c:spPr>
                <a:noFill/>
                <a:ln w="25394">
                  <a:noFill/>
                </a:ln>
              </c:spPr>
              <c:dLblPos val="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C6A2-4119-9715-93026543CEDE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tx1"/>
                        </a:solidFill>
                      </a:rPr>
                      <a:t>-15.2</a:t>
                    </a:r>
                  </a:p>
                </c:rich>
              </c:tx>
              <c:dLblPos val="t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C6A2-4119-9715-93026543CEDE}"/>
                </c:ext>
              </c:extLst>
            </c:dLbl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lang="es-ES" sz="600" b="0" i="0" u="none" strike="noStrike" baseline="0">
                    <a:solidFill>
                      <a:srgbClr val="666699"/>
                    </a:solidFill>
                    <a:latin typeface="Arial"/>
                    <a:ea typeface="Arial"/>
                    <a:cs typeface="Arial"/>
                  </a:defRPr>
                </a:pPr>
                <a:endParaRPr lang="es-PE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Hoja1!$A$2:$A$15</c:f>
              <c:strCache>
                <c:ptCount val="14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</c:strCache>
            </c:strRef>
          </c:cat>
          <c:val>
            <c:numRef>
              <c:f>Hoja1!$C$2:$C$15</c:f>
              <c:numCache>
                <c:formatCode>0.0</c:formatCode>
                <c:ptCount val="14"/>
                <c:pt idx="0">
                  <c:v>-30.440020904441326</c:v>
                </c:pt>
                <c:pt idx="1">
                  <c:v>4.2987628166648371</c:v>
                </c:pt>
                <c:pt idx="2">
                  <c:v>-18.667332100447219</c:v>
                </c:pt>
                <c:pt idx="3">
                  <c:v>-8.2744953101218002</c:v>
                </c:pt>
                <c:pt idx="4">
                  <c:v>-20.710745631087875</c:v>
                </c:pt>
                <c:pt idx="5">
                  <c:v>-14.033945034045702</c:v>
                </c:pt>
                <c:pt idx="6">
                  <c:v>-8.727715474947928</c:v>
                </c:pt>
                <c:pt idx="7">
                  <c:v>0.77307147063263593</c:v>
                </c:pt>
                <c:pt idx="8">
                  <c:v>4.8833341440217337</c:v>
                </c:pt>
                <c:pt idx="9">
                  <c:v>3.6594924100130872</c:v>
                </c:pt>
                <c:pt idx="10">
                  <c:v>-1.3626959223500659</c:v>
                </c:pt>
                <c:pt idx="11">
                  <c:v>83.976987531509138</c:v>
                </c:pt>
                <c:pt idx="12">
                  <c:v>-1.7827162427848651</c:v>
                </c:pt>
                <c:pt idx="13">
                  <c:v>-15.182425724440563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7-C6A2-4119-9715-93026543CEDE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rgbClr val="4F81BD"/>
              </a:solidFill>
              <a:prstDash val="dash"/>
            </a:ln>
          </c:spPr>
          <c:marker>
            <c:symbol val="none"/>
          </c:marker>
          <c:cat>
            <c:strRef>
              <c:f>Hoja1!$A$2:$A$15</c:f>
              <c:strCache>
                <c:ptCount val="14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</c:strCache>
            </c:strRef>
          </c:cat>
          <c:val>
            <c:numRef>
              <c:f>Hoja1!$D$2:$D$15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F12-48D2-8474-530F2F1172B9}"/>
            </c:ext>
          </c:extLst>
        </c:ser>
        <c:dLbls/>
        <c:marker val="1"/>
        <c:axId val="214155648"/>
        <c:axId val="214157184"/>
      </c:lineChart>
      <c:catAx>
        <c:axId val="214148224"/>
        <c:scaling>
          <c:orientation val="minMax"/>
        </c:scaling>
        <c:axPos val="b"/>
        <c:numFmt formatCode="mmm\-\y\y" sourceLinked="0"/>
        <c:majorTickMark val="none"/>
        <c:tickLblPos val="nextTo"/>
        <c:txPr>
          <a:bodyPr rot="0" vert="horz"/>
          <a:lstStyle/>
          <a:p>
            <a:pPr>
              <a:defRPr lang="es-ES" sz="600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214149760"/>
        <c:crosses val="autoZero"/>
        <c:auto val="1"/>
        <c:lblAlgn val="ctr"/>
        <c:lblOffset val="100"/>
        <c:noMultiLvlLbl val="1"/>
      </c:catAx>
      <c:valAx>
        <c:axId val="214149760"/>
        <c:scaling>
          <c:orientation val="minMax"/>
          <c:min val="0"/>
        </c:scaling>
        <c:axPos val="l"/>
        <c:numFmt formatCode="#,##0" sourceLinked="0"/>
        <c:majorTickMark val="none"/>
        <c:tickLblPos val="nextTo"/>
        <c:spPr>
          <a:ln w="8576">
            <a:solidFill>
              <a:schemeClr val="tx1">
                <a:alpha val="66000"/>
              </a:schemeClr>
            </a:solidFill>
          </a:ln>
        </c:spPr>
        <c:txPr>
          <a:bodyPr rot="0" vert="horz"/>
          <a:lstStyle/>
          <a:p>
            <a:pPr>
              <a:defRPr lang="es-ES" sz="600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214148224"/>
        <c:crosses val="autoZero"/>
        <c:crossBetween val="between"/>
      </c:valAx>
      <c:catAx>
        <c:axId val="214155648"/>
        <c:scaling>
          <c:orientation val="minMax"/>
        </c:scaling>
        <c:delete val="1"/>
        <c:axPos val="b"/>
        <c:numFmt formatCode="General" sourceLinked="1"/>
        <c:tickLblPos val="nextTo"/>
        <c:crossAx val="214157184"/>
        <c:crosses val="autoZero"/>
        <c:auto val="1"/>
        <c:lblAlgn val="ctr"/>
        <c:lblOffset val="100"/>
        <c:noMultiLvlLbl val="1"/>
      </c:catAx>
      <c:valAx>
        <c:axId val="214157184"/>
        <c:scaling>
          <c:orientation val="minMax"/>
        </c:scaling>
        <c:axPos val="r"/>
        <c:numFmt formatCode="0" sourceLinked="0"/>
        <c:tickLblPos val="nextTo"/>
        <c:txPr>
          <a:bodyPr rot="0" vert="horz"/>
          <a:lstStyle/>
          <a:p>
            <a:pPr>
              <a:defRPr lang="es-ES" sz="600" b="0" i="0" u="none" strike="noStrike" baseline="0">
                <a:solidFill>
                  <a:srgbClr val="666699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214155648"/>
        <c:crosses val="max"/>
        <c:crossBetween val="between"/>
      </c:valAx>
      <c:spPr>
        <a:noFill/>
        <a:ln w="2539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0933362612541959"/>
          <c:y val="0.90295940124292307"/>
          <c:w val="0.43310588634285896"/>
          <c:h val="6.6774229481261799E-2"/>
        </c:manualLayout>
      </c:layout>
      <c:txPr>
        <a:bodyPr/>
        <a:lstStyle/>
        <a:p>
          <a:pPr>
            <a:defRPr lang="es-ES" sz="550" b="0" i="0" u="none" strike="noStrike" baseline="0">
              <a:solidFill>
                <a:srgbClr val="969696"/>
              </a:solidFill>
              <a:latin typeface="Arial"/>
              <a:ea typeface="Arial"/>
              <a:cs typeface="Arial"/>
            </a:defRPr>
          </a:pPr>
          <a:endParaRPr lang="es-PE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600" b="0" i="0" u="none" strike="noStrike" baseline="0">
          <a:solidFill>
            <a:srgbClr val="969696"/>
          </a:solidFill>
          <a:latin typeface="Arial"/>
          <a:ea typeface="Arial"/>
          <a:cs typeface="Arial"/>
        </a:defRPr>
      </a:pPr>
      <a:endParaRPr lang="es-PE"/>
    </a:p>
  </c:txPr>
  <c:externalData r:id="rId2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1D369-0F75-45A9-8926-FB498E33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Torres Ocampo Reynaldo Jose Carlos</dc:creator>
  <cp:lastModifiedBy>prueba</cp:lastModifiedBy>
  <cp:revision>2</cp:revision>
  <cp:lastPrinted>2019-03-07T22:27:00Z</cp:lastPrinted>
  <dcterms:created xsi:type="dcterms:W3CDTF">2019-03-15T21:27:00Z</dcterms:created>
  <dcterms:modified xsi:type="dcterms:W3CDTF">2019-03-15T21:27:00Z</dcterms:modified>
</cp:coreProperties>
</file>