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CC339F" w14:textId="1200A227" w:rsidR="00252785" w:rsidRPr="00252785" w:rsidRDefault="00252785" w:rsidP="00252785">
      <w:pPr>
        <w:spacing w:after="120" w:line="240" w:lineRule="auto"/>
        <w:jc w:val="right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Nota de Prensa N° 041</w:t>
      </w:r>
      <w:bookmarkStart w:id="0" w:name="_GoBack"/>
      <w:bookmarkEnd w:id="0"/>
      <w:r>
        <w:rPr>
          <w:rFonts w:ascii="Arial" w:hAnsi="Arial" w:cs="Arial"/>
          <w:b/>
          <w:i/>
          <w:sz w:val="22"/>
          <w:szCs w:val="22"/>
        </w:rPr>
        <w:t>-2019</w:t>
      </w:r>
    </w:p>
    <w:p w14:paraId="59F50C3A" w14:textId="4171B226" w:rsidR="00681FE9" w:rsidRPr="00252785" w:rsidRDefault="00252785" w:rsidP="00252785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252785">
        <w:rPr>
          <w:rFonts w:ascii="Arial" w:hAnsi="Arial" w:cs="Arial"/>
          <w:b/>
          <w:sz w:val="36"/>
          <w:szCs w:val="36"/>
        </w:rPr>
        <w:t xml:space="preserve">CAMPAÑA DE REGULARIZACIÓN DEL IMPUESTO A LA RENTA (IR) 2018 RECAUDÓ CERCA </w:t>
      </w:r>
    </w:p>
    <w:p w14:paraId="28E2FF7D" w14:textId="4B1D6327" w:rsidR="00F56301" w:rsidRPr="00252785" w:rsidRDefault="00252785" w:rsidP="00252785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252785">
        <w:rPr>
          <w:rFonts w:ascii="Arial" w:hAnsi="Arial" w:cs="Arial"/>
          <w:b/>
          <w:sz w:val="36"/>
          <w:szCs w:val="36"/>
        </w:rPr>
        <w:t>DE S/ 5,000 MILLONES ENTRE ENERO Y ABRIL</w:t>
      </w:r>
    </w:p>
    <w:p w14:paraId="27701FE6" w14:textId="77777777" w:rsidR="00F56301" w:rsidRPr="00252785" w:rsidRDefault="00F56301" w:rsidP="00252785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14:paraId="13848AF5" w14:textId="77777777" w:rsidR="00681FE9" w:rsidRPr="00252785" w:rsidRDefault="00681FE9" w:rsidP="00252785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252785">
        <w:rPr>
          <w:rFonts w:ascii="Arial" w:hAnsi="Arial" w:cs="Arial"/>
          <w:b/>
          <w:i/>
          <w:sz w:val="22"/>
          <w:szCs w:val="22"/>
        </w:rPr>
        <w:t>El segundo nivel histórico más alto en los últimos 25 años.</w:t>
      </w:r>
    </w:p>
    <w:p w14:paraId="5ED388A8" w14:textId="77777777" w:rsidR="00681FE9" w:rsidRPr="00252785" w:rsidRDefault="00681FE9" w:rsidP="00252785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14:paraId="742E82F3" w14:textId="2A6B9C87" w:rsidR="00F56301" w:rsidRDefault="00F56301" w:rsidP="00252785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252785">
        <w:rPr>
          <w:rFonts w:ascii="Arial" w:hAnsi="Arial" w:cs="Arial"/>
          <w:sz w:val="22"/>
          <w:szCs w:val="22"/>
        </w:rPr>
        <w:t xml:space="preserve">El Ministerio de Economía y Finanzas (MEF) y la Superintendencia Nacional de Aduanas y de Administración Tributaria (SUNAT) informaron </w:t>
      </w:r>
      <w:r w:rsidR="002B37CF" w:rsidRPr="00252785">
        <w:rPr>
          <w:rFonts w:ascii="Arial" w:hAnsi="Arial" w:cs="Arial"/>
          <w:sz w:val="22"/>
          <w:szCs w:val="22"/>
        </w:rPr>
        <w:t xml:space="preserve">hoy </w:t>
      </w:r>
      <w:r w:rsidR="00252785" w:rsidRPr="00252785">
        <w:rPr>
          <w:rFonts w:ascii="Arial" w:hAnsi="Arial" w:cs="Arial"/>
          <w:sz w:val="22"/>
          <w:szCs w:val="22"/>
        </w:rPr>
        <w:t>que,</w:t>
      </w:r>
      <w:r w:rsidRPr="00252785">
        <w:rPr>
          <w:rFonts w:ascii="Arial" w:hAnsi="Arial" w:cs="Arial"/>
          <w:sz w:val="22"/>
          <w:szCs w:val="22"/>
        </w:rPr>
        <w:t xml:space="preserve"> entre enero y abril del presente año, la Campaña de Regularización del Impuesto a la Renta recaudó S/ 4,93</w:t>
      </w:r>
      <w:r w:rsidR="00A17302" w:rsidRPr="00252785">
        <w:rPr>
          <w:rFonts w:ascii="Arial" w:hAnsi="Arial" w:cs="Arial"/>
          <w:sz w:val="22"/>
          <w:szCs w:val="22"/>
        </w:rPr>
        <w:t>7</w:t>
      </w:r>
      <w:r w:rsidRPr="00252785">
        <w:rPr>
          <w:rFonts w:ascii="Arial" w:hAnsi="Arial" w:cs="Arial"/>
          <w:sz w:val="22"/>
          <w:szCs w:val="22"/>
        </w:rPr>
        <w:t xml:space="preserve"> millones, lo que representa el segundo nivel más alto </w:t>
      </w:r>
      <w:r w:rsidR="002B37CF" w:rsidRPr="00252785">
        <w:rPr>
          <w:rFonts w:ascii="Arial" w:hAnsi="Arial" w:cs="Arial"/>
          <w:sz w:val="22"/>
          <w:szCs w:val="22"/>
        </w:rPr>
        <w:t xml:space="preserve">registrado en </w:t>
      </w:r>
      <w:r w:rsidRPr="00252785">
        <w:rPr>
          <w:rFonts w:ascii="Arial" w:hAnsi="Arial" w:cs="Arial"/>
          <w:sz w:val="22"/>
          <w:szCs w:val="22"/>
        </w:rPr>
        <w:t xml:space="preserve">los últimos 25 años, superado </w:t>
      </w:r>
      <w:r w:rsidR="002B37CF" w:rsidRPr="00252785">
        <w:rPr>
          <w:rFonts w:ascii="Arial" w:hAnsi="Arial" w:cs="Arial"/>
          <w:sz w:val="22"/>
          <w:szCs w:val="22"/>
        </w:rPr>
        <w:t xml:space="preserve">solo </w:t>
      </w:r>
      <w:r w:rsidRPr="00252785">
        <w:rPr>
          <w:rFonts w:ascii="Arial" w:hAnsi="Arial" w:cs="Arial"/>
          <w:sz w:val="22"/>
          <w:szCs w:val="22"/>
        </w:rPr>
        <w:t>por el resultado histórico de</w:t>
      </w:r>
      <w:r w:rsidR="002B37CF" w:rsidRPr="00252785">
        <w:rPr>
          <w:rFonts w:ascii="Arial" w:hAnsi="Arial" w:cs="Arial"/>
          <w:sz w:val="22"/>
          <w:szCs w:val="22"/>
        </w:rPr>
        <w:t xml:space="preserve"> </w:t>
      </w:r>
      <w:r w:rsidRPr="00252785">
        <w:rPr>
          <w:rFonts w:ascii="Arial" w:hAnsi="Arial" w:cs="Arial"/>
          <w:sz w:val="22"/>
          <w:szCs w:val="22"/>
        </w:rPr>
        <w:t>l</w:t>
      </w:r>
      <w:r w:rsidR="002B37CF" w:rsidRPr="00252785">
        <w:rPr>
          <w:rFonts w:ascii="Arial" w:hAnsi="Arial" w:cs="Arial"/>
          <w:sz w:val="22"/>
          <w:szCs w:val="22"/>
        </w:rPr>
        <w:t>a recaudación obtenida el</w:t>
      </w:r>
      <w:r w:rsidRPr="00252785">
        <w:rPr>
          <w:rFonts w:ascii="Arial" w:hAnsi="Arial" w:cs="Arial"/>
          <w:sz w:val="22"/>
          <w:szCs w:val="22"/>
        </w:rPr>
        <w:t xml:space="preserve"> año pasado.</w:t>
      </w:r>
    </w:p>
    <w:p w14:paraId="44BC53BF" w14:textId="77777777" w:rsidR="00252785" w:rsidRPr="00252785" w:rsidRDefault="00252785" w:rsidP="00252785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14:paraId="37629006" w14:textId="07E5A7F2" w:rsidR="00133329" w:rsidRDefault="00A15935" w:rsidP="00252785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252785">
        <w:rPr>
          <w:rFonts w:ascii="Arial" w:hAnsi="Arial" w:cs="Arial"/>
          <w:sz w:val="22"/>
          <w:szCs w:val="22"/>
        </w:rPr>
        <w:t>El ministro de Economía y Finanzas, Carlos Oliva, señaló que e</w:t>
      </w:r>
      <w:r w:rsidR="00133329" w:rsidRPr="00252785">
        <w:rPr>
          <w:rFonts w:ascii="Arial" w:hAnsi="Arial" w:cs="Arial"/>
          <w:sz w:val="22"/>
          <w:szCs w:val="22"/>
        </w:rPr>
        <w:t xml:space="preserve">l </w:t>
      </w:r>
      <w:r w:rsidRPr="00252785">
        <w:rPr>
          <w:rFonts w:ascii="Arial" w:hAnsi="Arial" w:cs="Arial"/>
          <w:sz w:val="22"/>
          <w:szCs w:val="22"/>
        </w:rPr>
        <w:t xml:space="preserve">resultado </w:t>
      </w:r>
      <w:r w:rsidR="00133329" w:rsidRPr="00252785">
        <w:rPr>
          <w:rFonts w:ascii="Arial" w:hAnsi="Arial" w:cs="Arial"/>
          <w:sz w:val="22"/>
          <w:szCs w:val="22"/>
        </w:rPr>
        <w:t xml:space="preserve">de la campaña de regularización 2018 es </w:t>
      </w:r>
      <w:r w:rsidR="006F54E3" w:rsidRPr="00252785">
        <w:rPr>
          <w:rFonts w:ascii="Arial" w:hAnsi="Arial" w:cs="Arial"/>
          <w:sz w:val="22"/>
          <w:szCs w:val="22"/>
        </w:rPr>
        <w:t>positivo</w:t>
      </w:r>
      <w:r w:rsidR="00133329" w:rsidRPr="00252785">
        <w:rPr>
          <w:rFonts w:ascii="Arial" w:hAnsi="Arial" w:cs="Arial"/>
          <w:sz w:val="22"/>
          <w:szCs w:val="22"/>
        </w:rPr>
        <w:t xml:space="preserve">, y </w:t>
      </w:r>
      <w:r w:rsidRPr="00252785">
        <w:rPr>
          <w:rFonts w:ascii="Arial" w:hAnsi="Arial" w:cs="Arial"/>
          <w:sz w:val="22"/>
          <w:szCs w:val="22"/>
        </w:rPr>
        <w:t>reflej</w:t>
      </w:r>
      <w:r w:rsidR="00133329" w:rsidRPr="00252785">
        <w:rPr>
          <w:rFonts w:ascii="Arial" w:hAnsi="Arial" w:cs="Arial"/>
          <w:sz w:val="22"/>
          <w:szCs w:val="22"/>
        </w:rPr>
        <w:t>o</w:t>
      </w:r>
      <w:r w:rsidRPr="00252785">
        <w:rPr>
          <w:rFonts w:ascii="Arial" w:hAnsi="Arial" w:cs="Arial"/>
          <w:sz w:val="22"/>
          <w:szCs w:val="22"/>
        </w:rPr>
        <w:t xml:space="preserve"> </w:t>
      </w:r>
      <w:r w:rsidR="00133329" w:rsidRPr="00252785">
        <w:rPr>
          <w:rFonts w:ascii="Arial" w:hAnsi="Arial" w:cs="Arial"/>
          <w:sz w:val="22"/>
          <w:szCs w:val="22"/>
        </w:rPr>
        <w:t>d</w:t>
      </w:r>
      <w:r w:rsidRPr="00252785">
        <w:rPr>
          <w:rFonts w:ascii="Arial" w:hAnsi="Arial" w:cs="Arial"/>
          <w:sz w:val="22"/>
          <w:szCs w:val="22"/>
        </w:rPr>
        <w:t>e</w:t>
      </w:r>
      <w:r w:rsidR="008F603D" w:rsidRPr="00252785">
        <w:rPr>
          <w:rFonts w:ascii="Arial" w:hAnsi="Arial" w:cs="Arial"/>
          <w:sz w:val="22"/>
          <w:szCs w:val="22"/>
        </w:rPr>
        <w:t>l resultado de las políticas</w:t>
      </w:r>
      <w:r w:rsidRPr="00252785">
        <w:rPr>
          <w:rFonts w:ascii="Arial" w:hAnsi="Arial" w:cs="Arial"/>
          <w:sz w:val="22"/>
          <w:szCs w:val="22"/>
        </w:rPr>
        <w:t xml:space="preserve"> </w:t>
      </w:r>
      <w:r w:rsidR="00133329" w:rsidRPr="00252785">
        <w:rPr>
          <w:rFonts w:ascii="Arial" w:hAnsi="Arial" w:cs="Arial"/>
          <w:sz w:val="22"/>
          <w:szCs w:val="22"/>
        </w:rPr>
        <w:t xml:space="preserve">que viene implementando el </w:t>
      </w:r>
      <w:r w:rsidRPr="00252785">
        <w:rPr>
          <w:rFonts w:ascii="Arial" w:hAnsi="Arial" w:cs="Arial"/>
          <w:sz w:val="22"/>
          <w:szCs w:val="22"/>
        </w:rPr>
        <w:t xml:space="preserve">gobierno del Presidente Martín Vizcarra en materia tributaria, </w:t>
      </w:r>
      <w:r w:rsidR="008F603D" w:rsidRPr="00252785">
        <w:rPr>
          <w:rFonts w:ascii="Arial" w:hAnsi="Arial" w:cs="Arial"/>
          <w:sz w:val="22"/>
          <w:szCs w:val="22"/>
        </w:rPr>
        <w:t>que</w:t>
      </w:r>
      <w:r w:rsidR="00133329" w:rsidRPr="00252785">
        <w:rPr>
          <w:rFonts w:ascii="Arial" w:hAnsi="Arial" w:cs="Arial"/>
          <w:sz w:val="22"/>
          <w:szCs w:val="22"/>
        </w:rPr>
        <w:t xml:space="preserve"> </w:t>
      </w:r>
      <w:r w:rsidRPr="00252785">
        <w:rPr>
          <w:rFonts w:ascii="Arial" w:hAnsi="Arial" w:cs="Arial"/>
          <w:sz w:val="22"/>
          <w:szCs w:val="22"/>
        </w:rPr>
        <w:t>buscan combatir la evasión y elusión, así como la informalidad. “Estamos comprometidos c</w:t>
      </w:r>
      <w:r w:rsidR="00DC0C51" w:rsidRPr="00252785">
        <w:rPr>
          <w:rFonts w:ascii="Arial" w:hAnsi="Arial" w:cs="Arial"/>
          <w:sz w:val="22"/>
          <w:szCs w:val="22"/>
        </w:rPr>
        <w:t>on lograr este objetivo</w:t>
      </w:r>
      <w:r w:rsidRPr="00252785">
        <w:rPr>
          <w:rFonts w:ascii="Arial" w:hAnsi="Arial" w:cs="Arial"/>
          <w:sz w:val="22"/>
          <w:szCs w:val="22"/>
        </w:rPr>
        <w:t>, pues con m</w:t>
      </w:r>
      <w:r w:rsidR="00133329" w:rsidRPr="00252785">
        <w:rPr>
          <w:rFonts w:ascii="Arial" w:hAnsi="Arial" w:cs="Arial"/>
          <w:sz w:val="22"/>
          <w:szCs w:val="22"/>
        </w:rPr>
        <w:t>ás recursos</w:t>
      </w:r>
      <w:r w:rsidRPr="00252785">
        <w:rPr>
          <w:rFonts w:ascii="Arial" w:hAnsi="Arial" w:cs="Arial"/>
          <w:sz w:val="22"/>
          <w:szCs w:val="22"/>
        </w:rPr>
        <w:t xml:space="preserve"> la población podrá recibir m</w:t>
      </w:r>
      <w:r w:rsidR="00133329" w:rsidRPr="00252785">
        <w:rPr>
          <w:rFonts w:ascii="Arial" w:hAnsi="Arial" w:cs="Arial"/>
          <w:sz w:val="22"/>
          <w:szCs w:val="22"/>
        </w:rPr>
        <w:t xml:space="preserve">ejores y mayores </w:t>
      </w:r>
      <w:r w:rsidRPr="00252785">
        <w:rPr>
          <w:rFonts w:ascii="Arial" w:hAnsi="Arial" w:cs="Arial"/>
          <w:sz w:val="22"/>
          <w:szCs w:val="22"/>
        </w:rPr>
        <w:t>servicios</w:t>
      </w:r>
      <w:r w:rsidR="00DC0C51" w:rsidRPr="00252785">
        <w:rPr>
          <w:rFonts w:ascii="Arial" w:hAnsi="Arial" w:cs="Arial"/>
          <w:sz w:val="22"/>
          <w:szCs w:val="22"/>
        </w:rPr>
        <w:t xml:space="preserve"> </w:t>
      </w:r>
      <w:r w:rsidR="008F603D" w:rsidRPr="00252785">
        <w:rPr>
          <w:rFonts w:ascii="Arial" w:hAnsi="Arial" w:cs="Arial"/>
          <w:sz w:val="22"/>
          <w:szCs w:val="22"/>
        </w:rPr>
        <w:t>y obras de</w:t>
      </w:r>
      <w:r w:rsidR="00DC0C51" w:rsidRPr="00252785">
        <w:rPr>
          <w:rFonts w:ascii="Arial" w:hAnsi="Arial" w:cs="Arial"/>
          <w:sz w:val="22"/>
          <w:szCs w:val="22"/>
        </w:rPr>
        <w:t xml:space="preserve"> infraestructura</w:t>
      </w:r>
      <w:r w:rsidR="00133329" w:rsidRPr="00252785">
        <w:rPr>
          <w:rFonts w:ascii="Arial" w:hAnsi="Arial" w:cs="Arial"/>
          <w:sz w:val="22"/>
          <w:szCs w:val="22"/>
        </w:rPr>
        <w:t>”, refirió</w:t>
      </w:r>
      <w:r w:rsidR="00DC0C51" w:rsidRPr="00252785">
        <w:rPr>
          <w:rFonts w:ascii="Arial" w:hAnsi="Arial" w:cs="Arial"/>
          <w:sz w:val="22"/>
          <w:szCs w:val="22"/>
        </w:rPr>
        <w:t>.</w:t>
      </w:r>
    </w:p>
    <w:p w14:paraId="1068B56D" w14:textId="77777777" w:rsidR="00252785" w:rsidRPr="00252785" w:rsidRDefault="00252785" w:rsidP="00252785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14:paraId="5B3C17CF" w14:textId="1C04C727" w:rsidR="00DC0C51" w:rsidRDefault="00DC0C51" w:rsidP="00252785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252785">
        <w:rPr>
          <w:rFonts w:ascii="Arial" w:hAnsi="Arial" w:cs="Arial"/>
          <w:sz w:val="22"/>
          <w:szCs w:val="22"/>
        </w:rPr>
        <w:t>Destacó que desde el inicio de la gestión del Presidente Martín Vizcarra se ha logrado tasas de crecimiento por el lado de los ingresos, las cuales se buscan seguir aumentando</w:t>
      </w:r>
      <w:r w:rsidR="00A51240" w:rsidRPr="00252785">
        <w:rPr>
          <w:rFonts w:ascii="Arial" w:hAnsi="Arial" w:cs="Arial"/>
          <w:sz w:val="22"/>
          <w:szCs w:val="22"/>
        </w:rPr>
        <w:t>; además, se están diseñando una serie d</w:t>
      </w:r>
      <w:r w:rsidRPr="00252785">
        <w:rPr>
          <w:rFonts w:ascii="Arial" w:hAnsi="Arial" w:cs="Arial"/>
          <w:sz w:val="22"/>
          <w:szCs w:val="22"/>
        </w:rPr>
        <w:t>e</w:t>
      </w:r>
      <w:r w:rsidR="00A51240" w:rsidRPr="00252785">
        <w:rPr>
          <w:rFonts w:ascii="Arial" w:hAnsi="Arial" w:cs="Arial"/>
          <w:sz w:val="22"/>
          <w:szCs w:val="22"/>
        </w:rPr>
        <w:t xml:space="preserve"> </w:t>
      </w:r>
      <w:r w:rsidRPr="00252785">
        <w:rPr>
          <w:rFonts w:ascii="Arial" w:hAnsi="Arial" w:cs="Arial"/>
          <w:sz w:val="22"/>
          <w:szCs w:val="22"/>
        </w:rPr>
        <w:t>medidas para aumentar la calidad del gasto</w:t>
      </w:r>
      <w:r w:rsidR="00A51240" w:rsidRPr="00252785">
        <w:rPr>
          <w:rFonts w:ascii="Arial" w:hAnsi="Arial" w:cs="Arial"/>
          <w:sz w:val="22"/>
          <w:szCs w:val="22"/>
        </w:rPr>
        <w:t>,</w:t>
      </w:r>
      <w:r w:rsidRPr="00252785">
        <w:rPr>
          <w:rFonts w:ascii="Arial" w:hAnsi="Arial" w:cs="Arial"/>
          <w:sz w:val="22"/>
          <w:szCs w:val="22"/>
        </w:rPr>
        <w:t xml:space="preserve"> </w:t>
      </w:r>
      <w:r w:rsidR="00A51240" w:rsidRPr="00252785">
        <w:rPr>
          <w:rFonts w:ascii="Arial" w:hAnsi="Arial" w:cs="Arial"/>
          <w:sz w:val="22"/>
          <w:szCs w:val="22"/>
        </w:rPr>
        <w:t>y en</w:t>
      </w:r>
      <w:r w:rsidRPr="00252785">
        <w:rPr>
          <w:rFonts w:ascii="Arial" w:hAnsi="Arial" w:cs="Arial"/>
          <w:sz w:val="22"/>
          <w:szCs w:val="22"/>
        </w:rPr>
        <w:t xml:space="preserve"> los</w:t>
      </w:r>
      <w:r w:rsidR="00A51240" w:rsidRPr="00252785">
        <w:rPr>
          <w:rFonts w:ascii="Arial" w:hAnsi="Arial" w:cs="Arial"/>
          <w:sz w:val="22"/>
          <w:szCs w:val="22"/>
        </w:rPr>
        <w:t xml:space="preserve"> </w:t>
      </w:r>
      <w:r w:rsidRPr="00252785">
        <w:rPr>
          <w:rFonts w:ascii="Arial" w:hAnsi="Arial" w:cs="Arial"/>
          <w:sz w:val="22"/>
          <w:szCs w:val="22"/>
        </w:rPr>
        <w:t>pr</w:t>
      </w:r>
      <w:r w:rsidR="00A51240" w:rsidRPr="00252785">
        <w:rPr>
          <w:rFonts w:ascii="Arial" w:hAnsi="Arial" w:cs="Arial"/>
          <w:sz w:val="22"/>
          <w:szCs w:val="22"/>
        </w:rPr>
        <w:t>ó</w:t>
      </w:r>
      <w:r w:rsidRPr="00252785">
        <w:rPr>
          <w:rFonts w:ascii="Arial" w:hAnsi="Arial" w:cs="Arial"/>
          <w:sz w:val="22"/>
          <w:szCs w:val="22"/>
        </w:rPr>
        <w:t xml:space="preserve">ximos meses </w:t>
      </w:r>
      <w:r w:rsidR="00A51240" w:rsidRPr="00252785">
        <w:rPr>
          <w:rFonts w:ascii="Arial" w:hAnsi="Arial" w:cs="Arial"/>
          <w:sz w:val="22"/>
          <w:szCs w:val="22"/>
        </w:rPr>
        <w:t>daremos u</w:t>
      </w:r>
      <w:r w:rsidRPr="00252785">
        <w:rPr>
          <w:rFonts w:ascii="Arial" w:hAnsi="Arial" w:cs="Arial"/>
          <w:sz w:val="22"/>
          <w:szCs w:val="22"/>
        </w:rPr>
        <w:t xml:space="preserve">na serie de pautas para mejorar la eficiencia del gasto. </w:t>
      </w:r>
      <w:r w:rsidR="00A51240" w:rsidRPr="00252785">
        <w:rPr>
          <w:rFonts w:ascii="Arial" w:hAnsi="Arial" w:cs="Arial"/>
          <w:sz w:val="22"/>
          <w:szCs w:val="22"/>
        </w:rPr>
        <w:t xml:space="preserve">Asimismo, refirió que para el gobierno “es importante mantener un equilibrio fiscal, por eso en el </w:t>
      </w:r>
      <w:r w:rsidR="00F92E0C" w:rsidRPr="00252785">
        <w:rPr>
          <w:rFonts w:ascii="Arial" w:hAnsi="Arial" w:cs="Arial"/>
          <w:sz w:val="22"/>
          <w:szCs w:val="22"/>
          <w:lang w:val="es-ES"/>
        </w:rPr>
        <w:t xml:space="preserve">Informe de Actualización de Proyecciones Macroeconómicas (IAPM) 2019-2022 </w:t>
      </w:r>
      <w:r w:rsidR="00A51240" w:rsidRPr="00252785">
        <w:rPr>
          <w:rFonts w:ascii="Arial" w:hAnsi="Arial" w:cs="Arial"/>
          <w:sz w:val="22"/>
          <w:szCs w:val="22"/>
        </w:rPr>
        <w:t>hemos revisado la cifra de déficit fiscal a 2,2%, lo cual está en línea con la consolidación al 2021, que se espera llegar a 1%”.</w:t>
      </w:r>
    </w:p>
    <w:p w14:paraId="7E58F19D" w14:textId="77777777" w:rsidR="00252785" w:rsidRPr="00252785" w:rsidRDefault="00252785" w:rsidP="00252785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14:paraId="2B6A540A" w14:textId="64DC0EF1" w:rsidR="00F56301" w:rsidRDefault="00A15935" w:rsidP="00252785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252785">
        <w:rPr>
          <w:rFonts w:ascii="Arial" w:hAnsi="Arial" w:cs="Arial"/>
          <w:sz w:val="22"/>
          <w:szCs w:val="22"/>
        </w:rPr>
        <w:t xml:space="preserve"> </w:t>
      </w:r>
      <w:r w:rsidR="00133329" w:rsidRPr="00252785">
        <w:rPr>
          <w:rFonts w:ascii="Arial" w:hAnsi="Arial" w:cs="Arial"/>
          <w:sz w:val="22"/>
          <w:szCs w:val="22"/>
        </w:rPr>
        <w:t>A su turno, la s</w:t>
      </w:r>
      <w:r w:rsidR="00F56301" w:rsidRPr="00252785">
        <w:rPr>
          <w:rFonts w:ascii="Arial" w:hAnsi="Arial" w:cs="Arial"/>
          <w:sz w:val="22"/>
          <w:szCs w:val="22"/>
        </w:rPr>
        <w:t>uperintendente de la SUNAT, Claudia Suárez</w:t>
      </w:r>
      <w:r w:rsidR="00133329" w:rsidRPr="00252785">
        <w:rPr>
          <w:rFonts w:ascii="Arial" w:hAnsi="Arial" w:cs="Arial"/>
          <w:sz w:val="22"/>
          <w:szCs w:val="22"/>
        </w:rPr>
        <w:t>, e</w:t>
      </w:r>
      <w:r w:rsidR="00F56301" w:rsidRPr="00252785">
        <w:rPr>
          <w:rFonts w:ascii="Arial" w:hAnsi="Arial" w:cs="Arial"/>
          <w:sz w:val="22"/>
          <w:szCs w:val="22"/>
        </w:rPr>
        <w:t xml:space="preserve">xplicó que el resultado de la presente campaña </w:t>
      </w:r>
      <w:r w:rsidR="00133329" w:rsidRPr="00252785">
        <w:rPr>
          <w:rFonts w:ascii="Arial" w:hAnsi="Arial" w:cs="Arial"/>
          <w:sz w:val="22"/>
          <w:szCs w:val="22"/>
        </w:rPr>
        <w:t xml:space="preserve">fue </w:t>
      </w:r>
      <w:r w:rsidR="00F56301" w:rsidRPr="00252785">
        <w:rPr>
          <w:rFonts w:ascii="Arial" w:hAnsi="Arial" w:cs="Arial"/>
          <w:sz w:val="22"/>
          <w:szCs w:val="22"/>
        </w:rPr>
        <w:t>menor en S/ 525 millones a la del año pasado</w:t>
      </w:r>
      <w:r w:rsidR="00133329" w:rsidRPr="00252785">
        <w:rPr>
          <w:rFonts w:ascii="Arial" w:hAnsi="Arial" w:cs="Arial"/>
          <w:sz w:val="22"/>
          <w:szCs w:val="22"/>
        </w:rPr>
        <w:t xml:space="preserve">. “El año 2017 registramos </w:t>
      </w:r>
      <w:r w:rsidR="00252785" w:rsidRPr="00252785">
        <w:rPr>
          <w:rFonts w:ascii="Arial" w:hAnsi="Arial" w:cs="Arial"/>
          <w:sz w:val="22"/>
          <w:szCs w:val="22"/>
        </w:rPr>
        <w:t>una cifra histórica</w:t>
      </w:r>
      <w:r w:rsidR="00F56301" w:rsidRPr="00252785">
        <w:rPr>
          <w:rFonts w:ascii="Arial" w:hAnsi="Arial" w:cs="Arial"/>
          <w:sz w:val="22"/>
          <w:szCs w:val="22"/>
        </w:rPr>
        <w:t xml:space="preserve"> debido a los pagos del sector minero que, al tener menores pagos a cuenta en 2017, le quedó un monto mayor a regularizar en la declaración de Campaña, sumado a un crecimiento favorable de las utilidades</w:t>
      </w:r>
      <w:r w:rsidR="00133329" w:rsidRPr="00252785">
        <w:rPr>
          <w:rFonts w:ascii="Arial" w:hAnsi="Arial" w:cs="Arial"/>
          <w:sz w:val="22"/>
          <w:szCs w:val="22"/>
        </w:rPr>
        <w:t>”, detalló.</w:t>
      </w:r>
    </w:p>
    <w:p w14:paraId="40944107" w14:textId="77777777" w:rsidR="00252785" w:rsidRPr="00252785" w:rsidRDefault="00252785" w:rsidP="00252785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14:paraId="2926D66E" w14:textId="77777777" w:rsidR="00F56301" w:rsidRPr="00252785" w:rsidRDefault="00133329" w:rsidP="00252785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252785">
        <w:rPr>
          <w:rFonts w:ascii="Arial" w:hAnsi="Arial" w:cs="Arial"/>
          <w:sz w:val="22"/>
          <w:szCs w:val="22"/>
        </w:rPr>
        <w:t>Agregó que s</w:t>
      </w:r>
      <w:r w:rsidR="00F56301" w:rsidRPr="00252785">
        <w:rPr>
          <w:rFonts w:ascii="Arial" w:hAnsi="Arial" w:cs="Arial"/>
          <w:sz w:val="22"/>
          <w:szCs w:val="22"/>
        </w:rPr>
        <w:t xml:space="preserve">i a los S/ 525 </w:t>
      </w:r>
      <w:r w:rsidR="002B37CF" w:rsidRPr="00252785">
        <w:rPr>
          <w:rFonts w:ascii="Arial" w:hAnsi="Arial" w:cs="Arial"/>
          <w:sz w:val="22"/>
          <w:szCs w:val="22"/>
        </w:rPr>
        <w:t>millones se le descuenta los S/</w:t>
      </w:r>
      <w:r w:rsidR="00F56301" w:rsidRPr="00252785">
        <w:rPr>
          <w:rFonts w:ascii="Arial" w:hAnsi="Arial" w:cs="Arial"/>
          <w:sz w:val="22"/>
          <w:szCs w:val="22"/>
        </w:rPr>
        <w:t xml:space="preserve"> 291 millones provenientes de la regularización producto del régimen extraordinario de repatriación de capitales</w:t>
      </w:r>
      <w:r w:rsidRPr="00252785">
        <w:rPr>
          <w:rFonts w:ascii="Arial" w:hAnsi="Arial" w:cs="Arial"/>
          <w:sz w:val="22"/>
          <w:szCs w:val="22"/>
        </w:rPr>
        <w:t xml:space="preserve"> –que fue un hecho particular del año 2018-</w:t>
      </w:r>
      <w:r w:rsidR="00F56301" w:rsidRPr="00252785">
        <w:rPr>
          <w:rFonts w:ascii="Arial" w:hAnsi="Arial" w:cs="Arial"/>
          <w:sz w:val="22"/>
          <w:szCs w:val="22"/>
        </w:rPr>
        <w:t>, la diferencia de una campaña a otr</w:t>
      </w:r>
      <w:r w:rsidRPr="00252785">
        <w:rPr>
          <w:rFonts w:ascii="Arial" w:hAnsi="Arial" w:cs="Arial"/>
          <w:sz w:val="22"/>
          <w:szCs w:val="22"/>
        </w:rPr>
        <w:t>a se reduce a S/. 234 millones.</w:t>
      </w:r>
    </w:p>
    <w:p w14:paraId="5C7BA79F" w14:textId="77777777" w:rsidR="00252785" w:rsidRPr="00252785" w:rsidRDefault="00252785" w:rsidP="00252785">
      <w:pPr>
        <w:spacing w:after="0" w:line="240" w:lineRule="auto"/>
        <w:jc w:val="both"/>
        <w:rPr>
          <w:rFonts w:ascii="Arial" w:hAnsi="Arial" w:cs="Arial"/>
          <w:b/>
          <w:sz w:val="22"/>
          <w:szCs w:val="22"/>
        </w:rPr>
      </w:pPr>
    </w:p>
    <w:p w14:paraId="7346E427" w14:textId="128F7DEB" w:rsidR="002B37CF" w:rsidRDefault="00133329" w:rsidP="00252785">
      <w:pPr>
        <w:spacing w:after="0" w:line="240" w:lineRule="auto"/>
        <w:jc w:val="both"/>
        <w:rPr>
          <w:rFonts w:ascii="Arial" w:hAnsi="Arial" w:cs="Arial"/>
          <w:b/>
          <w:sz w:val="22"/>
          <w:szCs w:val="22"/>
        </w:rPr>
      </w:pPr>
      <w:r w:rsidRPr="00252785">
        <w:rPr>
          <w:rFonts w:ascii="Arial" w:hAnsi="Arial" w:cs="Arial"/>
          <w:b/>
          <w:sz w:val="22"/>
          <w:szCs w:val="22"/>
        </w:rPr>
        <w:t>Avance del IR en el 2019</w:t>
      </w:r>
    </w:p>
    <w:p w14:paraId="25DE58B8" w14:textId="77777777" w:rsidR="00252785" w:rsidRPr="00252785" w:rsidRDefault="00252785" w:rsidP="00252785">
      <w:pPr>
        <w:spacing w:after="0" w:line="240" w:lineRule="auto"/>
        <w:jc w:val="both"/>
        <w:rPr>
          <w:rFonts w:ascii="Arial" w:hAnsi="Arial" w:cs="Arial"/>
          <w:b/>
          <w:sz w:val="22"/>
          <w:szCs w:val="22"/>
        </w:rPr>
      </w:pPr>
    </w:p>
    <w:p w14:paraId="01ABA3E8" w14:textId="5DFE5519" w:rsidR="00F56301" w:rsidRDefault="00F56301" w:rsidP="00252785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252785">
        <w:rPr>
          <w:rFonts w:ascii="Arial" w:hAnsi="Arial" w:cs="Arial"/>
          <w:sz w:val="22"/>
          <w:szCs w:val="22"/>
        </w:rPr>
        <w:t xml:space="preserve">De otro lado, </w:t>
      </w:r>
      <w:r w:rsidR="00133329" w:rsidRPr="00252785">
        <w:rPr>
          <w:rFonts w:ascii="Arial" w:hAnsi="Arial" w:cs="Arial"/>
          <w:sz w:val="22"/>
          <w:szCs w:val="22"/>
        </w:rPr>
        <w:t xml:space="preserve">Claudia Suárez </w:t>
      </w:r>
      <w:r w:rsidRPr="00252785">
        <w:rPr>
          <w:rFonts w:ascii="Arial" w:hAnsi="Arial" w:cs="Arial"/>
          <w:sz w:val="22"/>
          <w:szCs w:val="22"/>
        </w:rPr>
        <w:t>mencionó que en los primeros cuatro meses del año se ha logrado una recaudación superior a los S/. 40 mil millones, monto mayor en casi S/. 2,800 millones con respecto a similar periodo del año pasado. Esto representa un crecimiento real de 4.9% en el primer cuatrimestre.</w:t>
      </w:r>
    </w:p>
    <w:p w14:paraId="30BBB8F3" w14:textId="6341C404" w:rsidR="00F56301" w:rsidRDefault="00F56301" w:rsidP="00252785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252785">
        <w:rPr>
          <w:rFonts w:ascii="Arial" w:hAnsi="Arial" w:cs="Arial"/>
          <w:sz w:val="22"/>
          <w:szCs w:val="22"/>
        </w:rPr>
        <w:lastRenderedPageBreak/>
        <w:t>Este resultado se sustenta por un aumento en todos los componentes, en especial del IGV e ISC que explican el 75% del crecimiento, seguido de los ingresos por fraccionamientos que explica 24% del crecimiento. Las devoluciones aumentaron 1.8% y restan 0.3 puntos porcentuales al crecimiento.</w:t>
      </w:r>
    </w:p>
    <w:p w14:paraId="6D09C0D7" w14:textId="77777777" w:rsidR="00252785" w:rsidRPr="00252785" w:rsidRDefault="00252785" w:rsidP="00252785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14:paraId="2CB30890" w14:textId="2A37F949" w:rsidR="00F56301" w:rsidRDefault="00F56301" w:rsidP="00252785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252785">
        <w:rPr>
          <w:rFonts w:ascii="Arial" w:hAnsi="Arial" w:cs="Arial"/>
          <w:sz w:val="22"/>
          <w:szCs w:val="22"/>
        </w:rPr>
        <w:t>En el Impuesto a la Renta se observa un crecimiento en todos los componentes de primera a quinta categoría lo cual se ve paliada principalmente por las caídas significativas en la regularización y no domiciliados que restan 2.1 puntos porcentuales en este primer cuatrimestre.</w:t>
      </w:r>
    </w:p>
    <w:p w14:paraId="40631EB1" w14:textId="77777777" w:rsidR="00252785" w:rsidRPr="00252785" w:rsidRDefault="00252785" w:rsidP="00252785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14:paraId="6B5C5553" w14:textId="359D367B" w:rsidR="00F56301" w:rsidRDefault="00F56301" w:rsidP="00252785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252785">
        <w:rPr>
          <w:rFonts w:ascii="Arial" w:hAnsi="Arial" w:cs="Arial"/>
          <w:sz w:val="22"/>
          <w:szCs w:val="22"/>
        </w:rPr>
        <w:t xml:space="preserve">La jefa de la SUNAT mencionó que este año se espera superar en más de 500 millones el monto de recuperación de la deuda en cobranza coactiva. </w:t>
      </w:r>
    </w:p>
    <w:p w14:paraId="6B3FDFC7" w14:textId="77777777" w:rsidR="00252785" w:rsidRPr="00252785" w:rsidRDefault="00252785" w:rsidP="00252785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14:paraId="1A016FC6" w14:textId="0F6A3FEE" w:rsidR="00D45638" w:rsidRDefault="00F56301" w:rsidP="00252785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252785">
        <w:rPr>
          <w:rFonts w:ascii="Arial" w:hAnsi="Arial" w:cs="Arial"/>
          <w:sz w:val="22"/>
          <w:szCs w:val="22"/>
        </w:rPr>
        <w:t>Mientras que en el 2018 se logró recuperar casi S/. 2000 millones, de los cuales el 70% correspondió a Principales Contribuyentes, en el presente año se espera un nivel de S/. 2 500 millones. Solo en el primer cuatrimestre se logró recuperar un monto de S/. 1 650 millones que incluye los S/ 434 millones cobrados a Odebrecht recientemente</w:t>
      </w:r>
      <w:r w:rsidR="00252785">
        <w:rPr>
          <w:rFonts w:ascii="Arial" w:hAnsi="Arial" w:cs="Arial"/>
          <w:sz w:val="22"/>
          <w:szCs w:val="22"/>
        </w:rPr>
        <w:t>.</w:t>
      </w:r>
    </w:p>
    <w:p w14:paraId="7A2339F7" w14:textId="08228065" w:rsidR="00252785" w:rsidRDefault="00252785" w:rsidP="00252785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14:paraId="2EA4574B" w14:textId="71B59F5A" w:rsidR="00252785" w:rsidRDefault="00252785" w:rsidP="00252785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14:paraId="55EF418E" w14:textId="37BDD1B3" w:rsidR="00252785" w:rsidRPr="00252785" w:rsidRDefault="00252785" w:rsidP="00252785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Lima, lunes 6 de mayo del 2019.</w:t>
      </w:r>
    </w:p>
    <w:p w14:paraId="4429D001" w14:textId="77777777" w:rsidR="00133329" w:rsidRDefault="00133329" w:rsidP="00F56301">
      <w:pPr>
        <w:spacing w:before="120" w:after="0" w:line="240" w:lineRule="auto"/>
        <w:jc w:val="both"/>
      </w:pPr>
    </w:p>
    <w:p w14:paraId="131D7E5F" w14:textId="46539C04" w:rsidR="00133329" w:rsidRPr="00133329" w:rsidRDefault="00133329" w:rsidP="00F56301">
      <w:pPr>
        <w:spacing w:before="120" w:after="0" w:line="240" w:lineRule="auto"/>
        <w:jc w:val="both"/>
        <w:rPr>
          <w:b/>
        </w:rPr>
      </w:pPr>
    </w:p>
    <w:sectPr w:rsidR="00133329" w:rsidRPr="00133329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7DEADF" w14:textId="77777777" w:rsidR="009B092F" w:rsidRDefault="009B092F" w:rsidP="00D45638">
      <w:pPr>
        <w:spacing w:after="0" w:line="240" w:lineRule="auto"/>
      </w:pPr>
      <w:r>
        <w:separator/>
      </w:r>
    </w:p>
  </w:endnote>
  <w:endnote w:type="continuationSeparator" w:id="0">
    <w:p w14:paraId="2D68DC45" w14:textId="77777777" w:rsidR="009B092F" w:rsidRDefault="009B092F" w:rsidP="00D45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0109AF" w14:textId="77777777" w:rsidR="009B092F" w:rsidRDefault="009B092F" w:rsidP="00D45638">
      <w:pPr>
        <w:spacing w:after="0" w:line="240" w:lineRule="auto"/>
      </w:pPr>
      <w:r>
        <w:separator/>
      </w:r>
    </w:p>
  </w:footnote>
  <w:footnote w:type="continuationSeparator" w:id="0">
    <w:p w14:paraId="3B5411AF" w14:textId="77777777" w:rsidR="009B092F" w:rsidRDefault="009B092F" w:rsidP="00D456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4360"/>
      <w:gridCol w:w="4478"/>
    </w:tblGrid>
    <w:tr w:rsidR="00D45638" w:rsidRPr="00211C21" w14:paraId="225F5610" w14:textId="77777777" w:rsidTr="008B3904">
      <w:trPr>
        <w:trHeight w:val="718"/>
      </w:trPr>
      <w:tc>
        <w:tcPr>
          <w:tcW w:w="4503" w:type="dxa"/>
          <w:shd w:val="clear" w:color="auto" w:fill="auto"/>
        </w:tcPr>
        <w:p w14:paraId="26719547" w14:textId="77777777" w:rsidR="00D45638" w:rsidRPr="00211C21" w:rsidRDefault="00D45638" w:rsidP="00D45638">
          <w:pPr>
            <w:pStyle w:val="Ttulo2"/>
            <w:spacing w:line="240" w:lineRule="auto"/>
            <w:rPr>
              <w:rFonts w:ascii="Calibri" w:hAnsi="Calibri" w:cs="Calibri"/>
              <w:b/>
              <w:color w:val="auto"/>
              <w:sz w:val="28"/>
              <w:szCs w:val="28"/>
              <w:u w:val="single"/>
              <w:lang w:val="es-MX"/>
            </w:rPr>
          </w:pPr>
          <w:r>
            <w:rPr>
              <w:noProof/>
              <w:lang w:eastAsia="es-PE"/>
            </w:rPr>
            <w:drawing>
              <wp:anchor distT="0" distB="0" distL="114300" distR="114300" simplePos="0" relativeHeight="251659264" behindDoc="1" locked="0" layoutInCell="1" allowOverlap="1" wp14:anchorId="32EE3803" wp14:editId="77E789F4">
                <wp:simplePos x="0" y="0"/>
                <wp:positionH relativeFrom="margin">
                  <wp:posOffset>-72390</wp:posOffset>
                </wp:positionH>
                <wp:positionV relativeFrom="paragraph">
                  <wp:posOffset>-4445</wp:posOffset>
                </wp:positionV>
                <wp:extent cx="2162175" cy="427797"/>
                <wp:effectExtent l="0" t="0" r="0" b="0"/>
                <wp:wrapNone/>
                <wp:docPr id="3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71484" cy="4296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551" w:type="dxa"/>
          <w:shd w:val="clear" w:color="auto" w:fill="auto"/>
        </w:tcPr>
        <w:p w14:paraId="6E7890FE" w14:textId="77777777" w:rsidR="00D45638" w:rsidRPr="00211C21" w:rsidRDefault="00D45638" w:rsidP="00D45638">
          <w:pPr>
            <w:pStyle w:val="Ttulo2"/>
            <w:spacing w:line="240" w:lineRule="auto"/>
            <w:jc w:val="right"/>
            <w:rPr>
              <w:rFonts w:ascii="Calibri" w:hAnsi="Calibri" w:cs="Calibri"/>
              <w:b/>
              <w:color w:val="auto"/>
              <w:sz w:val="28"/>
              <w:szCs w:val="28"/>
              <w:u w:val="single"/>
              <w:lang w:val="es-MX"/>
            </w:rPr>
          </w:pPr>
          <w:r w:rsidRPr="00A01552">
            <w:rPr>
              <w:noProof/>
              <w:lang w:eastAsia="es-PE"/>
            </w:rPr>
            <w:drawing>
              <wp:inline distT="0" distB="0" distL="0" distR="0" wp14:anchorId="08A43EB2" wp14:editId="2005D941">
                <wp:extent cx="1362075" cy="581025"/>
                <wp:effectExtent l="0" t="0" r="9525" b="9525"/>
                <wp:docPr id="11" name="Imagen 1" descr="C:\Users\sgilvonio.MEF\AppData\Local\Microsoft\Windows\Temporary Internet Files\Content.Outlook\3QJGGI27\sunat (2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C:\Users\sgilvonio.MEF\AppData\Local\Microsoft\Windows\Temporary Internet Files\Content.Outlook\3QJGGI27\sunat (2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207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E756BF8" w14:textId="77777777" w:rsidR="00D45638" w:rsidRDefault="00D4563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E6C41E4A"/>
    <w:multiLevelType w:val="singleLevel"/>
    <w:tmpl w:val="E6C41E4A"/>
    <w:lvl w:ilvl="0">
      <w:start w:val="1"/>
      <w:numFmt w:val="decimal"/>
      <w:suff w:val="space"/>
      <w:lvlText w:val="%1)"/>
      <w:lvlJc w:val="left"/>
    </w:lvl>
  </w:abstractNum>
  <w:abstractNum w:abstractNumId="1" w15:restartNumberingAfterBreak="0">
    <w:nsid w:val="11E664C1"/>
    <w:multiLevelType w:val="hybridMultilevel"/>
    <w:tmpl w:val="593A68EA"/>
    <w:lvl w:ilvl="0" w:tplc="8832557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C26BEF"/>
    <w:multiLevelType w:val="hybridMultilevel"/>
    <w:tmpl w:val="881C358C"/>
    <w:lvl w:ilvl="0" w:tplc="0046FA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CE51EC"/>
    <w:multiLevelType w:val="hybridMultilevel"/>
    <w:tmpl w:val="9ABA7072"/>
    <w:lvl w:ilvl="0" w:tplc="D7F43CC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F440D3"/>
    <w:multiLevelType w:val="hybridMultilevel"/>
    <w:tmpl w:val="537894A4"/>
    <w:lvl w:ilvl="0" w:tplc="0C1CCCD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576991"/>
    <w:multiLevelType w:val="hybridMultilevel"/>
    <w:tmpl w:val="5D0C141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3BB"/>
    <w:rsid w:val="000358E0"/>
    <w:rsid w:val="000523BB"/>
    <w:rsid w:val="0009152A"/>
    <w:rsid w:val="001163DE"/>
    <w:rsid w:val="00133329"/>
    <w:rsid w:val="00161280"/>
    <w:rsid w:val="00183DDE"/>
    <w:rsid w:val="0020387C"/>
    <w:rsid w:val="00237D2A"/>
    <w:rsid w:val="00252785"/>
    <w:rsid w:val="002670FA"/>
    <w:rsid w:val="002B37CF"/>
    <w:rsid w:val="003259BC"/>
    <w:rsid w:val="00357EA4"/>
    <w:rsid w:val="00363C72"/>
    <w:rsid w:val="003B62DF"/>
    <w:rsid w:val="0046168A"/>
    <w:rsid w:val="0047547D"/>
    <w:rsid w:val="00517917"/>
    <w:rsid w:val="00562151"/>
    <w:rsid w:val="00592774"/>
    <w:rsid w:val="0062143F"/>
    <w:rsid w:val="00645C31"/>
    <w:rsid w:val="00656A6E"/>
    <w:rsid w:val="00660951"/>
    <w:rsid w:val="00681FE9"/>
    <w:rsid w:val="00681FEA"/>
    <w:rsid w:val="006F3FA9"/>
    <w:rsid w:val="006F54E3"/>
    <w:rsid w:val="00760D63"/>
    <w:rsid w:val="00801039"/>
    <w:rsid w:val="008278AC"/>
    <w:rsid w:val="00855A15"/>
    <w:rsid w:val="00872552"/>
    <w:rsid w:val="008C59DA"/>
    <w:rsid w:val="008F603D"/>
    <w:rsid w:val="009B092F"/>
    <w:rsid w:val="009B49DE"/>
    <w:rsid w:val="009B5765"/>
    <w:rsid w:val="009C1C67"/>
    <w:rsid w:val="009F6E95"/>
    <w:rsid w:val="00A15935"/>
    <w:rsid w:val="00A16C6B"/>
    <w:rsid w:val="00A17302"/>
    <w:rsid w:val="00A50944"/>
    <w:rsid w:val="00A51240"/>
    <w:rsid w:val="00A55C83"/>
    <w:rsid w:val="00A744D1"/>
    <w:rsid w:val="00A84A54"/>
    <w:rsid w:val="00AD19EB"/>
    <w:rsid w:val="00AF27F2"/>
    <w:rsid w:val="00AF4BC8"/>
    <w:rsid w:val="00B42E33"/>
    <w:rsid w:val="00CB10E3"/>
    <w:rsid w:val="00CE399F"/>
    <w:rsid w:val="00D248BA"/>
    <w:rsid w:val="00D45638"/>
    <w:rsid w:val="00D46474"/>
    <w:rsid w:val="00D9086C"/>
    <w:rsid w:val="00DC0C51"/>
    <w:rsid w:val="00DE25A7"/>
    <w:rsid w:val="00EB1B23"/>
    <w:rsid w:val="00F522CF"/>
    <w:rsid w:val="00F56301"/>
    <w:rsid w:val="00F75084"/>
    <w:rsid w:val="00F92E0C"/>
    <w:rsid w:val="00FE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BADF2"/>
  <w15:chartTrackingRefBased/>
  <w15:docId w15:val="{295C47BE-FD70-46A8-9045-BD0FDBFF1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59BC"/>
    <w:rPr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45638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color w:val="2F5496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456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45638"/>
  </w:style>
  <w:style w:type="paragraph" w:styleId="Piedepgina">
    <w:name w:val="footer"/>
    <w:basedOn w:val="Normal"/>
    <w:link w:val="PiedepginaCar"/>
    <w:uiPriority w:val="99"/>
    <w:unhideWhenUsed/>
    <w:rsid w:val="00D456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5638"/>
  </w:style>
  <w:style w:type="character" w:customStyle="1" w:styleId="Ttulo2Car">
    <w:name w:val="Título 2 Car"/>
    <w:basedOn w:val="Fuentedeprrafopredeter"/>
    <w:link w:val="Ttulo2"/>
    <w:uiPriority w:val="9"/>
    <w:rsid w:val="00D45638"/>
    <w:rPr>
      <w:rFonts w:ascii="Calibri Light" w:eastAsia="Times New Roman" w:hAnsi="Calibri Light" w:cs="Times New Roman"/>
      <w:color w:val="2F5496"/>
      <w:sz w:val="26"/>
      <w:szCs w:val="26"/>
    </w:rPr>
  </w:style>
  <w:style w:type="paragraph" w:customStyle="1" w:styleId="cuerpo">
    <w:name w:val="cuerpo"/>
    <w:basedOn w:val="Normal"/>
    <w:rsid w:val="000358E0"/>
    <w:pPr>
      <w:spacing w:after="150" w:line="240" w:lineRule="auto"/>
      <w:jc w:val="both"/>
    </w:pPr>
    <w:rPr>
      <w:rFonts w:ascii="Arial" w:eastAsia="Times New Roman" w:hAnsi="Arial" w:cs="Arial"/>
      <w:lang w:val="es-ES" w:eastAsia="es-ES"/>
    </w:rPr>
  </w:style>
  <w:style w:type="paragraph" w:styleId="Prrafodelista">
    <w:name w:val="List Paragraph"/>
    <w:basedOn w:val="Normal"/>
    <w:uiPriority w:val="34"/>
    <w:qFormat/>
    <w:rsid w:val="00D4647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E39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39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598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Gilvonio Malaca, Sonia</dc:creator>
  <cp:keywords/>
  <dc:description/>
  <cp:lastModifiedBy>Sanchez Lizarbe Carlos Gary</cp:lastModifiedBy>
  <cp:revision>3</cp:revision>
  <cp:lastPrinted>2019-05-06T16:40:00Z</cp:lastPrinted>
  <dcterms:created xsi:type="dcterms:W3CDTF">2019-05-06T20:28:00Z</dcterms:created>
  <dcterms:modified xsi:type="dcterms:W3CDTF">2019-05-07T16:01:00Z</dcterms:modified>
</cp:coreProperties>
</file>