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FFF4" w14:textId="1BC95997" w:rsidR="008E0D65" w:rsidRDefault="008E0D65" w:rsidP="008E0D65">
      <w:pPr>
        <w:pStyle w:val="Prrafodelista"/>
        <w:autoSpaceDE w:val="0"/>
        <w:autoSpaceDN w:val="0"/>
        <w:spacing w:after="120"/>
        <w:ind w:left="1134" w:right="474"/>
        <w:jc w:val="right"/>
        <w:rPr>
          <w:rFonts w:ascii="Arial" w:eastAsia="Times New Roman" w:hAnsi="Arial"/>
          <w:b/>
          <w:i/>
          <w:lang w:val="es-ES" w:eastAsia="es-ES"/>
        </w:rPr>
      </w:pPr>
      <w:r>
        <w:rPr>
          <w:rFonts w:ascii="Arial" w:eastAsia="Times New Roman" w:hAnsi="Arial"/>
          <w:b/>
          <w:i/>
          <w:lang w:val="es-ES" w:eastAsia="es-ES"/>
        </w:rPr>
        <w:t xml:space="preserve">Nota de Prensa </w:t>
      </w:r>
      <w:proofErr w:type="spellStart"/>
      <w:r>
        <w:rPr>
          <w:rFonts w:ascii="Arial" w:eastAsia="Times New Roman" w:hAnsi="Arial"/>
          <w:b/>
          <w:i/>
          <w:lang w:val="es-ES" w:eastAsia="es-ES"/>
        </w:rPr>
        <w:t>N°</w:t>
      </w:r>
      <w:proofErr w:type="spellEnd"/>
      <w:r>
        <w:rPr>
          <w:rFonts w:ascii="Arial" w:eastAsia="Times New Roman" w:hAnsi="Arial"/>
          <w:b/>
          <w:i/>
          <w:lang w:val="es-ES" w:eastAsia="es-ES"/>
        </w:rPr>
        <w:t xml:space="preserve"> 0</w:t>
      </w:r>
      <w:r>
        <w:rPr>
          <w:rFonts w:ascii="Arial" w:eastAsia="Times New Roman" w:hAnsi="Arial"/>
          <w:b/>
          <w:i/>
          <w:lang w:val="es-ES" w:eastAsia="es-ES"/>
        </w:rPr>
        <w:t>03</w:t>
      </w:r>
      <w:r>
        <w:rPr>
          <w:rFonts w:ascii="Arial" w:eastAsia="Times New Roman" w:hAnsi="Arial"/>
          <w:b/>
          <w:i/>
          <w:lang w:val="es-ES" w:eastAsia="es-ES"/>
        </w:rPr>
        <w:t>-20</w:t>
      </w:r>
      <w:r>
        <w:rPr>
          <w:rFonts w:ascii="Arial" w:eastAsia="Times New Roman" w:hAnsi="Arial"/>
          <w:b/>
          <w:i/>
          <w:lang w:val="es-ES" w:eastAsia="es-ES"/>
        </w:rPr>
        <w:t>20</w:t>
      </w:r>
    </w:p>
    <w:p w14:paraId="77A1ECB8" w14:textId="0014E952" w:rsidR="00173624" w:rsidRDefault="00E32235" w:rsidP="0000227B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color w:val="0070C0"/>
          <w:sz w:val="44"/>
        </w:rPr>
      </w:pPr>
      <w:r>
        <w:rPr>
          <w:rFonts w:ascii="Arial" w:hAnsi="Arial" w:cs="Arial"/>
          <w:b/>
          <w:bCs/>
          <w:color w:val="0070C0"/>
          <w:sz w:val="44"/>
        </w:rPr>
        <w:t>SUNAT</w:t>
      </w:r>
      <w:r w:rsidR="00557C3D">
        <w:rPr>
          <w:rFonts w:ascii="Arial" w:hAnsi="Arial" w:cs="Arial"/>
          <w:b/>
          <w:bCs/>
          <w:color w:val="0070C0"/>
          <w:sz w:val="44"/>
        </w:rPr>
        <w:t xml:space="preserve">: </w:t>
      </w:r>
      <w:r w:rsidR="00A25F87" w:rsidRPr="00A25F87">
        <w:rPr>
          <w:rFonts w:ascii="Arial" w:hAnsi="Arial" w:cs="Arial"/>
          <w:b/>
          <w:bCs/>
          <w:color w:val="0070C0"/>
          <w:sz w:val="44"/>
        </w:rPr>
        <w:t>RECAUDACIÓN TRIBUTARIA CONSOLIDÓ SU RECUPERACIÓN Y CRECIÓ 3,7% E</w:t>
      </w:r>
      <w:r w:rsidR="00533FAD">
        <w:rPr>
          <w:rFonts w:ascii="Arial" w:hAnsi="Arial" w:cs="Arial"/>
          <w:b/>
          <w:bCs/>
          <w:color w:val="0070C0"/>
          <w:sz w:val="44"/>
        </w:rPr>
        <w:t>L</w:t>
      </w:r>
      <w:r w:rsidR="00A25F87" w:rsidRPr="00A25F87">
        <w:rPr>
          <w:rFonts w:ascii="Arial" w:hAnsi="Arial" w:cs="Arial"/>
          <w:b/>
          <w:bCs/>
          <w:color w:val="0070C0"/>
          <w:sz w:val="44"/>
        </w:rPr>
        <w:t xml:space="preserve"> 2019</w:t>
      </w:r>
    </w:p>
    <w:p w14:paraId="73782451" w14:textId="4FB85DB5" w:rsidR="0099594D" w:rsidRPr="001A0249" w:rsidRDefault="000A4F40" w:rsidP="008412E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1A0249">
        <w:rPr>
          <w:rFonts w:ascii="Arial" w:hAnsi="Arial" w:cs="Arial"/>
          <w:b/>
        </w:rPr>
        <w:t>Se reca</w:t>
      </w:r>
      <w:r w:rsidR="00AC4938" w:rsidRPr="001A0249">
        <w:rPr>
          <w:rFonts w:ascii="Arial" w:hAnsi="Arial" w:cs="Arial"/>
          <w:b/>
        </w:rPr>
        <w:t>udaron S/ 1</w:t>
      </w:r>
      <w:r w:rsidR="009073AC" w:rsidRPr="001A0249">
        <w:rPr>
          <w:rFonts w:ascii="Arial" w:hAnsi="Arial" w:cs="Arial"/>
          <w:b/>
        </w:rPr>
        <w:t>10</w:t>
      </w:r>
      <w:r w:rsidR="00AC4938" w:rsidRPr="001A0249">
        <w:rPr>
          <w:rFonts w:ascii="Arial" w:hAnsi="Arial" w:cs="Arial"/>
          <w:b/>
        </w:rPr>
        <w:t xml:space="preserve"> </w:t>
      </w:r>
      <w:r w:rsidR="009073AC" w:rsidRPr="001A0249">
        <w:rPr>
          <w:rFonts w:ascii="Arial" w:hAnsi="Arial" w:cs="Arial"/>
          <w:b/>
        </w:rPr>
        <w:t>768</w:t>
      </w:r>
      <w:r w:rsidR="00AC4938" w:rsidRPr="001A0249">
        <w:rPr>
          <w:rFonts w:ascii="Arial" w:hAnsi="Arial" w:cs="Arial"/>
          <w:b/>
        </w:rPr>
        <w:t xml:space="preserve"> millones</w:t>
      </w:r>
      <w:r w:rsidR="0099594D" w:rsidRPr="001A0249">
        <w:rPr>
          <w:rFonts w:ascii="Arial" w:hAnsi="Arial" w:cs="Arial"/>
          <w:b/>
        </w:rPr>
        <w:t xml:space="preserve"> </w:t>
      </w:r>
      <w:r w:rsidR="00A25F87">
        <w:rPr>
          <w:rFonts w:ascii="Arial" w:hAnsi="Arial" w:cs="Arial"/>
          <w:b/>
        </w:rPr>
        <w:t xml:space="preserve">netos </w:t>
      </w:r>
      <w:r w:rsidR="0099594D" w:rsidRPr="001A0249">
        <w:rPr>
          <w:rFonts w:ascii="Arial" w:hAnsi="Arial" w:cs="Arial"/>
          <w:b/>
        </w:rPr>
        <w:t>que</w:t>
      </w:r>
      <w:r w:rsidR="00AC4938" w:rsidRPr="001A0249">
        <w:rPr>
          <w:rFonts w:ascii="Arial" w:hAnsi="Arial" w:cs="Arial"/>
          <w:b/>
        </w:rPr>
        <w:t xml:space="preserve"> </w:t>
      </w:r>
      <w:r w:rsidR="0099594D" w:rsidRPr="001A0249">
        <w:rPr>
          <w:rFonts w:ascii="Arial" w:hAnsi="Arial" w:cs="Arial"/>
          <w:b/>
        </w:rPr>
        <w:t>representa</w:t>
      </w:r>
      <w:r w:rsidR="0043751E" w:rsidRPr="001A0249">
        <w:rPr>
          <w:rFonts w:ascii="Arial" w:hAnsi="Arial" w:cs="Arial"/>
          <w:b/>
        </w:rPr>
        <w:t>n</w:t>
      </w:r>
      <w:r w:rsidR="0099594D" w:rsidRPr="001A0249">
        <w:rPr>
          <w:rFonts w:ascii="Arial" w:hAnsi="Arial" w:cs="Arial"/>
          <w:b/>
        </w:rPr>
        <w:t xml:space="preserve"> S/ 6 178 millones adicionales con respecto al año anterior.</w:t>
      </w:r>
    </w:p>
    <w:p w14:paraId="0802BEE4" w14:textId="282226EA" w:rsidR="00173624" w:rsidRPr="001A0249" w:rsidRDefault="0099594D" w:rsidP="008412E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1A0249">
        <w:rPr>
          <w:rFonts w:ascii="Arial" w:hAnsi="Arial" w:cs="Arial"/>
          <w:b/>
        </w:rPr>
        <w:t>L</w:t>
      </w:r>
      <w:r w:rsidR="00AC4938" w:rsidRPr="001A0249">
        <w:rPr>
          <w:rFonts w:ascii="Arial" w:hAnsi="Arial" w:cs="Arial"/>
          <w:b/>
        </w:rPr>
        <w:t>a presión tributaria</w:t>
      </w:r>
      <w:r w:rsidRPr="001A0249">
        <w:rPr>
          <w:rFonts w:ascii="Arial" w:hAnsi="Arial" w:cs="Arial"/>
          <w:b/>
        </w:rPr>
        <w:t xml:space="preserve"> creció por segundo año consecutivo y</w:t>
      </w:r>
      <w:r w:rsidR="00AC4938" w:rsidRPr="001A0249">
        <w:rPr>
          <w:rFonts w:ascii="Arial" w:hAnsi="Arial" w:cs="Arial"/>
          <w:b/>
        </w:rPr>
        <w:t xml:space="preserve"> </w:t>
      </w:r>
      <w:r w:rsidRPr="001A0249">
        <w:rPr>
          <w:rFonts w:ascii="Arial" w:hAnsi="Arial" w:cs="Arial"/>
          <w:b/>
        </w:rPr>
        <w:t xml:space="preserve">alcanzó el </w:t>
      </w:r>
      <w:r w:rsidR="00AC4938" w:rsidRPr="001A0249">
        <w:rPr>
          <w:rFonts w:ascii="Arial" w:hAnsi="Arial" w:cs="Arial"/>
          <w:b/>
        </w:rPr>
        <w:t>14,</w:t>
      </w:r>
      <w:r w:rsidR="009073AC" w:rsidRPr="001A0249">
        <w:rPr>
          <w:rFonts w:ascii="Arial" w:hAnsi="Arial" w:cs="Arial"/>
          <w:b/>
        </w:rPr>
        <w:t>4</w:t>
      </w:r>
      <w:r w:rsidR="00AC4938" w:rsidRPr="001A0249">
        <w:rPr>
          <w:rFonts w:ascii="Arial" w:hAnsi="Arial" w:cs="Arial"/>
          <w:b/>
        </w:rPr>
        <w:t>% del PBI</w:t>
      </w:r>
      <w:r w:rsidR="00AA010D" w:rsidRPr="001A0249">
        <w:rPr>
          <w:rFonts w:ascii="Arial" w:hAnsi="Arial" w:cs="Arial"/>
          <w:b/>
        </w:rPr>
        <w:t xml:space="preserve"> nacional</w:t>
      </w:r>
      <w:r w:rsidRPr="001A0249">
        <w:rPr>
          <w:rFonts w:ascii="Arial" w:hAnsi="Arial" w:cs="Arial"/>
          <w:b/>
        </w:rPr>
        <w:t>.</w:t>
      </w:r>
    </w:p>
    <w:p w14:paraId="12382B27" w14:textId="18A70BAF" w:rsidR="008412ED" w:rsidRPr="001A0249" w:rsidRDefault="00B77E8A" w:rsidP="0000227B">
      <w:pPr>
        <w:ind w:left="284" w:hanging="218"/>
        <w:rPr>
          <w:rFonts w:ascii="Arial" w:hAnsi="Arial" w:cs="Arial"/>
        </w:rPr>
      </w:pPr>
      <w:r w:rsidRPr="001A024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27E2750B" wp14:editId="1735A824">
            <wp:simplePos x="0" y="0"/>
            <wp:positionH relativeFrom="column">
              <wp:posOffset>2745740</wp:posOffset>
            </wp:positionH>
            <wp:positionV relativeFrom="paragraph">
              <wp:posOffset>129540</wp:posOffset>
            </wp:positionV>
            <wp:extent cx="3512185" cy="2378075"/>
            <wp:effectExtent l="0" t="0" r="0" b="317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3AD">
        <w:rPr>
          <w:rFonts w:ascii="Arial" w:hAnsi="Arial" w:cs="Arial"/>
        </w:rPr>
        <w:pict w14:anchorId="0C294FAE">
          <v:rect id="_x0000_i1025" style="width:0;height:1.5pt" o:hralign="center" o:hrstd="t" o:hr="t" fillcolor="#a0a0a0" stroked="f"/>
        </w:pict>
      </w:r>
    </w:p>
    <w:p w14:paraId="0FDC257A" w14:textId="0461026F" w:rsidR="00932603" w:rsidRPr="00BD18F3" w:rsidRDefault="00932603" w:rsidP="0000227B">
      <w:pPr>
        <w:ind w:left="284" w:hanging="218"/>
        <w:rPr>
          <w:rFonts w:ascii="Arial" w:hAnsi="Arial" w:cs="Arial"/>
          <w:b/>
          <w:sz w:val="21"/>
          <w:szCs w:val="21"/>
        </w:rPr>
      </w:pPr>
      <w:r w:rsidRPr="00BD18F3">
        <w:rPr>
          <w:rFonts w:ascii="Arial" w:hAnsi="Arial" w:cs="Arial"/>
          <w:b/>
          <w:sz w:val="21"/>
          <w:szCs w:val="21"/>
        </w:rPr>
        <w:t>Resultados de la recaudación del 201</w:t>
      </w:r>
      <w:r w:rsidR="009073AC" w:rsidRPr="00BD18F3">
        <w:rPr>
          <w:rFonts w:ascii="Arial" w:hAnsi="Arial" w:cs="Arial"/>
          <w:b/>
          <w:sz w:val="21"/>
          <w:szCs w:val="21"/>
        </w:rPr>
        <w:t>9</w:t>
      </w:r>
    </w:p>
    <w:p w14:paraId="264E4EF9" w14:textId="68C08214" w:rsidR="00845BD7" w:rsidRPr="005B5A9D" w:rsidRDefault="008E4015" w:rsidP="0034063A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color w:val="0070C0"/>
          <w:kern w:val="24"/>
          <w:sz w:val="21"/>
          <w:szCs w:val="21"/>
        </w:rPr>
      </w:pPr>
      <w:r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En </w:t>
      </w:r>
      <w:r w:rsidR="00C66E41">
        <w:rPr>
          <w:rFonts w:ascii="Arial" w:hAnsi="Arial" w:cs="Arial"/>
          <w:color w:val="0070C0"/>
          <w:kern w:val="24"/>
          <w:sz w:val="21"/>
          <w:szCs w:val="21"/>
        </w:rPr>
        <w:t xml:space="preserve">el 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>201</w:t>
      </w:r>
      <w:r w:rsidR="009073AC" w:rsidRPr="00BD18F3">
        <w:rPr>
          <w:rFonts w:ascii="Arial" w:hAnsi="Arial" w:cs="Arial"/>
          <w:color w:val="0070C0"/>
          <w:kern w:val="24"/>
          <w:sz w:val="21"/>
          <w:szCs w:val="21"/>
        </w:rPr>
        <w:t>9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, se recaudaron S/ </w:t>
      </w:r>
      <w:r w:rsidRPr="005B5A9D">
        <w:rPr>
          <w:rFonts w:ascii="Arial" w:hAnsi="Arial" w:cs="Arial"/>
          <w:color w:val="0070C0"/>
          <w:kern w:val="24"/>
          <w:sz w:val="21"/>
          <w:szCs w:val="21"/>
        </w:rPr>
        <w:t>1</w:t>
      </w:r>
      <w:r w:rsidR="009073AC" w:rsidRPr="005B5A9D">
        <w:rPr>
          <w:rFonts w:ascii="Arial" w:hAnsi="Arial" w:cs="Arial"/>
          <w:color w:val="0070C0"/>
          <w:kern w:val="24"/>
          <w:sz w:val="21"/>
          <w:szCs w:val="21"/>
        </w:rPr>
        <w:t>10</w:t>
      </w:r>
      <w:r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 </w:t>
      </w:r>
      <w:r w:rsidR="009073AC" w:rsidRPr="005B5A9D">
        <w:rPr>
          <w:rFonts w:ascii="Arial" w:hAnsi="Arial" w:cs="Arial"/>
          <w:color w:val="0070C0"/>
          <w:kern w:val="24"/>
          <w:sz w:val="21"/>
          <w:szCs w:val="21"/>
        </w:rPr>
        <w:t>768</w:t>
      </w:r>
      <w:r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 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>millones de ingresos tributarios del Gobierno Central (descontando las devoluciones de impuestos)</w:t>
      </w:r>
      <w:r w:rsidR="008066C8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</w:t>
      </w:r>
      <w:r w:rsidR="008066C8"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y superando en casi </w:t>
      </w:r>
      <w:r w:rsidR="00F33ED2"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S/ </w:t>
      </w:r>
      <w:r w:rsidR="008066C8"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300 millones </w:t>
      </w:r>
      <w:r w:rsidR="0010218D"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la recaudación </w:t>
      </w:r>
      <w:r w:rsidR="008066C8" w:rsidRPr="005B5A9D">
        <w:rPr>
          <w:rFonts w:ascii="Arial" w:hAnsi="Arial" w:cs="Arial"/>
          <w:color w:val="0070C0"/>
          <w:kern w:val="24"/>
          <w:sz w:val="21"/>
          <w:szCs w:val="21"/>
        </w:rPr>
        <w:t>proyectad</w:t>
      </w:r>
      <w:r w:rsidR="0010218D" w:rsidRPr="005B5A9D">
        <w:rPr>
          <w:rFonts w:ascii="Arial" w:hAnsi="Arial" w:cs="Arial"/>
          <w:color w:val="0070C0"/>
          <w:kern w:val="24"/>
          <w:sz w:val="21"/>
          <w:szCs w:val="21"/>
        </w:rPr>
        <w:t>a</w:t>
      </w:r>
      <w:r w:rsidR="008066C8"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 </w:t>
      </w:r>
      <w:r w:rsidR="00314245" w:rsidRPr="005B5A9D">
        <w:rPr>
          <w:rFonts w:ascii="Arial" w:hAnsi="Arial" w:cs="Arial"/>
          <w:color w:val="0070C0"/>
          <w:kern w:val="24"/>
          <w:sz w:val="21"/>
          <w:szCs w:val="21"/>
        </w:rPr>
        <w:t>de acuerdo a</w:t>
      </w:r>
      <w:r w:rsidR="008066C8" w:rsidRPr="005B5A9D">
        <w:rPr>
          <w:rFonts w:ascii="Arial" w:hAnsi="Arial" w:cs="Arial"/>
          <w:color w:val="0070C0"/>
          <w:kern w:val="24"/>
          <w:sz w:val="21"/>
          <w:szCs w:val="21"/>
        </w:rPr>
        <w:t>l Marco Macroeconómico Multianual (MMM)</w:t>
      </w:r>
      <w:r w:rsidR="0010218D"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 publicado en agosto último.</w:t>
      </w:r>
      <w:r w:rsidR="00845BD7" w:rsidRPr="005B5A9D">
        <w:rPr>
          <w:rFonts w:ascii="Arial" w:hAnsi="Arial" w:cs="Arial"/>
          <w:color w:val="0070C0"/>
          <w:kern w:val="24"/>
          <w:sz w:val="21"/>
          <w:szCs w:val="21"/>
        </w:rPr>
        <w:t xml:space="preserve"> </w:t>
      </w:r>
    </w:p>
    <w:p w14:paraId="7C159E33" w14:textId="05A6DC21" w:rsidR="007D3C58" w:rsidRPr="00BD18F3" w:rsidRDefault="008E4015" w:rsidP="0034063A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color w:val="0070C0"/>
          <w:sz w:val="21"/>
          <w:szCs w:val="21"/>
        </w:rPr>
      </w:pPr>
      <w:r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Dicho importe representa S/ </w:t>
      </w:r>
      <w:r w:rsidR="009073AC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6 178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 xml:space="preserve"> 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>millones más que e</w:t>
      </w:r>
      <w:r w:rsidR="007E1C68">
        <w:rPr>
          <w:rFonts w:ascii="Arial" w:hAnsi="Arial" w:cs="Arial"/>
          <w:color w:val="0070C0"/>
          <w:kern w:val="24"/>
          <w:sz w:val="21"/>
          <w:szCs w:val="21"/>
        </w:rPr>
        <w:t>l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201</w:t>
      </w:r>
      <w:r w:rsidR="009073AC" w:rsidRPr="00BD18F3">
        <w:rPr>
          <w:rFonts w:ascii="Arial" w:hAnsi="Arial" w:cs="Arial"/>
          <w:color w:val="0070C0"/>
          <w:kern w:val="24"/>
          <w:sz w:val="21"/>
          <w:szCs w:val="21"/>
        </w:rPr>
        <w:t>8</w:t>
      </w:r>
      <w:r w:rsidR="0034063A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y equivale a un crecimiento de 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3,</w:t>
      </w:r>
      <w:r w:rsidR="008C2926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7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%</w:t>
      </w:r>
      <w:r w:rsidR="00D57CD9" w:rsidRPr="00BD18F3">
        <w:rPr>
          <w:rStyle w:val="Refdenotaalpie"/>
          <w:rFonts w:ascii="Arial" w:hAnsi="Arial" w:cs="Arial"/>
          <w:bCs/>
          <w:color w:val="0070C0"/>
          <w:kern w:val="24"/>
          <w:sz w:val="21"/>
          <w:szCs w:val="21"/>
        </w:rPr>
        <w:footnoteReference w:id="1"/>
      </w:r>
      <w:r w:rsidR="0034063A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 xml:space="preserve">. </w:t>
      </w:r>
    </w:p>
    <w:p w14:paraId="1C71DC1F" w14:textId="62962FE8" w:rsidR="008E4015" w:rsidRPr="00BD18F3" w:rsidRDefault="00E32235" w:rsidP="00C8715C">
      <w:pPr>
        <w:spacing w:before="240" w:after="24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BD18F3">
        <w:rPr>
          <w:rFonts w:ascii="Arial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670528" behindDoc="0" locked="0" layoutInCell="1" allowOverlap="1" wp14:anchorId="5FBF62D7" wp14:editId="2A3CDA6C">
            <wp:simplePos x="0" y="0"/>
            <wp:positionH relativeFrom="column">
              <wp:posOffset>2861310</wp:posOffset>
            </wp:positionH>
            <wp:positionV relativeFrom="paragraph">
              <wp:posOffset>862965</wp:posOffset>
            </wp:positionV>
            <wp:extent cx="3364230" cy="2025015"/>
            <wp:effectExtent l="0" t="0" r="7620" b="698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63A" w:rsidRPr="00BD18F3">
        <w:rPr>
          <w:rFonts w:ascii="Arial" w:hAnsi="Arial" w:cs="Arial"/>
          <w:bCs/>
          <w:kern w:val="24"/>
          <w:sz w:val="21"/>
          <w:szCs w:val="21"/>
        </w:rPr>
        <w:t>Este re</w:t>
      </w:r>
      <w:r w:rsidR="0034063A" w:rsidRPr="00BD18F3">
        <w:rPr>
          <w:rFonts w:ascii="Arial" w:hAnsi="Arial" w:cs="Arial"/>
          <w:kern w:val="24"/>
          <w:sz w:val="21"/>
          <w:szCs w:val="21"/>
        </w:rPr>
        <w:t xml:space="preserve">sultado positivo </w:t>
      </w:r>
      <w:r w:rsidR="008E4015" w:rsidRPr="00BD18F3">
        <w:rPr>
          <w:rFonts w:ascii="Arial" w:hAnsi="Arial" w:cs="Arial"/>
          <w:kern w:val="24"/>
          <w:sz w:val="21"/>
          <w:szCs w:val="21"/>
        </w:rPr>
        <w:t xml:space="preserve">consolida la tendencia a </w:t>
      </w:r>
      <w:r w:rsidR="008E4015" w:rsidRPr="00BD18F3">
        <w:rPr>
          <w:rFonts w:ascii="Arial" w:hAnsi="Arial" w:cs="Arial"/>
          <w:noProof/>
          <w:sz w:val="21"/>
          <w:szCs w:val="21"/>
        </w:rPr>
        <w:t>la</w:t>
      </w:r>
      <w:r w:rsidR="008E4015" w:rsidRPr="00BD18F3">
        <w:rPr>
          <w:rFonts w:ascii="Arial" w:hAnsi="Arial" w:cs="Arial"/>
          <w:kern w:val="24"/>
          <w:sz w:val="21"/>
          <w:szCs w:val="21"/>
        </w:rPr>
        <w:t xml:space="preserve"> recuperación de la recaudación</w:t>
      </w:r>
      <w:r w:rsidR="00845BD7"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3C49D1" w:rsidRPr="00BD18F3">
        <w:rPr>
          <w:rFonts w:ascii="Arial" w:hAnsi="Arial" w:cs="Arial"/>
          <w:kern w:val="24"/>
          <w:sz w:val="21"/>
          <w:szCs w:val="21"/>
        </w:rPr>
        <w:t>tributaria</w:t>
      </w:r>
      <w:r w:rsidR="0034063A" w:rsidRPr="00BD18F3">
        <w:rPr>
          <w:rFonts w:ascii="Arial" w:hAnsi="Arial" w:cs="Arial"/>
          <w:kern w:val="24"/>
          <w:sz w:val="21"/>
          <w:szCs w:val="21"/>
        </w:rPr>
        <w:t>, luego de las contracciones experimentadas entre 2015 y 2017</w:t>
      </w:r>
      <w:r w:rsidR="008E4015" w:rsidRPr="00BD18F3">
        <w:rPr>
          <w:rFonts w:ascii="Arial" w:hAnsi="Arial" w:cs="Arial"/>
          <w:kern w:val="24"/>
          <w:sz w:val="21"/>
          <w:szCs w:val="21"/>
        </w:rPr>
        <w:t>.</w:t>
      </w:r>
      <w:r w:rsidR="008E4015" w:rsidRPr="00BD18F3">
        <w:rPr>
          <w:rFonts w:ascii="Arial" w:hAnsi="Arial" w:cs="Arial"/>
          <w:noProof/>
          <w:sz w:val="21"/>
          <w:szCs w:val="21"/>
        </w:rPr>
        <w:t xml:space="preserve"> </w:t>
      </w:r>
      <w:r w:rsidR="00845BD7" w:rsidRPr="00BD18F3">
        <w:rPr>
          <w:rFonts w:ascii="Arial" w:hAnsi="Arial" w:cs="Arial"/>
          <w:noProof/>
          <w:sz w:val="21"/>
          <w:szCs w:val="21"/>
        </w:rPr>
        <w:t xml:space="preserve"> </w:t>
      </w:r>
      <w:r w:rsidR="007D3C58" w:rsidRPr="00BD18F3">
        <w:rPr>
          <w:rFonts w:ascii="Arial" w:hAnsi="Arial" w:cs="Arial"/>
          <w:noProof/>
          <w:sz w:val="21"/>
          <w:szCs w:val="21"/>
        </w:rPr>
        <w:t xml:space="preserve">Asimismo, </w:t>
      </w:r>
      <w:r w:rsidR="00845BD7" w:rsidRPr="00BD18F3">
        <w:rPr>
          <w:rFonts w:ascii="Arial" w:hAnsi="Arial" w:cs="Arial"/>
          <w:noProof/>
          <w:sz w:val="21"/>
          <w:szCs w:val="21"/>
        </w:rPr>
        <w:t xml:space="preserve">el </w:t>
      </w:r>
      <w:r w:rsidR="007D3C58" w:rsidRPr="00BD18F3">
        <w:rPr>
          <w:rFonts w:ascii="Arial" w:hAnsi="Arial" w:cs="Arial"/>
          <w:noProof/>
          <w:sz w:val="21"/>
          <w:szCs w:val="21"/>
        </w:rPr>
        <w:t xml:space="preserve">incremento </w:t>
      </w:r>
      <w:r w:rsidR="00845BD7" w:rsidRPr="00BD18F3">
        <w:rPr>
          <w:rFonts w:ascii="Arial" w:hAnsi="Arial" w:cs="Arial"/>
          <w:noProof/>
          <w:sz w:val="21"/>
          <w:szCs w:val="21"/>
        </w:rPr>
        <w:t xml:space="preserve">de la recaudación reportado ha sido obtenido </w:t>
      </w:r>
      <w:r w:rsidR="002E4C59" w:rsidRPr="00BD18F3">
        <w:rPr>
          <w:rFonts w:ascii="Arial" w:hAnsi="Arial" w:cs="Arial"/>
          <w:noProof/>
          <w:sz w:val="21"/>
          <w:szCs w:val="21"/>
        </w:rPr>
        <w:t>aún cuando</w:t>
      </w:r>
      <w:r w:rsidR="00845BD7" w:rsidRPr="00BD18F3">
        <w:rPr>
          <w:rFonts w:ascii="Arial" w:hAnsi="Arial" w:cs="Arial"/>
          <w:noProof/>
          <w:sz w:val="21"/>
          <w:szCs w:val="21"/>
        </w:rPr>
        <w:t xml:space="preserve"> </w:t>
      </w:r>
      <w:r w:rsidR="0010432F" w:rsidRPr="00BD18F3">
        <w:rPr>
          <w:rFonts w:ascii="Arial" w:hAnsi="Arial" w:cs="Arial"/>
          <w:noProof/>
          <w:sz w:val="21"/>
          <w:szCs w:val="21"/>
        </w:rPr>
        <w:t xml:space="preserve">el crecimiento </w:t>
      </w:r>
      <w:r w:rsidR="007D3C58" w:rsidRPr="00BD18F3">
        <w:rPr>
          <w:rFonts w:ascii="Arial" w:hAnsi="Arial" w:cs="Arial"/>
          <w:noProof/>
          <w:sz w:val="21"/>
          <w:szCs w:val="21"/>
        </w:rPr>
        <w:t xml:space="preserve">anual </w:t>
      </w:r>
      <w:r w:rsidR="0010432F" w:rsidRPr="00BD18F3">
        <w:rPr>
          <w:rFonts w:ascii="Arial" w:hAnsi="Arial" w:cs="Arial"/>
          <w:noProof/>
          <w:sz w:val="21"/>
          <w:szCs w:val="21"/>
        </w:rPr>
        <w:t xml:space="preserve">del PBI </w:t>
      </w:r>
      <w:r w:rsidR="007D3C58" w:rsidRPr="00BD18F3">
        <w:rPr>
          <w:rFonts w:ascii="Arial" w:hAnsi="Arial" w:cs="Arial"/>
          <w:noProof/>
          <w:sz w:val="21"/>
          <w:szCs w:val="21"/>
        </w:rPr>
        <w:t xml:space="preserve">del año 2019 sería </w:t>
      </w:r>
      <w:r w:rsidR="003C49D1" w:rsidRPr="00BD18F3">
        <w:rPr>
          <w:rFonts w:ascii="Arial" w:hAnsi="Arial" w:cs="Arial"/>
          <w:noProof/>
          <w:sz w:val="21"/>
          <w:szCs w:val="21"/>
        </w:rPr>
        <w:t>inferior al inicialmente proyectado</w:t>
      </w:r>
      <w:r w:rsidR="0010432F" w:rsidRPr="00BD18F3">
        <w:rPr>
          <w:rFonts w:ascii="Arial" w:hAnsi="Arial" w:cs="Arial"/>
          <w:noProof/>
          <w:sz w:val="21"/>
          <w:szCs w:val="21"/>
        </w:rPr>
        <w:t>, lo cu</w:t>
      </w:r>
      <w:r w:rsidR="0095447D">
        <w:rPr>
          <w:rFonts w:ascii="Arial" w:hAnsi="Arial" w:cs="Arial"/>
          <w:noProof/>
          <w:sz w:val="21"/>
          <w:szCs w:val="21"/>
        </w:rPr>
        <w:t>a</w:t>
      </w:r>
      <w:r w:rsidR="0010432F" w:rsidRPr="00BD18F3">
        <w:rPr>
          <w:rFonts w:ascii="Arial" w:hAnsi="Arial" w:cs="Arial"/>
          <w:noProof/>
          <w:sz w:val="21"/>
          <w:szCs w:val="21"/>
        </w:rPr>
        <w:t>l refleja</w:t>
      </w:r>
      <w:r w:rsidR="007D3C58" w:rsidRPr="00BD18F3">
        <w:rPr>
          <w:rFonts w:ascii="Arial" w:hAnsi="Arial" w:cs="Arial"/>
          <w:noProof/>
          <w:sz w:val="21"/>
          <w:szCs w:val="21"/>
        </w:rPr>
        <w:t xml:space="preserve"> </w:t>
      </w:r>
      <w:r w:rsidR="00C8715C" w:rsidRPr="00BD18F3">
        <w:rPr>
          <w:rFonts w:ascii="Arial" w:hAnsi="Arial" w:cs="Arial"/>
          <w:noProof/>
          <w:sz w:val="21"/>
          <w:szCs w:val="21"/>
        </w:rPr>
        <w:t xml:space="preserve">la importacia de las </w:t>
      </w:r>
      <w:r w:rsidR="0010432F" w:rsidRPr="00BD18F3">
        <w:rPr>
          <w:rFonts w:ascii="Arial" w:hAnsi="Arial" w:cs="Arial"/>
          <w:noProof/>
          <w:sz w:val="21"/>
          <w:szCs w:val="21"/>
        </w:rPr>
        <w:t xml:space="preserve">acciones </w:t>
      </w:r>
      <w:r w:rsidR="003C49D1" w:rsidRPr="00BD18F3">
        <w:rPr>
          <w:rFonts w:ascii="Arial" w:hAnsi="Arial" w:cs="Arial"/>
          <w:noProof/>
          <w:sz w:val="21"/>
          <w:szCs w:val="21"/>
        </w:rPr>
        <w:t>orientadas a la mejora del cumplimiento</w:t>
      </w:r>
      <w:r w:rsidR="006F0E55" w:rsidRPr="00BD18F3">
        <w:rPr>
          <w:rFonts w:ascii="Arial" w:hAnsi="Arial" w:cs="Arial"/>
          <w:noProof/>
          <w:sz w:val="21"/>
          <w:szCs w:val="21"/>
        </w:rPr>
        <w:t xml:space="preserve"> </w:t>
      </w:r>
      <w:r w:rsidR="00C8715C" w:rsidRPr="00BD18F3">
        <w:rPr>
          <w:rFonts w:ascii="Arial" w:hAnsi="Arial" w:cs="Arial"/>
          <w:noProof/>
          <w:sz w:val="21"/>
          <w:szCs w:val="21"/>
        </w:rPr>
        <w:t xml:space="preserve">llevadas a cabo por </w:t>
      </w:r>
      <w:r w:rsidR="0010432F" w:rsidRPr="00BD18F3">
        <w:rPr>
          <w:rFonts w:ascii="Arial" w:hAnsi="Arial" w:cs="Arial"/>
          <w:noProof/>
          <w:sz w:val="21"/>
          <w:szCs w:val="21"/>
        </w:rPr>
        <w:t>la SUNAT</w:t>
      </w:r>
      <w:r w:rsidR="00C8715C" w:rsidRPr="00BD18F3">
        <w:rPr>
          <w:rFonts w:ascii="Arial" w:hAnsi="Arial" w:cs="Arial"/>
          <w:noProof/>
          <w:sz w:val="21"/>
          <w:szCs w:val="21"/>
        </w:rPr>
        <w:t xml:space="preserve"> durante</w:t>
      </w:r>
      <w:r w:rsidR="00845BD7" w:rsidRPr="00BD18F3">
        <w:rPr>
          <w:rFonts w:ascii="Arial" w:hAnsi="Arial" w:cs="Arial"/>
          <w:noProof/>
          <w:sz w:val="21"/>
          <w:szCs w:val="21"/>
        </w:rPr>
        <w:t xml:space="preserve"> el año</w:t>
      </w:r>
      <w:r w:rsidR="0010432F" w:rsidRPr="00BD18F3">
        <w:rPr>
          <w:rFonts w:ascii="Arial" w:hAnsi="Arial" w:cs="Arial"/>
          <w:noProof/>
          <w:sz w:val="21"/>
          <w:szCs w:val="21"/>
        </w:rPr>
        <w:t>.</w:t>
      </w:r>
      <w:r w:rsidR="00845BD7" w:rsidRPr="00BD18F3">
        <w:rPr>
          <w:rFonts w:ascii="Arial" w:hAnsi="Arial" w:cs="Arial"/>
          <w:noProof/>
          <w:sz w:val="21"/>
          <w:szCs w:val="21"/>
        </w:rPr>
        <w:t xml:space="preserve"> </w:t>
      </w:r>
    </w:p>
    <w:p w14:paraId="152D4176" w14:textId="0E0F46D4" w:rsidR="008E4015" w:rsidRPr="00BD18F3" w:rsidRDefault="007D3C58" w:rsidP="00155699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sz w:val="21"/>
          <w:szCs w:val="21"/>
        </w:rPr>
      </w:pP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La</w:t>
      </w:r>
      <w:r w:rsidR="008E4015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presión tributaria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del 2019 </w:t>
      </w:r>
      <w:r w:rsidR="005619F3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alcanzaría</w:t>
      </w:r>
      <w:r w:rsidR="008E4015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</w:t>
      </w:r>
      <w:r w:rsidR="008E4015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14,</w:t>
      </w:r>
      <w:r w:rsidR="0010432F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4</w:t>
      </w:r>
      <w:r w:rsidR="008E4015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%</w:t>
      </w:r>
      <w:r w:rsidR="0000227B" w:rsidRPr="00BD18F3">
        <w:rPr>
          <w:rStyle w:val="Refdenotaalpie"/>
          <w:rFonts w:ascii="Arial" w:hAnsi="Arial" w:cs="Arial"/>
          <w:bCs/>
          <w:color w:val="0070C0"/>
          <w:kern w:val="24"/>
          <w:sz w:val="21"/>
          <w:szCs w:val="21"/>
          <w:lang w:val="es-ES"/>
        </w:rPr>
        <w:footnoteReference w:id="2"/>
      </w:r>
      <w:r w:rsidR="00155699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 xml:space="preserve">. </w:t>
      </w:r>
      <w:r w:rsidR="00155699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>Dicho</w:t>
      </w:r>
      <w:r w:rsidR="00C8715C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 </w:t>
      </w:r>
      <w:r w:rsidR="003531BB" w:rsidRPr="00BD18F3">
        <w:rPr>
          <w:rFonts w:ascii="Arial" w:hAnsi="Arial" w:cs="Arial"/>
          <w:kern w:val="24"/>
          <w:sz w:val="21"/>
          <w:szCs w:val="21"/>
          <w:lang w:val="es-ES"/>
        </w:rPr>
        <w:t>nivel</w:t>
      </w:r>
      <w:r w:rsidR="00F14A2E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155699" w:rsidRPr="00BD18F3">
        <w:rPr>
          <w:rFonts w:ascii="Arial" w:hAnsi="Arial" w:cs="Arial"/>
          <w:sz w:val="21"/>
          <w:szCs w:val="21"/>
        </w:rPr>
        <w:t>representa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un </w:t>
      </w:r>
      <w:r w:rsidR="0010432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incremento 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de </w:t>
      </w:r>
      <w:r w:rsidR="0010432F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>0</w:t>
      </w:r>
      <w:r w:rsidR="008E4015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>,</w:t>
      </w:r>
      <w:r w:rsidR="0010432F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>3</w:t>
      </w:r>
      <w:r w:rsidR="008E4015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 pp.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8E4015" w:rsidRPr="00BD18F3">
        <w:rPr>
          <w:rFonts w:ascii="Arial" w:hAnsi="Arial" w:cs="Arial"/>
          <w:kern w:val="24"/>
          <w:sz w:val="21"/>
          <w:szCs w:val="21"/>
        </w:rPr>
        <w:t>respecto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155699" w:rsidRPr="00BD18F3">
        <w:rPr>
          <w:rFonts w:ascii="Arial" w:hAnsi="Arial" w:cs="Arial"/>
          <w:kern w:val="24"/>
          <w:sz w:val="21"/>
          <w:szCs w:val="21"/>
          <w:lang w:val="es-ES"/>
        </w:rPr>
        <w:t>de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la </w:t>
      </w:r>
      <w:r w:rsidR="003531BB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presión 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>registrada</w:t>
      </w:r>
      <w:r w:rsidR="0027242C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>el 201</w:t>
      </w:r>
      <w:r w:rsidR="0010432F" w:rsidRPr="00BD18F3">
        <w:rPr>
          <w:rFonts w:ascii="Arial" w:hAnsi="Arial" w:cs="Arial"/>
          <w:kern w:val="24"/>
          <w:sz w:val="21"/>
          <w:szCs w:val="21"/>
          <w:lang w:val="es-ES"/>
        </w:rPr>
        <w:t>8</w:t>
      </w:r>
      <w:r w:rsidR="008E40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, </w:t>
      </w:r>
      <w:r w:rsidR="0010432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manteniéndose la tendencia de recuperación </w:t>
      </w:r>
      <w:r w:rsidR="005619F3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observada </w:t>
      </w:r>
      <w:r w:rsidR="007E1C68">
        <w:rPr>
          <w:rFonts w:ascii="Arial" w:hAnsi="Arial" w:cs="Arial"/>
          <w:kern w:val="24"/>
          <w:sz w:val="21"/>
          <w:szCs w:val="21"/>
          <w:lang w:val="es-ES"/>
        </w:rPr>
        <w:t>ese año.</w:t>
      </w:r>
    </w:p>
    <w:p w14:paraId="7E7DE3DB" w14:textId="66BB662C" w:rsidR="002F0C2F" w:rsidRPr="00BD18F3" w:rsidRDefault="002F0C2F" w:rsidP="0034063A">
      <w:pPr>
        <w:spacing w:before="240" w:after="240" w:line="240" w:lineRule="auto"/>
        <w:rPr>
          <w:rFonts w:ascii="Arial" w:hAnsi="Arial" w:cs="Arial"/>
          <w:sz w:val="21"/>
          <w:szCs w:val="21"/>
        </w:rPr>
      </w:pPr>
    </w:p>
    <w:p w14:paraId="3E4B88BE" w14:textId="72C9A3EE" w:rsidR="00155699" w:rsidRPr="00BD18F3" w:rsidRDefault="00155699" w:rsidP="0034063A">
      <w:pPr>
        <w:spacing w:before="240" w:after="240" w:line="240" w:lineRule="auto"/>
        <w:rPr>
          <w:rFonts w:ascii="Arial" w:hAnsi="Arial" w:cs="Arial"/>
          <w:sz w:val="21"/>
          <w:szCs w:val="21"/>
        </w:rPr>
      </w:pPr>
    </w:p>
    <w:p w14:paraId="3CA2E988" w14:textId="50E5DADA" w:rsidR="00155699" w:rsidRPr="00BD18F3" w:rsidRDefault="00155699" w:rsidP="0034063A">
      <w:pPr>
        <w:spacing w:before="240" w:after="240" w:line="240" w:lineRule="auto"/>
        <w:rPr>
          <w:rFonts w:ascii="Arial" w:hAnsi="Arial" w:cs="Arial"/>
          <w:sz w:val="21"/>
          <w:szCs w:val="21"/>
        </w:rPr>
      </w:pPr>
    </w:p>
    <w:p w14:paraId="3E9B5580" w14:textId="7151DA09" w:rsidR="003531BB" w:rsidRPr="00BD18F3" w:rsidRDefault="00155699" w:rsidP="003A63C4">
      <w:pPr>
        <w:spacing w:before="240" w:after="240" w:line="240" w:lineRule="auto"/>
        <w:ind w:left="284" w:hanging="218"/>
        <w:rPr>
          <w:rFonts w:ascii="Arial" w:hAnsi="Arial" w:cs="Arial"/>
          <w:b/>
          <w:sz w:val="21"/>
          <w:szCs w:val="21"/>
        </w:rPr>
      </w:pPr>
      <w:r w:rsidRPr="00BD18F3">
        <w:rPr>
          <w:rFonts w:ascii="Arial" w:hAnsi="Arial" w:cs="Arial"/>
          <w:b/>
          <w:noProof/>
          <w:sz w:val="21"/>
          <w:szCs w:val="21"/>
          <w:lang w:val="en-US"/>
        </w:rPr>
        <w:lastRenderedPageBreak/>
        <w:drawing>
          <wp:anchor distT="0" distB="0" distL="114300" distR="114300" simplePos="0" relativeHeight="251694080" behindDoc="0" locked="0" layoutInCell="1" allowOverlap="1" wp14:anchorId="423B4E82" wp14:editId="4A0FC43C">
            <wp:simplePos x="0" y="0"/>
            <wp:positionH relativeFrom="margin">
              <wp:posOffset>2635885</wp:posOffset>
            </wp:positionH>
            <wp:positionV relativeFrom="paragraph">
              <wp:posOffset>0</wp:posOffset>
            </wp:positionV>
            <wp:extent cx="3740150" cy="2268220"/>
            <wp:effectExtent l="0" t="0" r="0" b="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C2F" w:rsidRPr="00BD18F3">
        <w:rPr>
          <w:rFonts w:ascii="Arial" w:hAnsi="Arial" w:cs="Arial"/>
          <w:b/>
          <w:sz w:val="21"/>
          <w:szCs w:val="21"/>
        </w:rPr>
        <w:t>Principales resultados por tributos</w:t>
      </w:r>
    </w:p>
    <w:p w14:paraId="682BE823" w14:textId="5542038A" w:rsidR="00D57CD9" w:rsidRPr="00BD18F3" w:rsidRDefault="00D57CD9" w:rsidP="00822B07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color w:val="0070C0"/>
          <w:kern w:val="24"/>
          <w:sz w:val="21"/>
          <w:szCs w:val="21"/>
        </w:rPr>
        <w:t>En</w:t>
      </w:r>
      <w:r w:rsidR="002F0C2F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lo que respecta al </w:t>
      </w:r>
      <w:r w:rsidR="005619F3" w:rsidRPr="00BD18F3">
        <w:rPr>
          <w:rFonts w:ascii="Arial" w:hAnsi="Arial" w:cs="Arial"/>
          <w:color w:val="0070C0"/>
          <w:kern w:val="24"/>
          <w:sz w:val="21"/>
          <w:szCs w:val="21"/>
        </w:rPr>
        <w:t>Im</w:t>
      </w:r>
      <w:r w:rsidR="002F0C2F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puesto a la </w:t>
      </w:r>
      <w:r w:rsidR="005619F3" w:rsidRPr="00BD18F3">
        <w:rPr>
          <w:rFonts w:ascii="Arial" w:hAnsi="Arial" w:cs="Arial"/>
          <w:color w:val="0070C0"/>
          <w:kern w:val="24"/>
          <w:sz w:val="21"/>
          <w:szCs w:val="21"/>
        </w:rPr>
        <w:t>R</w:t>
      </w:r>
      <w:r w:rsidR="002F0C2F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enta, 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se 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recaudaron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S/ 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4</w:t>
      </w:r>
      <w:r w:rsidR="001F1FDF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4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 xml:space="preserve"> </w:t>
      </w:r>
      <w:r w:rsidR="001F1FDF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015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 xml:space="preserve"> 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>m</w:t>
      </w:r>
      <w:r w:rsidR="00F05C72" w:rsidRPr="00BD18F3">
        <w:rPr>
          <w:rFonts w:ascii="Arial" w:hAnsi="Arial" w:cs="Arial"/>
          <w:color w:val="0070C0"/>
          <w:kern w:val="24"/>
          <w:sz w:val="21"/>
          <w:szCs w:val="21"/>
        </w:rPr>
        <w:t>illones</w:t>
      </w:r>
      <w:r w:rsidR="004F68EF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durante el 2019</w:t>
      </w:r>
      <w:r w:rsidR="00F05C72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, </w:t>
      </w:r>
      <w:r w:rsidR="005619F3" w:rsidRPr="00BD18F3">
        <w:rPr>
          <w:rFonts w:ascii="Arial" w:hAnsi="Arial" w:cs="Arial"/>
          <w:color w:val="0070C0"/>
          <w:kern w:val="24"/>
          <w:sz w:val="21"/>
          <w:szCs w:val="21"/>
        </w:rPr>
        <w:t>importe</w:t>
      </w:r>
      <w:r w:rsidR="0099594D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</w:t>
      </w:r>
      <w:r w:rsidR="00F05C72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que 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significó un </w:t>
      </w:r>
      <w:r w:rsidR="00907642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increment</w:t>
      </w:r>
      <w:r w:rsidR="005619F3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o</w:t>
      </w:r>
      <w:r w:rsidR="00907642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de </w:t>
      </w:r>
      <w:r w:rsidR="001F1FDF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3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,</w:t>
      </w:r>
      <w:r w:rsidR="001F1FDF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5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%</w:t>
      </w:r>
      <w:r w:rsidR="00F05C72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 xml:space="preserve"> </w:t>
      </w:r>
      <w:r w:rsidR="00F05C72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y </w:t>
      </w:r>
      <w:r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S/ </w:t>
      </w:r>
      <w:r w:rsidR="001F1FDF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>2 417</w:t>
      </w:r>
      <w:r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 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millones </w:t>
      </w:r>
      <w:r w:rsidR="00F05C72" w:rsidRPr="00BD18F3">
        <w:rPr>
          <w:rFonts w:ascii="Arial" w:hAnsi="Arial" w:cs="Arial"/>
          <w:kern w:val="24"/>
          <w:sz w:val="21"/>
          <w:szCs w:val="21"/>
          <w:lang w:val="es-ES"/>
        </w:rPr>
        <w:t>de recaudación adicional con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respecto al año 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>previo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>.</w:t>
      </w:r>
    </w:p>
    <w:p w14:paraId="72165EEE" w14:textId="7AD4EB73" w:rsidR="00D57CD9" w:rsidRPr="00BD18F3" w:rsidRDefault="00BD18F3" w:rsidP="00822B07">
      <w:pPr>
        <w:spacing w:before="240" w:after="240"/>
        <w:ind w:left="284"/>
        <w:jc w:val="both"/>
        <w:rPr>
          <w:rFonts w:ascii="Arial" w:hAnsi="Arial" w:cs="Arial"/>
          <w:kern w:val="24"/>
          <w:sz w:val="21"/>
          <w:szCs w:val="21"/>
          <w:lang w:val="es-ES"/>
        </w:rPr>
      </w:pPr>
      <w:r w:rsidRPr="00BD18F3">
        <w:rPr>
          <w:rFonts w:ascii="Arial" w:eastAsia="Times New Roman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696128" behindDoc="0" locked="0" layoutInCell="1" allowOverlap="1" wp14:anchorId="51D90484" wp14:editId="2316E1A4">
            <wp:simplePos x="0" y="0"/>
            <wp:positionH relativeFrom="column">
              <wp:posOffset>2642235</wp:posOffset>
            </wp:positionH>
            <wp:positionV relativeFrom="paragraph">
              <wp:posOffset>1454785</wp:posOffset>
            </wp:positionV>
            <wp:extent cx="3604260" cy="2545080"/>
            <wp:effectExtent l="0" t="0" r="0" b="762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93">
        <w:rPr>
          <w:rFonts w:ascii="Arial" w:hAnsi="Arial" w:cs="Arial"/>
          <w:kern w:val="24"/>
          <w:sz w:val="21"/>
          <w:szCs w:val="21"/>
          <w:lang w:val="es-ES"/>
        </w:rPr>
        <w:t>Ese incremento se debe a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los mayores pagos en </w:t>
      </w:r>
      <w:r w:rsidR="005619F3" w:rsidRPr="00BD18F3">
        <w:rPr>
          <w:rFonts w:ascii="Arial" w:hAnsi="Arial" w:cs="Arial"/>
          <w:kern w:val="24"/>
          <w:sz w:val="21"/>
          <w:szCs w:val="21"/>
          <w:lang w:val="es-ES"/>
        </w:rPr>
        <w:t>la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>Segunda Categoría (33,2</w:t>
      </w:r>
      <w:r w:rsidR="00F33ED2">
        <w:rPr>
          <w:rFonts w:ascii="Arial" w:hAnsi="Arial" w:cs="Arial"/>
          <w:kern w:val="24"/>
          <w:sz w:val="21"/>
          <w:szCs w:val="21"/>
          <w:lang w:val="es-ES"/>
        </w:rPr>
        <w:t>%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>), No Domiciliados (13,7</w:t>
      </w:r>
      <w:r w:rsidR="00F33ED2">
        <w:rPr>
          <w:rFonts w:ascii="Arial" w:hAnsi="Arial" w:cs="Arial"/>
          <w:kern w:val="24"/>
          <w:sz w:val="21"/>
          <w:szCs w:val="21"/>
          <w:lang w:val="es-ES"/>
        </w:rPr>
        <w:t>%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>) y Quinta Categoría (</w:t>
      </w:r>
      <w:r w:rsidR="004F68EF" w:rsidRPr="00BD18F3">
        <w:rPr>
          <w:rFonts w:ascii="Arial" w:hAnsi="Arial" w:cs="Arial"/>
          <w:kern w:val="24"/>
          <w:sz w:val="21"/>
          <w:szCs w:val="21"/>
          <w:lang w:val="es-ES"/>
        </w:rPr>
        <w:t>4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>,3</w:t>
      </w:r>
      <w:r w:rsidR="00F33ED2">
        <w:rPr>
          <w:rFonts w:ascii="Arial" w:hAnsi="Arial" w:cs="Arial"/>
          <w:kern w:val="24"/>
          <w:sz w:val="21"/>
          <w:szCs w:val="21"/>
          <w:lang w:val="es-ES"/>
        </w:rPr>
        <w:t>%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>)</w:t>
      </w:r>
      <w:r w:rsidR="00AC01C8" w:rsidRPr="00BD18F3">
        <w:rPr>
          <w:rFonts w:ascii="Arial" w:hAnsi="Arial" w:cs="Arial"/>
          <w:kern w:val="24"/>
          <w:sz w:val="21"/>
          <w:szCs w:val="21"/>
          <w:lang w:val="es-ES"/>
        </w:rPr>
        <w:t>;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B033C0" w:rsidRPr="00BD18F3">
        <w:rPr>
          <w:rFonts w:ascii="Arial" w:hAnsi="Arial" w:cs="Arial"/>
          <w:kern w:val="24"/>
          <w:sz w:val="21"/>
          <w:szCs w:val="21"/>
          <w:lang w:val="es-ES"/>
        </w:rPr>
        <w:t>rubros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>en los que se registraron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importantes pagos extraordinarios 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 lo largo del año, 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producto de 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las 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acciones de </w:t>
      </w:r>
      <w:r w:rsidR="00822B07" w:rsidRPr="00BD18F3">
        <w:rPr>
          <w:rFonts w:ascii="Arial" w:hAnsi="Arial" w:cs="Arial"/>
          <w:kern w:val="24"/>
          <w:sz w:val="21"/>
          <w:szCs w:val="21"/>
          <w:lang w:val="es-ES"/>
        </w:rPr>
        <w:t>SUNAT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y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de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la 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>venta de activos</w:t>
      </w:r>
      <w:r w:rsidR="00B033C0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por montos significativos</w:t>
      </w:r>
      <w:r w:rsidR="00907642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por parte de los contribuyentes</w:t>
      </w:r>
      <w:r w:rsidR="001F1FD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. </w:t>
      </w:r>
    </w:p>
    <w:p w14:paraId="216CD35D" w14:textId="58DBF77E" w:rsidR="009C54F2" w:rsidRPr="00BD18F3" w:rsidRDefault="00D57CD9" w:rsidP="001A0249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kern w:val="24"/>
          <w:sz w:val="21"/>
          <w:szCs w:val="21"/>
        </w:rPr>
        <w:t>En</w:t>
      </w:r>
      <w:r w:rsidR="00F2628F"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1A0249" w:rsidRPr="00BD18F3">
        <w:rPr>
          <w:rFonts w:ascii="Arial" w:hAnsi="Arial" w:cs="Arial"/>
          <w:kern w:val="24"/>
          <w:sz w:val="21"/>
          <w:szCs w:val="21"/>
        </w:rPr>
        <w:t>cuanto</w:t>
      </w:r>
      <w:r w:rsidR="00F2628F" w:rsidRPr="00BD18F3">
        <w:rPr>
          <w:rFonts w:ascii="Arial" w:hAnsi="Arial" w:cs="Arial"/>
          <w:kern w:val="24"/>
          <w:sz w:val="21"/>
          <w:szCs w:val="21"/>
        </w:rPr>
        <w:t xml:space="preserve"> a los pagos a cuenta del Régimen General (RG) y el Régimen Mype Tributario</w:t>
      </w:r>
      <w:r w:rsidR="0079330A" w:rsidRPr="00BD18F3">
        <w:rPr>
          <w:rFonts w:ascii="Arial" w:hAnsi="Arial" w:cs="Arial"/>
          <w:kern w:val="24"/>
          <w:sz w:val="21"/>
          <w:szCs w:val="21"/>
        </w:rPr>
        <w:t xml:space="preserve"> del Impuesto a la Renta de la Tercera Categoría</w:t>
      </w:r>
      <w:r w:rsidR="00F2628F" w:rsidRPr="00BD18F3">
        <w:rPr>
          <w:rFonts w:ascii="Arial" w:hAnsi="Arial" w:cs="Arial"/>
          <w:kern w:val="24"/>
          <w:sz w:val="21"/>
          <w:szCs w:val="21"/>
        </w:rPr>
        <w:t xml:space="preserve">, en el </w:t>
      </w:r>
      <w:r w:rsidR="00C14E68" w:rsidRPr="00BD18F3">
        <w:rPr>
          <w:rFonts w:ascii="Arial" w:hAnsi="Arial" w:cs="Arial"/>
          <w:kern w:val="24"/>
          <w:sz w:val="21"/>
          <w:szCs w:val="21"/>
        </w:rPr>
        <w:t>año 2019</w:t>
      </w:r>
      <w:r w:rsidRPr="00BD18F3">
        <w:rPr>
          <w:rFonts w:ascii="Arial" w:hAnsi="Arial" w:cs="Arial"/>
          <w:kern w:val="24"/>
          <w:sz w:val="21"/>
          <w:szCs w:val="21"/>
        </w:rPr>
        <w:t xml:space="preserve"> se recaudaron S/ </w:t>
      </w:r>
      <w:r w:rsidR="009C54F2" w:rsidRPr="00BD18F3">
        <w:rPr>
          <w:rFonts w:ascii="Arial" w:hAnsi="Arial" w:cs="Arial"/>
          <w:kern w:val="24"/>
          <w:sz w:val="21"/>
          <w:szCs w:val="21"/>
        </w:rPr>
        <w:t>19 088</w:t>
      </w:r>
      <w:r w:rsidR="00F2628F" w:rsidRPr="00BD18F3">
        <w:rPr>
          <w:rFonts w:ascii="Arial" w:hAnsi="Arial" w:cs="Arial"/>
          <w:kern w:val="24"/>
          <w:sz w:val="21"/>
          <w:szCs w:val="21"/>
        </w:rPr>
        <w:t xml:space="preserve"> millones, </w:t>
      </w:r>
      <w:r w:rsidR="00AB49F5" w:rsidRPr="00BD18F3">
        <w:rPr>
          <w:rFonts w:ascii="Arial" w:hAnsi="Arial" w:cs="Arial"/>
          <w:kern w:val="24"/>
          <w:sz w:val="21"/>
          <w:szCs w:val="21"/>
        </w:rPr>
        <w:t>lo que permitió obtener un</w:t>
      </w:r>
      <w:r w:rsidR="009C54F2" w:rsidRPr="00BD18F3">
        <w:rPr>
          <w:rFonts w:ascii="Arial" w:hAnsi="Arial" w:cs="Arial"/>
          <w:kern w:val="24"/>
          <w:sz w:val="21"/>
          <w:szCs w:val="21"/>
        </w:rPr>
        <w:t xml:space="preserve"> crecimiento de 0</w:t>
      </w:r>
      <w:r w:rsidR="00426E1B" w:rsidRPr="00BD18F3">
        <w:rPr>
          <w:rFonts w:ascii="Arial" w:hAnsi="Arial" w:cs="Arial"/>
          <w:kern w:val="24"/>
          <w:sz w:val="21"/>
          <w:szCs w:val="21"/>
        </w:rPr>
        <w:t>,</w:t>
      </w:r>
      <w:r w:rsidR="009C54F2" w:rsidRPr="00BD18F3">
        <w:rPr>
          <w:rFonts w:ascii="Arial" w:hAnsi="Arial" w:cs="Arial"/>
          <w:kern w:val="24"/>
          <w:sz w:val="21"/>
          <w:szCs w:val="21"/>
        </w:rPr>
        <w:t>5</w:t>
      </w:r>
      <w:r w:rsidR="00426E1B" w:rsidRPr="00BD18F3">
        <w:rPr>
          <w:rFonts w:ascii="Arial" w:hAnsi="Arial" w:cs="Arial"/>
          <w:kern w:val="24"/>
          <w:sz w:val="21"/>
          <w:szCs w:val="21"/>
        </w:rPr>
        <w:t>%</w:t>
      </w:r>
      <w:r w:rsidR="00B033C0" w:rsidRPr="00BD18F3">
        <w:rPr>
          <w:rFonts w:ascii="Arial" w:hAnsi="Arial" w:cs="Arial"/>
          <w:kern w:val="24"/>
          <w:sz w:val="21"/>
          <w:szCs w:val="21"/>
        </w:rPr>
        <w:t xml:space="preserve"> en la recaudación anual</w:t>
      </w:r>
      <w:r w:rsidR="009C54F2" w:rsidRPr="00BD18F3">
        <w:rPr>
          <w:rFonts w:ascii="Arial" w:hAnsi="Arial" w:cs="Arial"/>
          <w:kern w:val="24"/>
          <w:sz w:val="21"/>
          <w:szCs w:val="21"/>
        </w:rPr>
        <w:t>.</w:t>
      </w:r>
    </w:p>
    <w:p w14:paraId="30DF263D" w14:textId="3896A3FC" w:rsidR="00D57CD9" w:rsidRPr="00BD18F3" w:rsidRDefault="00BD18F3" w:rsidP="00AB49F5">
      <w:pPr>
        <w:spacing w:before="240" w:after="240"/>
        <w:ind w:left="284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709440" behindDoc="0" locked="0" layoutInCell="1" allowOverlap="1" wp14:anchorId="4C72EF49" wp14:editId="34D16370">
            <wp:simplePos x="0" y="0"/>
            <wp:positionH relativeFrom="column">
              <wp:posOffset>2608580</wp:posOffset>
            </wp:positionH>
            <wp:positionV relativeFrom="paragraph">
              <wp:posOffset>1725295</wp:posOffset>
            </wp:positionV>
            <wp:extent cx="3802380" cy="2697480"/>
            <wp:effectExtent l="0" t="0" r="7620" b="762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F2" w:rsidRPr="00BD18F3">
        <w:rPr>
          <w:rFonts w:ascii="Arial" w:hAnsi="Arial" w:cs="Arial"/>
          <w:kern w:val="24"/>
          <w:sz w:val="21"/>
          <w:szCs w:val="21"/>
        </w:rPr>
        <w:t xml:space="preserve">Este 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crecimiento se debe a la aplicación de </w:t>
      </w:r>
      <w:r w:rsidR="009C54F2" w:rsidRPr="00BD18F3">
        <w:rPr>
          <w:rFonts w:ascii="Arial" w:hAnsi="Arial" w:cs="Arial"/>
          <w:kern w:val="24"/>
          <w:sz w:val="21"/>
          <w:szCs w:val="21"/>
        </w:rPr>
        <w:t xml:space="preserve">mayores coeficientes para 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la determinación de los pagos mensuales, 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a la </w:t>
      </w:r>
      <w:r w:rsidR="009C54F2" w:rsidRPr="00BD18F3">
        <w:rPr>
          <w:rFonts w:ascii="Arial" w:hAnsi="Arial" w:cs="Arial"/>
          <w:kern w:val="24"/>
          <w:sz w:val="21"/>
          <w:szCs w:val="21"/>
        </w:rPr>
        <w:t xml:space="preserve">reducción de 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los </w:t>
      </w:r>
      <w:r w:rsidR="009C54F2" w:rsidRPr="00BD18F3">
        <w:rPr>
          <w:rFonts w:ascii="Arial" w:hAnsi="Arial" w:cs="Arial"/>
          <w:kern w:val="24"/>
          <w:sz w:val="21"/>
          <w:szCs w:val="21"/>
        </w:rPr>
        <w:t xml:space="preserve">saldos a favor </w:t>
      </w:r>
      <w:r w:rsidR="003C49D1" w:rsidRPr="00BD18F3">
        <w:rPr>
          <w:rFonts w:ascii="Arial" w:hAnsi="Arial" w:cs="Arial"/>
          <w:kern w:val="24"/>
          <w:sz w:val="21"/>
          <w:szCs w:val="21"/>
        </w:rPr>
        <w:t>de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 los contribuyentes </w:t>
      </w:r>
      <w:r w:rsidR="00AB49F5" w:rsidRPr="00BD18F3">
        <w:rPr>
          <w:rFonts w:ascii="Arial" w:hAnsi="Arial" w:cs="Arial"/>
          <w:kern w:val="24"/>
          <w:sz w:val="21"/>
          <w:szCs w:val="21"/>
        </w:rPr>
        <w:t>y a los mayores</w:t>
      </w:r>
      <w:r w:rsidR="009C54F2" w:rsidRPr="00BD18F3">
        <w:rPr>
          <w:rFonts w:ascii="Arial" w:hAnsi="Arial" w:cs="Arial"/>
          <w:kern w:val="24"/>
          <w:sz w:val="21"/>
          <w:szCs w:val="21"/>
        </w:rPr>
        <w:t xml:space="preserve"> ingresos 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obtenidos </w:t>
      </w:r>
      <w:r w:rsidR="00045DEE" w:rsidRPr="00BD18F3">
        <w:rPr>
          <w:rFonts w:ascii="Arial" w:hAnsi="Arial" w:cs="Arial"/>
          <w:kern w:val="24"/>
          <w:sz w:val="21"/>
          <w:szCs w:val="21"/>
        </w:rPr>
        <w:t>en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 sectores como </w:t>
      </w:r>
      <w:r w:rsidR="009C54F2" w:rsidRPr="00BD18F3">
        <w:rPr>
          <w:rFonts w:ascii="Arial" w:hAnsi="Arial" w:cs="Arial"/>
          <w:kern w:val="24"/>
          <w:sz w:val="21"/>
          <w:szCs w:val="21"/>
        </w:rPr>
        <w:t>intermediación financiera</w:t>
      </w:r>
      <w:r w:rsidR="00C14E68" w:rsidRPr="00BD18F3">
        <w:rPr>
          <w:rFonts w:ascii="Arial" w:hAnsi="Arial" w:cs="Arial"/>
          <w:kern w:val="24"/>
          <w:sz w:val="21"/>
          <w:szCs w:val="21"/>
        </w:rPr>
        <w:t xml:space="preserve"> y generación de energía eléctrica y agua</w:t>
      </w:r>
      <w:r w:rsidR="009C54F2" w:rsidRPr="00BD18F3">
        <w:rPr>
          <w:rFonts w:ascii="Arial" w:hAnsi="Arial" w:cs="Arial"/>
          <w:kern w:val="24"/>
          <w:sz w:val="21"/>
          <w:szCs w:val="21"/>
        </w:rPr>
        <w:t>.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 Dichos aspectos permitieron contrarresta</w:t>
      </w:r>
      <w:r w:rsidR="00045DEE" w:rsidRPr="00BD18F3">
        <w:rPr>
          <w:rFonts w:ascii="Arial" w:hAnsi="Arial" w:cs="Arial"/>
          <w:kern w:val="24"/>
          <w:sz w:val="21"/>
          <w:szCs w:val="21"/>
        </w:rPr>
        <w:t>r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 los menores pagos recibidos 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del sector </w:t>
      </w:r>
      <w:r w:rsidR="009C54F2" w:rsidRPr="00BD18F3">
        <w:rPr>
          <w:rFonts w:ascii="Arial" w:hAnsi="Arial" w:cs="Arial"/>
          <w:kern w:val="24"/>
          <w:sz w:val="21"/>
          <w:szCs w:val="21"/>
        </w:rPr>
        <w:t>minería e hidrocarburos</w:t>
      </w:r>
      <w:r w:rsidR="00AB49F5" w:rsidRPr="00BD18F3">
        <w:rPr>
          <w:rFonts w:ascii="Arial" w:hAnsi="Arial" w:cs="Arial"/>
          <w:kern w:val="24"/>
          <w:sz w:val="21"/>
          <w:szCs w:val="21"/>
        </w:rPr>
        <w:t>, asociado</w:t>
      </w:r>
      <w:r w:rsidR="00045DEE" w:rsidRPr="00BD18F3">
        <w:rPr>
          <w:rFonts w:ascii="Arial" w:hAnsi="Arial" w:cs="Arial"/>
          <w:kern w:val="24"/>
          <w:sz w:val="21"/>
          <w:szCs w:val="21"/>
        </w:rPr>
        <w:t>s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045DEE" w:rsidRPr="00BD18F3">
        <w:rPr>
          <w:rFonts w:ascii="Arial" w:hAnsi="Arial" w:cs="Arial"/>
          <w:kern w:val="24"/>
          <w:sz w:val="21"/>
          <w:szCs w:val="21"/>
        </w:rPr>
        <w:t>a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 las menores cotizaciones internacionales</w:t>
      </w:r>
      <w:r w:rsidR="00045DEE" w:rsidRPr="00BD18F3">
        <w:rPr>
          <w:rFonts w:ascii="Arial" w:hAnsi="Arial" w:cs="Arial"/>
          <w:kern w:val="24"/>
          <w:sz w:val="21"/>
          <w:szCs w:val="21"/>
        </w:rPr>
        <w:t>, meno</w:t>
      </w:r>
      <w:r w:rsidR="00103F15" w:rsidRPr="00BD18F3">
        <w:rPr>
          <w:rFonts w:ascii="Arial" w:hAnsi="Arial" w:cs="Arial"/>
          <w:kern w:val="24"/>
          <w:sz w:val="21"/>
          <w:szCs w:val="21"/>
        </w:rPr>
        <w:t>r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 producción y conflictividad</w:t>
      </w:r>
      <w:r w:rsidR="00103F15" w:rsidRPr="00BD18F3">
        <w:rPr>
          <w:rFonts w:ascii="Arial" w:hAnsi="Arial" w:cs="Arial"/>
          <w:kern w:val="24"/>
          <w:sz w:val="21"/>
          <w:szCs w:val="21"/>
        </w:rPr>
        <w:t xml:space="preserve"> social</w:t>
      </w:r>
      <w:r w:rsidR="00045DEE" w:rsidRPr="00BD18F3">
        <w:rPr>
          <w:rFonts w:ascii="Arial" w:hAnsi="Arial" w:cs="Arial"/>
          <w:kern w:val="24"/>
          <w:sz w:val="21"/>
          <w:szCs w:val="21"/>
        </w:rPr>
        <w:t>.</w:t>
      </w:r>
      <w:r w:rsidR="00F05C72" w:rsidRPr="00BD18F3">
        <w:rPr>
          <w:rFonts w:ascii="Arial" w:hAnsi="Arial" w:cs="Arial"/>
          <w:noProof/>
          <w:sz w:val="21"/>
          <w:szCs w:val="21"/>
        </w:rPr>
        <w:t xml:space="preserve"> </w:t>
      </w:r>
    </w:p>
    <w:p w14:paraId="603DDABA" w14:textId="1EBC83F4" w:rsidR="00BD18F3" w:rsidRPr="00BD18F3" w:rsidRDefault="001A0249" w:rsidP="00A276F0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noProof/>
          <w:sz w:val="21"/>
          <w:szCs w:val="21"/>
          <w:lang w:eastAsia="en-US"/>
        </w:rPr>
        <w:t>Por su parte,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 la Regularización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 Anual del Impuesto a la Renta</w:t>
      </w:r>
      <w:r w:rsidR="00A538BD" w:rsidRPr="00BD18F3">
        <w:rPr>
          <w:rFonts w:ascii="Arial" w:hAnsi="Arial" w:cs="Arial"/>
          <w:kern w:val="24"/>
          <w:sz w:val="21"/>
          <w:szCs w:val="21"/>
        </w:rPr>
        <w:t xml:space="preserve"> pagada en 2019</w:t>
      </w:r>
      <w:r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AB49F5" w:rsidRPr="00BD18F3">
        <w:rPr>
          <w:rFonts w:ascii="Arial" w:hAnsi="Arial" w:cs="Arial"/>
          <w:kern w:val="24"/>
          <w:sz w:val="21"/>
          <w:szCs w:val="21"/>
        </w:rPr>
        <w:t>alcanzó los</w:t>
      </w:r>
      <w:r w:rsidR="0079330A" w:rsidRPr="00BD18F3">
        <w:rPr>
          <w:rFonts w:ascii="Arial" w:hAnsi="Arial" w:cs="Arial"/>
          <w:kern w:val="24"/>
          <w:sz w:val="21"/>
          <w:szCs w:val="21"/>
        </w:rPr>
        <w:t xml:space="preserve"> S/ 6 363 millones</w:t>
      </w:r>
      <w:r w:rsidR="00AB49F5" w:rsidRPr="00BD18F3">
        <w:rPr>
          <w:rFonts w:ascii="Arial" w:hAnsi="Arial" w:cs="Arial"/>
          <w:kern w:val="24"/>
          <w:sz w:val="21"/>
          <w:szCs w:val="21"/>
        </w:rPr>
        <w:t xml:space="preserve">, importe que representa una </w:t>
      </w:r>
      <w:r w:rsidR="006648C9" w:rsidRPr="00BD18F3">
        <w:rPr>
          <w:rFonts w:ascii="Arial" w:hAnsi="Arial" w:cs="Arial"/>
          <w:kern w:val="24"/>
          <w:sz w:val="21"/>
          <w:szCs w:val="21"/>
        </w:rPr>
        <w:t xml:space="preserve">leve </w:t>
      </w:r>
      <w:r w:rsidR="00AB49F5" w:rsidRPr="00BD18F3">
        <w:rPr>
          <w:rFonts w:ascii="Arial" w:hAnsi="Arial" w:cs="Arial"/>
          <w:kern w:val="24"/>
          <w:sz w:val="21"/>
          <w:szCs w:val="21"/>
        </w:rPr>
        <w:t>contracción de 2.5% con relación al año previo</w:t>
      </w:r>
      <w:r w:rsidR="006648C9" w:rsidRPr="00BD18F3">
        <w:rPr>
          <w:rFonts w:ascii="Arial" w:hAnsi="Arial" w:cs="Arial"/>
          <w:kern w:val="24"/>
          <w:sz w:val="21"/>
          <w:szCs w:val="21"/>
        </w:rPr>
        <w:t>, tal como se explica a continuación:</w:t>
      </w:r>
    </w:p>
    <w:p w14:paraId="25932401" w14:textId="6C1382F7" w:rsidR="003A63C4" w:rsidRPr="00BD18F3" w:rsidRDefault="001A0249" w:rsidP="00C43B36">
      <w:pPr>
        <w:pStyle w:val="Prrafodelista"/>
        <w:numPr>
          <w:ilvl w:val="1"/>
          <w:numId w:val="11"/>
        </w:numPr>
        <w:spacing w:before="240" w:after="240"/>
        <w:ind w:left="567"/>
        <w:contextualSpacing w:val="0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kern w:val="24"/>
          <w:sz w:val="21"/>
          <w:szCs w:val="21"/>
        </w:rPr>
        <w:t>L</w:t>
      </w:r>
      <w:r w:rsidR="00C43B36" w:rsidRPr="00BD18F3">
        <w:rPr>
          <w:rFonts w:ascii="Arial" w:hAnsi="Arial" w:cs="Arial"/>
          <w:kern w:val="24"/>
          <w:sz w:val="21"/>
          <w:szCs w:val="21"/>
        </w:rPr>
        <w:t xml:space="preserve">a recaudación por concepto de Regularización recibida en el año 2019 </w:t>
      </w:r>
      <w:r w:rsidRPr="00BD18F3">
        <w:rPr>
          <w:rFonts w:ascii="Arial" w:hAnsi="Arial" w:cs="Arial"/>
          <w:kern w:val="24"/>
          <w:sz w:val="21"/>
          <w:szCs w:val="21"/>
        </w:rPr>
        <w:t xml:space="preserve">ha sido </w:t>
      </w:r>
      <w:r w:rsidR="00C43B36" w:rsidRPr="00BD18F3">
        <w:rPr>
          <w:rFonts w:ascii="Arial" w:hAnsi="Arial" w:cs="Arial"/>
          <w:kern w:val="24"/>
          <w:sz w:val="21"/>
          <w:szCs w:val="21"/>
        </w:rPr>
        <w:t>muy significativa</w:t>
      </w:r>
      <w:r w:rsidR="00C66E41">
        <w:rPr>
          <w:rFonts w:ascii="Arial" w:hAnsi="Arial" w:cs="Arial"/>
          <w:kern w:val="24"/>
          <w:sz w:val="21"/>
          <w:szCs w:val="21"/>
        </w:rPr>
        <w:t>;</w:t>
      </w:r>
      <w:r w:rsidR="00C43B36"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Pr="00BD18F3">
        <w:rPr>
          <w:rFonts w:ascii="Arial" w:hAnsi="Arial" w:cs="Arial"/>
          <w:kern w:val="24"/>
          <w:sz w:val="21"/>
          <w:szCs w:val="21"/>
        </w:rPr>
        <w:t xml:space="preserve">sin embargo, </w:t>
      </w:r>
      <w:r w:rsidR="00C43B36" w:rsidRPr="00BD18F3">
        <w:rPr>
          <w:rFonts w:ascii="Arial" w:hAnsi="Arial" w:cs="Arial"/>
          <w:kern w:val="24"/>
          <w:sz w:val="21"/>
          <w:szCs w:val="21"/>
        </w:rPr>
        <w:t>en 2018 se recibió un</w:t>
      </w:r>
      <w:r w:rsidR="003A63C4" w:rsidRPr="00BD18F3">
        <w:rPr>
          <w:rFonts w:ascii="Arial" w:hAnsi="Arial" w:cs="Arial"/>
          <w:kern w:val="24"/>
          <w:sz w:val="21"/>
          <w:szCs w:val="21"/>
        </w:rPr>
        <w:t xml:space="preserve"> importe</w:t>
      </w:r>
      <w:r w:rsidR="00C43B36" w:rsidRPr="00BD18F3">
        <w:rPr>
          <w:rFonts w:ascii="Arial" w:hAnsi="Arial" w:cs="Arial"/>
          <w:kern w:val="24"/>
          <w:sz w:val="21"/>
          <w:szCs w:val="21"/>
        </w:rPr>
        <w:t xml:space="preserve"> que constituyó un </w:t>
      </w:r>
      <w:r w:rsidR="003A63C4" w:rsidRPr="00BD18F3">
        <w:rPr>
          <w:rFonts w:ascii="Arial" w:hAnsi="Arial" w:cs="Arial"/>
          <w:kern w:val="24"/>
          <w:sz w:val="21"/>
          <w:szCs w:val="21"/>
        </w:rPr>
        <w:t>récord</w:t>
      </w:r>
      <w:r w:rsidR="00C43B36" w:rsidRPr="00BD18F3">
        <w:rPr>
          <w:rFonts w:ascii="Arial" w:hAnsi="Arial" w:cs="Arial"/>
          <w:kern w:val="24"/>
          <w:sz w:val="21"/>
          <w:szCs w:val="21"/>
        </w:rPr>
        <w:t xml:space="preserve"> histórico</w:t>
      </w:r>
      <w:r w:rsidR="00045DEE" w:rsidRPr="00BD18F3">
        <w:rPr>
          <w:rFonts w:ascii="Arial" w:hAnsi="Arial" w:cs="Arial"/>
          <w:kern w:val="24"/>
          <w:sz w:val="21"/>
          <w:szCs w:val="21"/>
        </w:rPr>
        <w:t>,</w:t>
      </w:r>
      <w:r w:rsidR="00C43B36" w:rsidRPr="00BD18F3">
        <w:rPr>
          <w:rFonts w:ascii="Arial" w:hAnsi="Arial" w:cs="Arial"/>
          <w:kern w:val="24"/>
          <w:sz w:val="21"/>
          <w:szCs w:val="21"/>
        </w:rPr>
        <w:t xml:space="preserve"> asociado tanto a la forma en la que se determina el impuesto como a la evolución de la economía. </w:t>
      </w:r>
    </w:p>
    <w:p w14:paraId="33779B7E" w14:textId="7B1CDA93" w:rsidR="0079330A" w:rsidRPr="00BD18F3" w:rsidRDefault="00BD18F3" w:rsidP="003A63C4">
      <w:pPr>
        <w:pStyle w:val="Prrafodelista"/>
        <w:numPr>
          <w:ilvl w:val="1"/>
          <w:numId w:val="11"/>
        </w:numPr>
        <w:spacing w:before="240" w:after="240"/>
        <w:ind w:left="567"/>
        <w:contextualSpacing w:val="0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noProof/>
          <w:sz w:val="21"/>
          <w:szCs w:val="21"/>
          <w:lang w:val="en-US" w:eastAsia="en-US"/>
        </w:rPr>
        <w:lastRenderedPageBreak/>
        <w:drawing>
          <wp:anchor distT="0" distB="0" distL="114300" distR="114300" simplePos="0" relativeHeight="251697152" behindDoc="0" locked="0" layoutInCell="1" allowOverlap="1" wp14:anchorId="476605D9" wp14:editId="1B2042D5">
            <wp:simplePos x="0" y="0"/>
            <wp:positionH relativeFrom="column">
              <wp:posOffset>2678430</wp:posOffset>
            </wp:positionH>
            <wp:positionV relativeFrom="paragraph">
              <wp:posOffset>638810</wp:posOffset>
            </wp:positionV>
            <wp:extent cx="3756660" cy="2583180"/>
            <wp:effectExtent l="0" t="0" r="0" b="7620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C1" w:rsidRPr="00BA1EC1">
        <w:rPr>
          <w:rFonts w:ascii="Arial" w:hAnsi="Arial" w:cs="Arial"/>
          <w:noProof/>
          <w:sz w:val="21"/>
          <w:szCs w:val="21"/>
          <w:lang w:eastAsia="en-US"/>
        </w:rPr>
        <w:t>Du</w:t>
      </w:r>
      <w:r w:rsidR="00BA1EC1">
        <w:rPr>
          <w:rFonts w:ascii="Arial" w:hAnsi="Arial" w:cs="Arial"/>
          <w:noProof/>
          <w:sz w:val="21"/>
          <w:szCs w:val="21"/>
          <w:lang w:eastAsia="en-US"/>
        </w:rPr>
        <w:t>r</w:t>
      </w:r>
      <w:r w:rsidR="003A63C4" w:rsidRPr="00BD18F3">
        <w:rPr>
          <w:rFonts w:ascii="Arial" w:hAnsi="Arial" w:cs="Arial"/>
          <w:kern w:val="24"/>
          <w:sz w:val="21"/>
          <w:szCs w:val="21"/>
        </w:rPr>
        <w:t>ante</w:t>
      </w:r>
      <w:r w:rsidR="0079330A" w:rsidRPr="00BD18F3">
        <w:rPr>
          <w:rFonts w:ascii="Arial" w:hAnsi="Arial" w:cs="Arial"/>
          <w:kern w:val="24"/>
          <w:sz w:val="21"/>
          <w:szCs w:val="21"/>
        </w:rPr>
        <w:t xml:space="preserve"> el 2019 se </w:t>
      </w:r>
      <w:r w:rsidR="003A63C4" w:rsidRPr="00BD18F3">
        <w:rPr>
          <w:rFonts w:ascii="Arial" w:hAnsi="Arial" w:cs="Arial"/>
          <w:kern w:val="24"/>
          <w:sz w:val="21"/>
          <w:szCs w:val="21"/>
        </w:rPr>
        <w:t xml:space="preserve">obtuvieron </w:t>
      </w:r>
      <w:r w:rsidR="0079330A" w:rsidRPr="00BD18F3">
        <w:rPr>
          <w:rFonts w:ascii="Arial" w:hAnsi="Arial" w:cs="Arial"/>
          <w:kern w:val="24"/>
          <w:sz w:val="21"/>
          <w:szCs w:val="21"/>
        </w:rPr>
        <w:t>pagos extraordinarios</w:t>
      </w:r>
      <w:r w:rsidR="003A63C4"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por Regularización </w:t>
      </w:r>
      <w:r w:rsidR="003A63C4" w:rsidRPr="00BD18F3">
        <w:rPr>
          <w:rFonts w:ascii="Arial" w:hAnsi="Arial" w:cs="Arial"/>
          <w:kern w:val="24"/>
          <w:sz w:val="21"/>
          <w:szCs w:val="21"/>
        </w:rPr>
        <w:t xml:space="preserve">muy significativos, que en conjunto alcanzaron los </w:t>
      </w:r>
      <w:r w:rsidR="0079330A" w:rsidRPr="00BD18F3">
        <w:rPr>
          <w:rFonts w:ascii="Arial" w:hAnsi="Arial" w:cs="Arial"/>
          <w:kern w:val="24"/>
          <w:sz w:val="21"/>
          <w:szCs w:val="21"/>
        </w:rPr>
        <w:t>S/ 1</w:t>
      </w:r>
      <w:r w:rsidR="00F14A2E">
        <w:rPr>
          <w:rFonts w:ascii="Arial" w:hAnsi="Arial" w:cs="Arial"/>
          <w:kern w:val="24"/>
          <w:sz w:val="21"/>
          <w:szCs w:val="21"/>
        </w:rPr>
        <w:t xml:space="preserve"> </w:t>
      </w:r>
      <w:r w:rsidR="0079330A" w:rsidRPr="00BD18F3">
        <w:rPr>
          <w:rFonts w:ascii="Arial" w:hAnsi="Arial" w:cs="Arial"/>
          <w:kern w:val="24"/>
          <w:sz w:val="21"/>
          <w:szCs w:val="21"/>
        </w:rPr>
        <w:t>491 millones</w:t>
      </w:r>
      <w:r w:rsidR="003A63C4" w:rsidRPr="00BD18F3">
        <w:rPr>
          <w:rFonts w:ascii="Arial" w:hAnsi="Arial" w:cs="Arial"/>
          <w:kern w:val="24"/>
          <w:sz w:val="21"/>
          <w:szCs w:val="21"/>
        </w:rPr>
        <w:t>,</w:t>
      </w:r>
      <w:r w:rsidR="0079330A" w:rsidRPr="00BD18F3">
        <w:rPr>
          <w:rFonts w:ascii="Arial" w:hAnsi="Arial" w:cs="Arial"/>
          <w:kern w:val="24"/>
          <w:sz w:val="21"/>
          <w:szCs w:val="21"/>
        </w:rPr>
        <w:t xml:space="preserve"> producto </w:t>
      </w:r>
      <w:r w:rsidR="003A63C4" w:rsidRPr="00BD18F3">
        <w:rPr>
          <w:rFonts w:ascii="Arial" w:hAnsi="Arial" w:cs="Arial"/>
          <w:kern w:val="24"/>
          <w:sz w:val="21"/>
          <w:szCs w:val="21"/>
        </w:rPr>
        <w:t xml:space="preserve">tanto </w:t>
      </w:r>
      <w:r w:rsidR="0079330A" w:rsidRPr="00BD18F3">
        <w:rPr>
          <w:rFonts w:ascii="Arial" w:hAnsi="Arial" w:cs="Arial"/>
          <w:kern w:val="24"/>
          <w:sz w:val="21"/>
          <w:szCs w:val="21"/>
        </w:rPr>
        <w:t xml:space="preserve">de acciones de fiscalización y cobranza </w:t>
      </w:r>
      <w:r w:rsidR="003A63C4" w:rsidRPr="00BD18F3">
        <w:rPr>
          <w:rFonts w:ascii="Arial" w:hAnsi="Arial" w:cs="Arial"/>
          <w:kern w:val="24"/>
          <w:sz w:val="21"/>
          <w:szCs w:val="21"/>
        </w:rPr>
        <w:t xml:space="preserve">llevadas a cabo por </w:t>
      </w:r>
      <w:r w:rsidR="00AB49F5" w:rsidRPr="00BD18F3">
        <w:rPr>
          <w:rFonts w:ascii="Arial" w:hAnsi="Arial" w:cs="Arial"/>
          <w:kern w:val="24"/>
          <w:sz w:val="21"/>
          <w:szCs w:val="21"/>
        </w:rPr>
        <w:t>SUNAT</w:t>
      </w:r>
      <w:r w:rsidR="00045DEE" w:rsidRPr="00BD18F3">
        <w:rPr>
          <w:rFonts w:ascii="Arial" w:hAnsi="Arial" w:cs="Arial"/>
          <w:kern w:val="24"/>
          <w:sz w:val="21"/>
          <w:szCs w:val="21"/>
        </w:rPr>
        <w:t xml:space="preserve"> (S/ 790 millones)</w:t>
      </w:r>
      <w:r w:rsidR="003A63C4" w:rsidRPr="00BD18F3">
        <w:rPr>
          <w:rFonts w:ascii="Arial" w:hAnsi="Arial" w:cs="Arial"/>
          <w:kern w:val="24"/>
          <w:sz w:val="21"/>
          <w:szCs w:val="21"/>
        </w:rPr>
        <w:t xml:space="preserve"> como por la venta de activos por parte de los contribuyentes</w:t>
      </w:r>
      <w:r w:rsidR="0079330A" w:rsidRPr="00BD18F3">
        <w:rPr>
          <w:rFonts w:ascii="Arial" w:hAnsi="Arial" w:cs="Arial"/>
          <w:kern w:val="24"/>
          <w:sz w:val="21"/>
          <w:szCs w:val="21"/>
        </w:rPr>
        <w:t xml:space="preserve">. </w:t>
      </w:r>
    </w:p>
    <w:p w14:paraId="7BCAAF99" w14:textId="57B6B5E9" w:rsidR="00F2628F" w:rsidRPr="00BD18F3" w:rsidRDefault="00D57CD9" w:rsidP="00616B97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La 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>recaudación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por </w:t>
      </w:r>
      <w:r w:rsidR="00045DEE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el Impuesto General a las Ventas (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IGV</w:t>
      </w:r>
      <w:r w:rsidR="00045DEE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)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</w:t>
      </w:r>
      <w:r w:rsidR="00616B97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alcanzó los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S/ 6</w:t>
      </w:r>
      <w:r w:rsidR="00B26B66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3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</w:t>
      </w:r>
      <w:r w:rsidR="00B26B66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505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millones registrando un incremento de </w:t>
      </w:r>
      <w:r w:rsidR="00B26B66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2,5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%</w:t>
      </w:r>
      <w:r w:rsidR="00616B97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.</w:t>
      </w:r>
      <w:r w:rsidR="00822B07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</w:t>
      </w:r>
      <w:r w:rsidR="00F2628F" w:rsidRPr="00BD18F3">
        <w:rPr>
          <w:rFonts w:ascii="Arial" w:hAnsi="Arial" w:cs="Arial"/>
          <w:kern w:val="24"/>
          <w:sz w:val="21"/>
          <w:szCs w:val="21"/>
          <w:lang w:val="es-ES"/>
        </w:rPr>
        <w:t>Dicho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resultado </w:t>
      </w:r>
      <w:r w:rsidR="00616B97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permitió 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recaudar </w:t>
      </w:r>
      <w:r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S/ </w:t>
      </w:r>
      <w:r w:rsidR="00B26B66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>2</w:t>
      </w:r>
      <w:r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 </w:t>
      </w:r>
      <w:r w:rsidR="00B26B66" w:rsidRPr="00BD18F3">
        <w:rPr>
          <w:rFonts w:ascii="Arial" w:hAnsi="Arial" w:cs="Arial"/>
          <w:bCs/>
          <w:kern w:val="24"/>
          <w:sz w:val="21"/>
          <w:szCs w:val="21"/>
          <w:lang w:val="es-ES"/>
        </w:rPr>
        <w:t>839</w:t>
      </w:r>
      <w:r w:rsidRPr="00BD18F3">
        <w:rPr>
          <w:rFonts w:ascii="Arial" w:hAnsi="Arial" w:cs="Arial"/>
          <w:bCs/>
          <w:kern w:val="24"/>
          <w:sz w:val="21"/>
          <w:szCs w:val="21"/>
          <w:lang w:val="es-ES"/>
        </w:rPr>
        <w:t xml:space="preserve"> 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millones más </w:t>
      </w:r>
      <w:r w:rsidR="00A538BD" w:rsidRPr="00BD18F3">
        <w:rPr>
          <w:rFonts w:ascii="Arial" w:hAnsi="Arial" w:cs="Arial"/>
          <w:kern w:val="24"/>
          <w:sz w:val="21"/>
          <w:szCs w:val="21"/>
          <w:lang w:val="es-ES"/>
        </w:rPr>
        <w:t>que en el año 2018</w:t>
      </w:r>
      <w:r w:rsidR="00616B97" w:rsidRPr="00BD18F3">
        <w:rPr>
          <w:rFonts w:ascii="Arial" w:hAnsi="Arial" w:cs="Arial"/>
          <w:kern w:val="24"/>
          <w:sz w:val="21"/>
          <w:szCs w:val="21"/>
          <w:lang w:val="es-ES"/>
        </w:rPr>
        <w:t>.</w:t>
      </w:r>
    </w:p>
    <w:p w14:paraId="7A84A688" w14:textId="45F6E2B8" w:rsidR="00822B07" w:rsidRPr="00BD18F3" w:rsidRDefault="00822B07" w:rsidP="00822B07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eastAsia="Times New Roman" w:hAnsi="Arial" w:cs="Arial"/>
          <w:sz w:val="21"/>
          <w:szCs w:val="21"/>
        </w:rPr>
      </w:pPr>
      <w:r w:rsidRPr="00BD18F3">
        <w:rPr>
          <w:rFonts w:ascii="Arial" w:hAnsi="Arial" w:cs="Arial"/>
          <w:kern w:val="24"/>
          <w:sz w:val="21"/>
          <w:szCs w:val="21"/>
          <w:lang w:val="es-ES"/>
        </w:rPr>
        <w:t>A nivel de componentes, el IGV interno registró una recaudación de S/ 37 892 millones (5,6%) y el IGV importaciones recaudó S/ 25 613 millones (-1,8%).</w:t>
      </w:r>
    </w:p>
    <w:p w14:paraId="326BF463" w14:textId="37806FA8" w:rsidR="00D57CD9" w:rsidRPr="00BD18F3" w:rsidRDefault="00BD18F3" w:rsidP="00616B97">
      <w:pPr>
        <w:spacing w:before="240" w:after="240"/>
        <w:ind w:left="284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eastAsia="Times New Roman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698176" behindDoc="0" locked="0" layoutInCell="1" allowOverlap="1" wp14:anchorId="4FF3C717" wp14:editId="1BD5DDBF">
            <wp:simplePos x="0" y="0"/>
            <wp:positionH relativeFrom="column">
              <wp:posOffset>2636520</wp:posOffset>
            </wp:positionH>
            <wp:positionV relativeFrom="paragraph">
              <wp:posOffset>1369695</wp:posOffset>
            </wp:positionV>
            <wp:extent cx="3604260" cy="2208530"/>
            <wp:effectExtent l="0" t="0" r="0" b="1270"/>
            <wp:wrapSquare wrapText="bothSides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D9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El resultado </w:t>
      </w:r>
      <w:r w:rsidR="00103F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agregado </w:t>
      </w:r>
      <w:r w:rsidR="00D57CD9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positivo se vio favorecido por las acciones </w:t>
      </w:r>
      <w:r w:rsidR="00A538BD" w:rsidRPr="00BD18F3">
        <w:rPr>
          <w:rFonts w:ascii="Arial" w:hAnsi="Arial" w:cs="Arial"/>
          <w:kern w:val="24"/>
          <w:sz w:val="21"/>
          <w:szCs w:val="21"/>
          <w:lang w:val="es-ES"/>
        </w:rPr>
        <w:t>orientadas a la mejora del cumplimiento</w:t>
      </w:r>
      <w:r w:rsidR="00D57CD9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llevadas a cabo por la SUNAT, por los cambios </w:t>
      </w:r>
      <w:r w:rsidR="00616B97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normativos </w:t>
      </w:r>
      <w:r w:rsidR="00822B07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aplicados </w:t>
      </w:r>
      <w:r w:rsidR="00A538BD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tanto </w:t>
      </w:r>
      <w:r w:rsidR="00D57CD9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en el </w:t>
      </w:r>
      <w:r w:rsidR="0099594D" w:rsidRPr="00BD18F3">
        <w:rPr>
          <w:rFonts w:ascii="Arial" w:hAnsi="Arial" w:cs="Arial"/>
          <w:kern w:val="24"/>
          <w:sz w:val="21"/>
          <w:szCs w:val="21"/>
          <w:lang w:val="es-ES"/>
        </w:rPr>
        <w:t>Sistema</w:t>
      </w:r>
      <w:r w:rsidR="00D57CD9" w:rsidRPr="00BD18F3">
        <w:rPr>
          <w:rFonts w:ascii="Arial" w:hAnsi="Arial" w:cs="Arial"/>
          <w:kern w:val="24"/>
          <w:sz w:val="21"/>
          <w:szCs w:val="21"/>
        </w:rPr>
        <w:t xml:space="preserve"> de Pagos de Obligaciones Tributarias con el Gobierno Central </w:t>
      </w:r>
      <w:r w:rsidR="00103F15" w:rsidRPr="00BD18F3">
        <w:rPr>
          <w:rFonts w:ascii="Arial" w:hAnsi="Arial" w:cs="Arial"/>
          <w:kern w:val="24"/>
          <w:sz w:val="21"/>
          <w:szCs w:val="21"/>
        </w:rPr>
        <w:t>(</w:t>
      </w:r>
      <w:r w:rsidR="00D57CD9" w:rsidRPr="00BD18F3">
        <w:rPr>
          <w:rFonts w:ascii="Arial" w:hAnsi="Arial" w:cs="Arial"/>
          <w:kern w:val="24"/>
          <w:sz w:val="21"/>
          <w:szCs w:val="21"/>
        </w:rPr>
        <w:t>SPOT</w:t>
      </w:r>
      <w:r w:rsidR="00103F15" w:rsidRPr="00BD18F3">
        <w:rPr>
          <w:rFonts w:ascii="Arial" w:hAnsi="Arial" w:cs="Arial"/>
          <w:kern w:val="24"/>
          <w:sz w:val="21"/>
          <w:szCs w:val="21"/>
        </w:rPr>
        <w:t>)</w:t>
      </w:r>
      <w:r w:rsidR="00D57CD9"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A538BD" w:rsidRPr="00BD18F3">
        <w:rPr>
          <w:rFonts w:ascii="Arial" w:hAnsi="Arial" w:cs="Arial"/>
          <w:kern w:val="24"/>
          <w:sz w:val="21"/>
          <w:szCs w:val="21"/>
        </w:rPr>
        <w:t>como</w:t>
      </w:r>
      <w:r w:rsidR="00D57CD9" w:rsidRPr="00BD18F3">
        <w:rPr>
          <w:rFonts w:ascii="Arial" w:hAnsi="Arial" w:cs="Arial"/>
          <w:kern w:val="24"/>
          <w:sz w:val="21"/>
          <w:szCs w:val="21"/>
        </w:rPr>
        <w:t xml:space="preserve"> en </w:t>
      </w:r>
      <w:r w:rsidR="00103F15" w:rsidRPr="00BD18F3">
        <w:rPr>
          <w:rFonts w:ascii="Arial" w:hAnsi="Arial" w:cs="Arial"/>
          <w:kern w:val="24"/>
          <w:sz w:val="21"/>
          <w:szCs w:val="21"/>
        </w:rPr>
        <w:t>el</w:t>
      </w:r>
      <w:r w:rsidR="00D57CD9" w:rsidRPr="00BD18F3">
        <w:rPr>
          <w:rFonts w:ascii="Arial" w:hAnsi="Arial" w:cs="Arial"/>
          <w:kern w:val="24"/>
          <w:sz w:val="21"/>
          <w:szCs w:val="21"/>
        </w:rPr>
        <w:t xml:space="preserve"> ISC</w:t>
      </w:r>
      <w:r w:rsidR="00616B97" w:rsidRPr="00BD18F3">
        <w:rPr>
          <w:rFonts w:ascii="Arial" w:hAnsi="Arial" w:cs="Arial"/>
          <w:kern w:val="24"/>
          <w:sz w:val="21"/>
          <w:szCs w:val="21"/>
        </w:rPr>
        <w:t xml:space="preserve"> y</w:t>
      </w:r>
      <w:r w:rsidR="00D57CD9" w:rsidRPr="00BD18F3">
        <w:rPr>
          <w:rFonts w:ascii="Arial" w:hAnsi="Arial" w:cs="Arial"/>
          <w:kern w:val="24"/>
          <w:sz w:val="21"/>
          <w:szCs w:val="21"/>
        </w:rPr>
        <w:t xml:space="preserve"> por el </w:t>
      </w:r>
      <w:r w:rsidR="00D57CD9" w:rsidRPr="00BD18F3">
        <w:rPr>
          <w:rFonts w:ascii="Arial" w:hAnsi="Arial" w:cs="Arial"/>
          <w:kern w:val="24"/>
          <w:sz w:val="21"/>
          <w:szCs w:val="21"/>
          <w:lang w:val="es-ES"/>
        </w:rPr>
        <w:t>desempeño de la demanda interna</w:t>
      </w:r>
      <w:r w:rsidR="00103F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(</w:t>
      </w:r>
      <w:r w:rsidR="00616B97" w:rsidRPr="00BD18F3">
        <w:rPr>
          <w:rFonts w:ascii="Arial" w:hAnsi="Arial" w:cs="Arial"/>
          <w:kern w:val="24"/>
          <w:sz w:val="21"/>
          <w:szCs w:val="21"/>
          <w:lang w:val="es-ES"/>
        </w:rPr>
        <w:t>que habría crecido alrededor de 2,5%</w:t>
      </w:r>
      <w:r w:rsidR="00616B97" w:rsidRPr="00BD18F3">
        <w:rPr>
          <w:rStyle w:val="Refdenotaalpie"/>
          <w:rFonts w:ascii="Arial" w:hAnsi="Arial" w:cs="Arial"/>
          <w:kern w:val="24"/>
          <w:sz w:val="21"/>
          <w:szCs w:val="21"/>
          <w:lang w:val="es-ES"/>
        </w:rPr>
        <w:footnoteReference w:id="3"/>
      </w:r>
      <w:r w:rsidR="00103F15" w:rsidRPr="00BD18F3">
        <w:rPr>
          <w:rFonts w:ascii="Arial" w:hAnsi="Arial" w:cs="Arial"/>
          <w:kern w:val="24"/>
          <w:sz w:val="21"/>
          <w:szCs w:val="21"/>
          <w:lang w:val="es-ES"/>
        </w:rPr>
        <w:t>)</w:t>
      </w:r>
      <w:r w:rsidR="00616B97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; efectos que fueron parcialmente atenuados por la </w:t>
      </w:r>
      <w:r w:rsidR="00BE0263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disminución de las </w:t>
      </w:r>
      <w:r w:rsidR="00D57CD9" w:rsidRPr="00BD18F3">
        <w:rPr>
          <w:rFonts w:ascii="Arial" w:hAnsi="Arial" w:cs="Arial"/>
          <w:kern w:val="24"/>
          <w:sz w:val="21"/>
          <w:szCs w:val="21"/>
          <w:lang w:val="es-ES"/>
        </w:rPr>
        <w:t>importaciones</w:t>
      </w:r>
      <w:r w:rsidR="00616B97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experimentada durante el año</w:t>
      </w:r>
      <w:r w:rsidR="00103F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, que </w:t>
      </w:r>
      <w:r w:rsidR="00A538BD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afectó </w:t>
      </w:r>
      <w:r w:rsidR="00103F15" w:rsidRPr="00BD18F3">
        <w:rPr>
          <w:rFonts w:ascii="Arial" w:hAnsi="Arial" w:cs="Arial"/>
          <w:kern w:val="24"/>
          <w:sz w:val="21"/>
          <w:szCs w:val="21"/>
          <w:lang w:val="es-ES"/>
        </w:rPr>
        <w:t>al componente de origen externo</w:t>
      </w:r>
      <w:r w:rsidR="00BE0263" w:rsidRPr="00BD18F3">
        <w:rPr>
          <w:rFonts w:ascii="Arial" w:hAnsi="Arial" w:cs="Arial"/>
          <w:kern w:val="24"/>
          <w:sz w:val="21"/>
          <w:szCs w:val="21"/>
          <w:lang w:val="es-ES"/>
        </w:rPr>
        <w:t>.</w:t>
      </w:r>
    </w:p>
    <w:p w14:paraId="61D213BD" w14:textId="1318BFBD" w:rsidR="0000227B" w:rsidRPr="00BD18F3" w:rsidRDefault="0000227B" w:rsidP="00B77E8A">
      <w:pPr>
        <w:spacing w:before="240" w:after="240" w:line="240" w:lineRule="auto"/>
        <w:ind w:left="284"/>
        <w:jc w:val="both"/>
        <w:rPr>
          <w:rFonts w:ascii="Arial" w:hAnsi="Arial" w:cs="Arial"/>
          <w:kern w:val="24"/>
          <w:sz w:val="21"/>
          <w:szCs w:val="21"/>
        </w:rPr>
      </w:pPr>
      <w:bookmarkStart w:id="0" w:name="_Hlk535484836"/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La recaudación por concepto de</w:t>
      </w:r>
      <w:r w:rsidR="00103F15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Impuesto Selectivo al Consumo (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ISC</w:t>
      </w:r>
      <w:r w:rsidR="00103F15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)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sumó 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 xml:space="preserve">S/ </w:t>
      </w:r>
      <w:r w:rsidR="00A96EF3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8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 xml:space="preserve"> </w:t>
      </w:r>
      <w:r w:rsidR="00A96EF3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216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 xml:space="preserve"> millones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; lo que significó un crecimiento de </w:t>
      </w:r>
      <w:r w:rsidR="00A96EF3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17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,</w:t>
      </w:r>
      <w:r w:rsidR="00A96EF3"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3</w:t>
      </w:r>
      <w:r w:rsidRPr="00BD18F3">
        <w:rPr>
          <w:rFonts w:ascii="Arial" w:hAnsi="Arial" w:cs="Arial"/>
          <w:bCs/>
          <w:color w:val="0070C0"/>
          <w:kern w:val="24"/>
          <w:sz w:val="21"/>
          <w:szCs w:val="21"/>
          <w:lang w:val="es-ES"/>
        </w:rPr>
        <w:t>%</w:t>
      </w:r>
      <w:r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 xml:space="preserve"> 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y una mayor recaudación de S/ </w:t>
      </w:r>
      <w:r w:rsidR="00A96EF3" w:rsidRPr="00BD18F3">
        <w:rPr>
          <w:rFonts w:ascii="Arial" w:hAnsi="Arial" w:cs="Arial"/>
          <w:kern w:val="24"/>
          <w:sz w:val="21"/>
          <w:szCs w:val="21"/>
          <w:lang w:val="es-ES"/>
        </w:rPr>
        <w:t>1 356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millones respecto del </w:t>
      </w:r>
      <w:r w:rsidR="00A13217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año </w:t>
      </w:r>
      <w:r w:rsidRPr="00BD18F3">
        <w:rPr>
          <w:rFonts w:ascii="Arial" w:hAnsi="Arial" w:cs="Arial"/>
          <w:kern w:val="24"/>
          <w:sz w:val="21"/>
          <w:szCs w:val="21"/>
          <w:lang w:val="es-ES"/>
        </w:rPr>
        <w:t>201</w:t>
      </w:r>
      <w:r w:rsidR="00A96EF3" w:rsidRPr="00BD18F3">
        <w:rPr>
          <w:rFonts w:ascii="Arial" w:hAnsi="Arial" w:cs="Arial"/>
          <w:kern w:val="24"/>
          <w:sz w:val="21"/>
          <w:szCs w:val="21"/>
          <w:lang w:val="es-ES"/>
        </w:rPr>
        <w:t>8</w:t>
      </w:r>
      <w:bookmarkEnd w:id="0"/>
      <w:r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. </w:t>
      </w:r>
    </w:p>
    <w:p w14:paraId="534C30F2" w14:textId="5FE090C2" w:rsidR="0000227B" w:rsidRPr="00BD18F3" w:rsidRDefault="00A538BD" w:rsidP="00A13217">
      <w:pPr>
        <w:spacing w:before="240" w:after="240"/>
        <w:ind w:left="284"/>
        <w:jc w:val="both"/>
        <w:rPr>
          <w:rFonts w:ascii="Arial" w:hAnsi="Arial" w:cs="Arial"/>
          <w:kern w:val="24"/>
          <w:sz w:val="21"/>
          <w:szCs w:val="21"/>
        </w:rPr>
      </w:pPr>
      <w:r w:rsidRPr="00BD18F3">
        <w:rPr>
          <w:rFonts w:ascii="Arial" w:hAnsi="Arial" w:cs="Arial"/>
          <w:noProof/>
          <w:kern w:val="24"/>
          <w:sz w:val="21"/>
          <w:szCs w:val="21"/>
          <w:lang w:val="en-US"/>
        </w:rPr>
        <w:drawing>
          <wp:anchor distT="0" distB="0" distL="114300" distR="114300" simplePos="0" relativeHeight="251699200" behindDoc="0" locked="0" layoutInCell="1" allowOverlap="1" wp14:anchorId="15B3DE2A" wp14:editId="6B59E1A7">
            <wp:simplePos x="0" y="0"/>
            <wp:positionH relativeFrom="column">
              <wp:posOffset>2636520</wp:posOffset>
            </wp:positionH>
            <wp:positionV relativeFrom="paragraph">
              <wp:posOffset>1216025</wp:posOffset>
            </wp:positionV>
            <wp:extent cx="3642360" cy="1823720"/>
            <wp:effectExtent l="0" t="0" r="0" b="5080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217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El </w:t>
      </w:r>
      <w:r w:rsidR="00103F15" w:rsidRPr="00BD18F3">
        <w:rPr>
          <w:rFonts w:ascii="Arial" w:hAnsi="Arial" w:cs="Arial"/>
          <w:kern w:val="24"/>
          <w:sz w:val="21"/>
          <w:szCs w:val="21"/>
          <w:lang w:val="es-ES"/>
        </w:rPr>
        <w:t>crecimiento se</w:t>
      </w:r>
      <w:r w:rsidR="0000227B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debe no sólo a la evolución de la actividad económica sino a</w:t>
      </w:r>
      <w:r w:rsidR="000E5703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00227B" w:rsidRPr="00BD18F3">
        <w:rPr>
          <w:rFonts w:ascii="Arial" w:hAnsi="Arial" w:cs="Arial"/>
          <w:kern w:val="24"/>
          <w:sz w:val="21"/>
          <w:szCs w:val="21"/>
          <w:lang w:val="es-ES"/>
        </w:rPr>
        <w:t>l</w:t>
      </w:r>
      <w:r w:rsidR="000E5703" w:rsidRPr="00BD18F3">
        <w:rPr>
          <w:rFonts w:ascii="Arial" w:hAnsi="Arial" w:cs="Arial"/>
          <w:kern w:val="24"/>
          <w:sz w:val="21"/>
          <w:szCs w:val="21"/>
          <w:lang w:val="es-ES"/>
        </w:rPr>
        <w:t>os cambios en las</w:t>
      </w:r>
      <w:r w:rsidR="0000227B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tasas impositivas </w:t>
      </w:r>
      <w:r w:rsidR="000E5703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aprobados entre </w:t>
      </w:r>
      <w:r w:rsidR="0000227B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mayo </w:t>
      </w:r>
      <w:r w:rsidR="004F68E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del </w:t>
      </w:r>
      <w:r w:rsidR="0000227B" w:rsidRPr="00BD18F3">
        <w:rPr>
          <w:rFonts w:ascii="Arial" w:hAnsi="Arial" w:cs="Arial"/>
          <w:kern w:val="24"/>
          <w:sz w:val="21"/>
          <w:szCs w:val="21"/>
          <w:lang w:val="es-ES"/>
        </w:rPr>
        <w:t>2018</w:t>
      </w:r>
      <w:r w:rsidR="000E5703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y junio de</w:t>
      </w:r>
      <w:r w:rsidR="004F68EF" w:rsidRPr="00BD18F3">
        <w:rPr>
          <w:rFonts w:ascii="Arial" w:hAnsi="Arial" w:cs="Arial"/>
          <w:kern w:val="24"/>
          <w:sz w:val="21"/>
          <w:szCs w:val="21"/>
          <w:lang w:val="es-ES"/>
        </w:rPr>
        <w:t>l</w:t>
      </w:r>
      <w:r w:rsidR="000E5703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2019</w:t>
      </w:r>
      <w:r w:rsidR="00EC72CB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en bienes como c</w:t>
      </w:r>
      <w:r w:rsidR="00256670" w:rsidRPr="00BD18F3">
        <w:rPr>
          <w:rFonts w:ascii="Arial" w:hAnsi="Arial" w:cs="Arial"/>
          <w:kern w:val="24"/>
          <w:sz w:val="21"/>
          <w:szCs w:val="21"/>
          <w:lang w:val="es-ES"/>
        </w:rPr>
        <w:t>ombustibles, bebidas</w:t>
      </w:r>
      <w:r w:rsidR="00EC72CB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, vehículos y </w:t>
      </w:r>
      <w:r w:rsidR="00256670" w:rsidRPr="00BD18F3">
        <w:rPr>
          <w:rFonts w:ascii="Arial" w:hAnsi="Arial" w:cs="Arial"/>
          <w:kern w:val="24"/>
          <w:sz w:val="21"/>
          <w:szCs w:val="21"/>
          <w:lang w:val="es-ES"/>
        </w:rPr>
        <w:t>cigarrillos</w:t>
      </w:r>
      <w:r w:rsidR="00EC72CB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. </w:t>
      </w:r>
      <w:r w:rsidR="00256670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</w:p>
    <w:p w14:paraId="3D8DEB68" w14:textId="25D73114" w:rsidR="0000227B" w:rsidRPr="00BD18F3" w:rsidRDefault="00C66E41" w:rsidP="00A13217">
      <w:pPr>
        <w:pStyle w:val="Prrafodelista"/>
        <w:numPr>
          <w:ilvl w:val="0"/>
          <w:numId w:val="11"/>
        </w:numPr>
        <w:spacing w:before="240" w:after="240"/>
        <w:ind w:left="284" w:hanging="218"/>
        <w:contextualSpacing w:val="0"/>
        <w:jc w:val="both"/>
        <w:rPr>
          <w:rFonts w:ascii="Arial" w:hAnsi="Arial" w:cs="Arial"/>
          <w:kern w:val="24"/>
          <w:sz w:val="21"/>
          <w:szCs w:val="21"/>
        </w:rPr>
      </w:pPr>
      <w:r w:rsidRPr="00C66E41">
        <w:rPr>
          <w:rFonts w:ascii="Arial" w:hAnsi="Arial" w:cs="Arial"/>
          <w:color w:val="0070C0"/>
          <w:kern w:val="24"/>
          <w:sz w:val="21"/>
          <w:szCs w:val="21"/>
        </w:rPr>
        <w:t>L</w:t>
      </w:r>
      <w:r w:rsidR="0000227B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as devoluciones </w:t>
      </w:r>
      <w:r w:rsidR="0000227B" w:rsidRPr="00BD18F3">
        <w:rPr>
          <w:rFonts w:ascii="Arial" w:hAnsi="Arial" w:cs="Arial"/>
          <w:color w:val="0070C0"/>
          <w:kern w:val="24"/>
          <w:sz w:val="21"/>
          <w:szCs w:val="21"/>
          <w:lang w:val="es-ES"/>
        </w:rPr>
        <w:t>ascendieron</w:t>
      </w:r>
      <w:r w:rsidR="0000227B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a S/ </w:t>
      </w:r>
      <w:r w:rsidR="00C551FF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18 046</w:t>
      </w:r>
      <w:r w:rsidR="0000227B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 xml:space="preserve"> </w:t>
      </w:r>
      <w:r w:rsidR="00B356FF" w:rsidRPr="00BD18F3">
        <w:rPr>
          <w:rFonts w:ascii="Arial" w:hAnsi="Arial" w:cs="Arial"/>
          <w:color w:val="0070C0"/>
          <w:kern w:val="24"/>
          <w:sz w:val="21"/>
          <w:szCs w:val="21"/>
        </w:rPr>
        <w:t>millones durante 201</w:t>
      </w:r>
      <w:r w:rsidR="00C551FF" w:rsidRPr="00BD18F3">
        <w:rPr>
          <w:rFonts w:ascii="Arial" w:hAnsi="Arial" w:cs="Arial"/>
          <w:color w:val="0070C0"/>
          <w:kern w:val="24"/>
          <w:sz w:val="21"/>
          <w:szCs w:val="21"/>
        </w:rPr>
        <w:t>9</w:t>
      </w:r>
      <w:r w:rsidR="00B356FF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, importe </w:t>
      </w:r>
      <w:r w:rsidR="0073108F" w:rsidRPr="00BD18F3">
        <w:rPr>
          <w:rFonts w:ascii="Arial" w:hAnsi="Arial" w:cs="Arial"/>
          <w:color w:val="0070C0"/>
          <w:kern w:val="24"/>
          <w:sz w:val="21"/>
          <w:szCs w:val="21"/>
        </w:rPr>
        <w:t>que representó</w:t>
      </w:r>
      <w:r w:rsidR="0000227B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</w:t>
      </w:r>
      <w:r w:rsidR="00A13217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un </w:t>
      </w:r>
      <w:r w:rsidR="00177914" w:rsidRPr="00BD18F3">
        <w:rPr>
          <w:rFonts w:ascii="Arial" w:hAnsi="Arial" w:cs="Arial"/>
          <w:color w:val="0070C0"/>
          <w:kern w:val="24"/>
          <w:sz w:val="21"/>
          <w:szCs w:val="21"/>
        </w:rPr>
        <w:t>aumento de</w:t>
      </w:r>
      <w:r w:rsidR="0000227B" w:rsidRPr="00BD18F3">
        <w:rPr>
          <w:rFonts w:ascii="Arial" w:hAnsi="Arial" w:cs="Arial"/>
          <w:color w:val="0070C0"/>
          <w:kern w:val="24"/>
          <w:sz w:val="21"/>
          <w:szCs w:val="21"/>
        </w:rPr>
        <w:t xml:space="preserve"> </w:t>
      </w:r>
      <w:r w:rsidR="00C551FF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6,5</w:t>
      </w:r>
      <w:r w:rsidR="0000227B" w:rsidRPr="00BD18F3">
        <w:rPr>
          <w:rFonts w:ascii="Arial" w:hAnsi="Arial" w:cs="Arial"/>
          <w:bCs/>
          <w:color w:val="0070C0"/>
          <w:kern w:val="24"/>
          <w:sz w:val="21"/>
          <w:szCs w:val="21"/>
        </w:rPr>
        <w:t>%.</w:t>
      </w:r>
    </w:p>
    <w:p w14:paraId="088CBCCB" w14:textId="2A7B5936" w:rsidR="00B356FF" w:rsidRPr="00BD18F3" w:rsidRDefault="00E32235" w:rsidP="00A13217">
      <w:pPr>
        <w:spacing w:before="240" w:after="240"/>
        <w:ind w:left="284"/>
        <w:jc w:val="both"/>
        <w:rPr>
          <w:rFonts w:ascii="Arial" w:hAnsi="Arial" w:cs="Arial"/>
          <w:kern w:val="24"/>
          <w:sz w:val="21"/>
          <w:szCs w:val="21"/>
          <w:lang w:val="es-ES"/>
        </w:rPr>
      </w:pPr>
      <w:r w:rsidRPr="00BD18F3">
        <w:rPr>
          <w:rFonts w:ascii="Arial" w:hAnsi="Arial" w:cs="Arial"/>
          <w:kern w:val="24"/>
          <w:sz w:val="21"/>
          <w:szCs w:val="21"/>
        </w:rPr>
        <w:t>Ese</w:t>
      </w:r>
      <w:r w:rsidR="00256670"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595471" w:rsidRPr="00BD18F3">
        <w:rPr>
          <w:rFonts w:ascii="Arial" w:hAnsi="Arial" w:cs="Arial"/>
          <w:kern w:val="24"/>
          <w:sz w:val="21"/>
          <w:szCs w:val="21"/>
        </w:rPr>
        <w:t>incremento está sustentado</w:t>
      </w:r>
      <w:r w:rsidR="004F68EF" w:rsidRPr="00BD18F3">
        <w:rPr>
          <w:rFonts w:ascii="Arial" w:hAnsi="Arial" w:cs="Arial"/>
          <w:kern w:val="24"/>
          <w:sz w:val="21"/>
          <w:szCs w:val="21"/>
        </w:rPr>
        <w:t>,</w:t>
      </w:r>
      <w:r w:rsidR="00595471" w:rsidRPr="00BD18F3">
        <w:rPr>
          <w:rFonts w:ascii="Arial" w:hAnsi="Arial" w:cs="Arial"/>
          <w:kern w:val="24"/>
          <w:sz w:val="21"/>
          <w:szCs w:val="21"/>
        </w:rPr>
        <w:t xml:space="preserve"> principalmente</w:t>
      </w:r>
      <w:r w:rsidR="004F68EF" w:rsidRPr="00BD18F3">
        <w:rPr>
          <w:rFonts w:ascii="Arial" w:hAnsi="Arial" w:cs="Arial"/>
          <w:kern w:val="24"/>
          <w:sz w:val="21"/>
          <w:szCs w:val="21"/>
        </w:rPr>
        <w:t>,</w:t>
      </w:r>
      <w:r w:rsidR="00595471" w:rsidRPr="00BD18F3">
        <w:rPr>
          <w:rFonts w:ascii="Arial" w:hAnsi="Arial" w:cs="Arial"/>
          <w:kern w:val="24"/>
          <w:sz w:val="21"/>
          <w:szCs w:val="21"/>
        </w:rPr>
        <w:t xml:space="preserve"> en las mayores devoluciones a los exportadores y a los proyectos de inversión acogidos al </w:t>
      </w:r>
      <w:r w:rsidR="00256670" w:rsidRPr="00BD18F3">
        <w:rPr>
          <w:rFonts w:ascii="Arial" w:hAnsi="Arial" w:cs="Arial"/>
          <w:kern w:val="24"/>
          <w:sz w:val="21"/>
          <w:szCs w:val="21"/>
          <w:lang w:val="es-ES"/>
        </w:rPr>
        <w:t>Régimen de Recuperación Anticipada del IGV</w:t>
      </w:r>
      <w:r w:rsidR="00E9027F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 </w:t>
      </w:r>
      <w:r w:rsidR="00256670" w:rsidRPr="00BD18F3">
        <w:rPr>
          <w:rFonts w:ascii="Arial" w:hAnsi="Arial" w:cs="Arial"/>
          <w:kern w:val="24"/>
          <w:sz w:val="21"/>
          <w:szCs w:val="21"/>
          <w:lang w:val="es-ES"/>
        </w:rPr>
        <w:t>(</w:t>
      </w:r>
      <w:r w:rsidR="00E9027F" w:rsidRPr="00BD18F3">
        <w:rPr>
          <w:rFonts w:ascii="Arial" w:hAnsi="Arial" w:cs="Arial"/>
          <w:kern w:val="24"/>
          <w:sz w:val="21"/>
          <w:szCs w:val="21"/>
          <w:lang w:val="es-ES"/>
        </w:rPr>
        <w:t>RAIGV</w:t>
      </w:r>
      <w:r w:rsidR="00256670" w:rsidRPr="00BD18F3">
        <w:rPr>
          <w:rFonts w:ascii="Arial" w:hAnsi="Arial" w:cs="Arial"/>
          <w:kern w:val="24"/>
          <w:sz w:val="21"/>
          <w:szCs w:val="21"/>
          <w:lang w:val="es-ES"/>
        </w:rPr>
        <w:t>)</w:t>
      </w:r>
      <w:r w:rsidR="00525415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. </w:t>
      </w:r>
      <w:r w:rsidR="00595471" w:rsidRPr="00BD18F3">
        <w:rPr>
          <w:rFonts w:ascii="Arial" w:hAnsi="Arial" w:cs="Arial"/>
          <w:kern w:val="24"/>
          <w:sz w:val="21"/>
          <w:szCs w:val="21"/>
          <w:lang w:val="es-ES"/>
        </w:rPr>
        <w:t xml:space="preserve">A ello se une la </w:t>
      </w:r>
      <w:r w:rsidR="00595471" w:rsidRPr="00BD18F3">
        <w:rPr>
          <w:rFonts w:ascii="Arial" w:hAnsi="Arial" w:cs="Arial"/>
          <w:kern w:val="24"/>
          <w:sz w:val="21"/>
          <w:szCs w:val="21"/>
          <w:lang w:val="es-ES"/>
        </w:rPr>
        <w:lastRenderedPageBreak/>
        <w:t xml:space="preserve">aplicación de </w:t>
      </w:r>
      <w:r w:rsidR="00525415" w:rsidRPr="00BD18F3">
        <w:rPr>
          <w:rFonts w:ascii="Arial" w:hAnsi="Arial" w:cs="Arial"/>
          <w:kern w:val="24"/>
          <w:sz w:val="21"/>
          <w:szCs w:val="21"/>
          <w:lang w:val="es-ES"/>
        </w:rPr>
        <w:t>las deducciones adicionales de hasta 3 UIT a las personas naturales.</w:t>
      </w:r>
    </w:p>
    <w:p w14:paraId="6DD48F42" w14:textId="5E56FA6A" w:rsidR="00DC68BF" w:rsidRPr="00BD18F3" w:rsidRDefault="00DC68BF" w:rsidP="00F14A2E">
      <w:pPr>
        <w:spacing w:before="240" w:after="240" w:line="240" w:lineRule="auto"/>
        <w:ind w:left="284"/>
        <w:rPr>
          <w:rFonts w:ascii="Arial" w:hAnsi="Arial" w:cs="Arial"/>
          <w:b/>
          <w:sz w:val="21"/>
          <w:szCs w:val="21"/>
        </w:rPr>
      </w:pPr>
      <w:r w:rsidRPr="00BD18F3">
        <w:rPr>
          <w:rFonts w:ascii="Arial" w:hAnsi="Arial" w:cs="Arial"/>
          <w:b/>
          <w:sz w:val="21"/>
          <w:szCs w:val="21"/>
        </w:rPr>
        <w:t>Acciones de la SUNAT en la recuperación de deuda y facilitación del comercio exterior</w:t>
      </w:r>
    </w:p>
    <w:p w14:paraId="3EC45158" w14:textId="013F5999" w:rsidR="00FB1496" w:rsidRPr="00BD18F3" w:rsidRDefault="00BD18F3" w:rsidP="004F68EF">
      <w:pPr>
        <w:spacing w:before="240" w:after="240" w:line="240" w:lineRule="auto"/>
        <w:ind w:left="284"/>
        <w:jc w:val="both"/>
        <w:rPr>
          <w:rFonts w:ascii="Arial" w:hAnsi="Arial" w:cs="Arial"/>
          <w:b/>
          <w:sz w:val="21"/>
          <w:szCs w:val="21"/>
        </w:rPr>
      </w:pPr>
      <w:r w:rsidRPr="00BD18F3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707392" behindDoc="0" locked="0" layoutInCell="1" allowOverlap="1" wp14:anchorId="1760D5F7" wp14:editId="7BF66D35">
            <wp:simplePos x="0" y="0"/>
            <wp:positionH relativeFrom="column">
              <wp:posOffset>2514600</wp:posOffset>
            </wp:positionH>
            <wp:positionV relativeFrom="paragraph">
              <wp:posOffset>2182495</wp:posOffset>
            </wp:positionV>
            <wp:extent cx="3688080" cy="2162175"/>
            <wp:effectExtent l="0" t="0" r="7620" b="9525"/>
            <wp:wrapSquare wrapText="bothSides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8EF" w:rsidRPr="00BD18F3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705344" behindDoc="0" locked="0" layoutInCell="1" allowOverlap="1" wp14:anchorId="74C516F1" wp14:editId="500141B3">
            <wp:simplePos x="0" y="0"/>
            <wp:positionH relativeFrom="margin">
              <wp:posOffset>2512060</wp:posOffset>
            </wp:positionH>
            <wp:positionV relativeFrom="paragraph">
              <wp:posOffset>25400</wp:posOffset>
            </wp:positionV>
            <wp:extent cx="3676650" cy="20955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D9E" w:rsidRPr="00BD18F3">
        <w:rPr>
          <w:rFonts w:ascii="Arial" w:hAnsi="Arial" w:cs="Arial"/>
          <w:color w:val="000000"/>
          <w:sz w:val="21"/>
          <w:szCs w:val="21"/>
          <w:lang w:val="es-ES"/>
        </w:rPr>
        <w:t xml:space="preserve">Por el lado de los buenos resultados de las acciones de la SUNAT, </w:t>
      </w:r>
      <w:r w:rsidR="00583D9E" w:rsidRPr="00BD18F3">
        <w:rPr>
          <w:rFonts w:ascii="Arial" w:eastAsiaTheme="minorEastAsia" w:hAnsi="Arial" w:cs="Arial"/>
          <w:color w:val="0070C0"/>
          <w:kern w:val="24"/>
          <w:sz w:val="21"/>
          <w:szCs w:val="21"/>
          <w:lang w:eastAsia="es-PE"/>
        </w:rPr>
        <w:t>la Tasa de Morosidad de los contribuyentes en el Régimen de Tercera Categoría,</w:t>
      </w:r>
      <w:r w:rsidR="00583D9E" w:rsidRPr="00BD18F3">
        <w:rPr>
          <w:rFonts w:ascii="Arial" w:hAnsi="Arial" w:cs="Arial"/>
          <w:color w:val="000000"/>
          <w:sz w:val="21"/>
          <w:szCs w:val="21"/>
          <w:lang w:val="es-ES"/>
        </w:rPr>
        <w:t xml:space="preserve"> entendida como los montos dejados de cancelar por los contribuyentes al momento de hacer sus declaraciones mensuales y que son recuperados hasta el último día del mes siguiente de la obligación, cerró en 1,6%, nivel inferior a</w:t>
      </w:r>
      <w:r w:rsidR="004F68EF" w:rsidRPr="00BD18F3">
        <w:rPr>
          <w:rFonts w:ascii="Arial" w:hAnsi="Arial" w:cs="Arial"/>
          <w:color w:val="000000"/>
          <w:sz w:val="21"/>
          <w:szCs w:val="21"/>
          <w:lang w:val="es-ES"/>
        </w:rPr>
        <w:t xml:space="preserve">l del </w:t>
      </w:r>
      <w:r w:rsidR="00583D9E" w:rsidRPr="00BD18F3">
        <w:rPr>
          <w:rFonts w:ascii="Arial" w:hAnsi="Arial" w:cs="Arial"/>
          <w:color w:val="000000"/>
          <w:sz w:val="21"/>
          <w:szCs w:val="21"/>
          <w:lang w:val="es-ES"/>
        </w:rPr>
        <w:t xml:space="preserve">2018. </w:t>
      </w:r>
      <w:r w:rsidR="00583D9E" w:rsidRPr="00BD18F3">
        <w:rPr>
          <w:rFonts w:ascii="Arial" w:hAnsi="Arial" w:cs="Arial"/>
          <w:bCs/>
          <w:color w:val="000000"/>
          <w:sz w:val="21"/>
          <w:szCs w:val="21"/>
          <w:lang w:val="es-ES"/>
        </w:rPr>
        <w:t>Esto significa que de cada S/ 100 soles declarados, SUNAT logró recuperar S/ 98,4 en el plazo indicado</w:t>
      </w:r>
      <w:r w:rsidR="004F68EF" w:rsidRPr="00BD18F3">
        <w:rPr>
          <w:rFonts w:ascii="Arial" w:hAnsi="Arial" w:cs="Arial"/>
          <w:bCs/>
          <w:color w:val="000000"/>
          <w:sz w:val="21"/>
          <w:szCs w:val="21"/>
          <w:lang w:val="es-ES"/>
        </w:rPr>
        <w:t>.</w:t>
      </w:r>
    </w:p>
    <w:p w14:paraId="70ADA1E4" w14:textId="09B270FF" w:rsidR="00583D9E" w:rsidRPr="00BD18F3" w:rsidRDefault="00583D9E" w:rsidP="00583D9E">
      <w:pPr>
        <w:spacing w:before="240" w:after="240" w:line="240" w:lineRule="auto"/>
        <w:ind w:left="284" w:hanging="218"/>
        <w:jc w:val="both"/>
        <w:rPr>
          <w:rFonts w:ascii="Arial" w:hAnsi="Arial" w:cs="Arial"/>
          <w:sz w:val="21"/>
          <w:szCs w:val="21"/>
        </w:rPr>
      </w:pPr>
      <w:r w:rsidRPr="00BD18F3">
        <w:rPr>
          <w:rFonts w:ascii="Arial" w:hAnsi="Arial" w:cs="Arial"/>
          <w:b/>
          <w:sz w:val="21"/>
          <w:szCs w:val="21"/>
        </w:rPr>
        <w:tab/>
      </w:r>
      <w:r w:rsidRPr="00BD18F3">
        <w:rPr>
          <w:rFonts w:ascii="Arial" w:hAnsi="Arial" w:cs="Arial"/>
          <w:sz w:val="21"/>
          <w:szCs w:val="21"/>
        </w:rPr>
        <w:t>Asimismo, en 201</w:t>
      </w:r>
      <w:r w:rsidR="004F68EF" w:rsidRPr="00BD18F3">
        <w:rPr>
          <w:rFonts w:ascii="Arial" w:hAnsi="Arial" w:cs="Arial"/>
          <w:sz w:val="21"/>
          <w:szCs w:val="21"/>
        </w:rPr>
        <w:t>9</w:t>
      </w:r>
      <w:r w:rsidRPr="00BD18F3">
        <w:rPr>
          <w:rFonts w:ascii="Arial" w:hAnsi="Arial" w:cs="Arial"/>
          <w:sz w:val="21"/>
          <w:szCs w:val="21"/>
        </w:rPr>
        <w:t xml:space="preserve"> se evidenció un avance importante </w:t>
      </w:r>
      <w:r w:rsidRPr="00BD18F3">
        <w:rPr>
          <w:rFonts w:ascii="Arial" w:eastAsiaTheme="minorEastAsia" w:hAnsi="Arial" w:cs="Arial"/>
          <w:color w:val="0070C0"/>
          <w:kern w:val="24"/>
          <w:sz w:val="21"/>
          <w:szCs w:val="21"/>
          <w:lang w:eastAsia="es-PE"/>
        </w:rPr>
        <w:t>en la eficiencia de recuperación de la deuda</w:t>
      </w:r>
      <w:r w:rsidRPr="00BD18F3">
        <w:rPr>
          <w:rFonts w:ascii="Arial" w:hAnsi="Arial" w:cs="Arial"/>
          <w:sz w:val="21"/>
          <w:szCs w:val="21"/>
        </w:rPr>
        <w:t xml:space="preserve"> pues la SUNAT recuperó S/ 3 550 millones que formaban parte del stock proveniente de períodos anteriores, cifra récord superior en S/ 1 550</w:t>
      </w:r>
      <w:r w:rsidR="004F68EF" w:rsidRPr="00BD18F3">
        <w:rPr>
          <w:rFonts w:ascii="Arial" w:hAnsi="Arial" w:cs="Arial"/>
          <w:sz w:val="21"/>
          <w:szCs w:val="21"/>
        </w:rPr>
        <w:t xml:space="preserve"> millones</w:t>
      </w:r>
      <w:r w:rsidRPr="00BD18F3">
        <w:rPr>
          <w:rFonts w:ascii="Arial" w:hAnsi="Arial" w:cs="Arial"/>
          <w:sz w:val="21"/>
          <w:szCs w:val="21"/>
        </w:rPr>
        <w:t>, respecto a los S/ 2</w:t>
      </w:r>
      <w:r w:rsidR="0095447D">
        <w:rPr>
          <w:rFonts w:ascii="Arial" w:hAnsi="Arial" w:cs="Arial"/>
          <w:sz w:val="21"/>
          <w:szCs w:val="21"/>
        </w:rPr>
        <w:t xml:space="preserve"> </w:t>
      </w:r>
      <w:r w:rsidRPr="00BD18F3">
        <w:rPr>
          <w:rFonts w:ascii="Arial" w:hAnsi="Arial" w:cs="Arial"/>
          <w:sz w:val="21"/>
          <w:szCs w:val="21"/>
        </w:rPr>
        <w:t xml:space="preserve">000 millones recuperados durante </w:t>
      </w:r>
      <w:r w:rsidR="004F68EF" w:rsidRPr="00BD18F3">
        <w:rPr>
          <w:rFonts w:ascii="Arial" w:hAnsi="Arial" w:cs="Arial"/>
          <w:sz w:val="21"/>
          <w:szCs w:val="21"/>
        </w:rPr>
        <w:t xml:space="preserve">el </w:t>
      </w:r>
      <w:r w:rsidRPr="00BD18F3">
        <w:rPr>
          <w:rFonts w:ascii="Arial" w:hAnsi="Arial" w:cs="Arial"/>
          <w:sz w:val="21"/>
          <w:szCs w:val="21"/>
        </w:rPr>
        <w:t xml:space="preserve">2018. </w:t>
      </w:r>
    </w:p>
    <w:p w14:paraId="5028A735" w14:textId="687163BD" w:rsidR="00583D9E" w:rsidRPr="00BD18F3" w:rsidRDefault="00477C94" w:rsidP="00583D9E">
      <w:pPr>
        <w:spacing w:before="240" w:after="240" w:line="240" w:lineRule="auto"/>
        <w:ind w:left="284" w:hanging="218"/>
        <w:jc w:val="both"/>
        <w:rPr>
          <w:rFonts w:ascii="Arial" w:hAnsi="Arial" w:cs="Arial"/>
          <w:sz w:val="21"/>
          <w:szCs w:val="21"/>
        </w:rPr>
      </w:pPr>
      <w:r w:rsidRPr="00BD18F3">
        <w:rPr>
          <w:rFonts w:ascii="Arial" w:hAnsi="Arial" w:cs="Arial"/>
          <w:sz w:val="21"/>
          <w:szCs w:val="21"/>
        </w:rPr>
        <w:t xml:space="preserve"> </w:t>
      </w:r>
      <w:r w:rsidR="00583D9E" w:rsidRPr="00BD18F3">
        <w:rPr>
          <w:rFonts w:ascii="Arial" w:hAnsi="Arial" w:cs="Arial"/>
          <w:sz w:val="21"/>
          <w:szCs w:val="21"/>
        </w:rPr>
        <w:tab/>
        <w:t xml:space="preserve">La recuperación se realiza mediante acciones inductivas, cobranzas de campo y de oficina, los cuales incorporan cada vez más mecanismos basados en el uso intensivo de fuentes de información que permiten ser más precisos y efectivos en las acciones emprendidas por la Administración Tributaria. </w:t>
      </w:r>
    </w:p>
    <w:p w14:paraId="06CBEC0C" w14:textId="489698F8" w:rsidR="00FB1496" w:rsidRPr="00BD18F3" w:rsidRDefault="00583D9E" w:rsidP="00477C94">
      <w:pPr>
        <w:spacing w:before="240" w:after="120" w:line="240" w:lineRule="auto"/>
        <w:ind w:left="284" w:hanging="218"/>
        <w:jc w:val="both"/>
        <w:rPr>
          <w:rFonts w:ascii="Arial" w:hAnsi="Arial" w:cs="Arial"/>
          <w:sz w:val="21"/>
          <w:szCs w:val="21"/>
        </w:rPr>
      </w:pPr>
      <w:r w:rsidRPr="00BD18F3">
        <w:rPr>
          <w:rFonts w:ascii="Arial" w:hAnsi="Arial" w:cs="Arial"/>
          <w:sz w:val="21"/>
          <w:szCs w:val="21"/>
        </w:rPr>
        <w:tab/>
      </w:r>
      <w:r w:rsidR="00477C94" w:rsidRPr="00BD18F3">
        <w:rPr>
          <w:rFonts w:ascii="Arial" w:hAnsi="Arial" w:cs="Arial"/>
          <w:sz w:val="21"/>
          <w:szCs w:val="21"/>
        </w:rPr>
        <w:t>D</w:t>
      </w:r>
      <w:r w:rsidRPr="00BD18F3">
        <w:rPr>
          <w:rFonts w:ascii="Arial" w:hAnsi="Arial" w:cs="Arial"/>
          <w:sz w:val="21"/>
          <w:szCs w:val="21"/>
        </w:rPr>
        <w:t xml:space="preserve">urante el 2019 </w:t>
      </w:r>
      <w:r w:rsidR="004F68EF" w:rsidRPr="00BD18F3">
        <w:rPr>
          <w:rFonts w:ascii="Arial" w:hAnsi="Arial" w:cs="Arial"/>
          <w:sz w:val="21"/>
          <w:szCs w:val="21"/>
        </w:rPr>
        <w:t>s</w:t>
      </w:r>
      <w:r w:rsidRPr="00BD18F3">
        <w:rPr>
          <w:rFonts w:ascii="Arial" w:hAnsi="Arial" w:cs="Arial"/>
          <w:sz w:val="21"/>
          <w:szCs w:val="21"/>
        </w:rPr>
        <w:t>e recuperaron montos importantes de deuda en litigio, destacando algunos casos emblemáticos del sector telecomunicaciones; además de la recuperación de deuda tributaria de empresas vinculadas al grupo empresarial Odebrecht, mediante el cobro del Fideicomiso de Retención y Reparación – FIRR, aprobado con la Ley 30737.</w:t>
      </w:r>
    </w:p>
    <w:p w14:paraId="4A0B1255" w14:textId="1B5FB576" w:rsidR="00477C94" w:rsidRPr="00BD18F3" w:rsidRDefault="004F68EF" w:rsidP="00782B71">
      <w:pPr>
        <w:pStyle w:val="Prrafodelista"/>
        <w:numPr>
          <w:ilvl w:val="0"/>
          <w:numId w:val="11"/>
        </w:numPr>
        <w:spacing w:before="240"/>
        <w:ind w:left="360" w:hanging="218"/>
        <w:contextualSpacing w:val="0"/>
        <w:jc w:val="both"/>
        <w:rPr>
          <w:rFonts w:ascii="Arial" w:hAnsi="Arial" w:cs="Arial"/>
          <w:iCs/>
          <w:color w:val="404040" w:themeColor="text1" w:themeTint="BF"/>
          <w:sz w:val="21"/>
          <w:szCs w:val="21"/>
        </w:rPr>
      </w:pPr>
      <w:r w:rsidRPr="00BD18F3">
        <w:rPr>
          <w:noProof/>
          <w:sz w:val="21"/>
          <w:szCs w:val="21"/>
        </w:rPr>
        <w:drawing>
          <wp:anchor distT="0" distB="0" distL="114300" distR="114300" simplePos="0" relativeHeight="251703296" behindDoc="0" locked="0" layoutInCell="1" allowOverlap="0" wp14:anchorId="6CB8B7F0" wp14:editId="27FC7CC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232150" cy="1926590"/>
            <wp:effectExtent l="0" t="0" r="6350" b="0"/>
            <wp:wrapSquare wrapText="bothSides"/>
            <wp:docPr id="4" name="Imagen 4" descr="cid:image004.jpg@01D5C231.0659E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5C231.0659EB8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17" cy="193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8F3">
        <w:rPr>
          <w:rFonts w:ascii="Arial" w:hAnsi="Arial" w:cs="Arial"/>
          <w:kern w:val="24"/>
          <w:sz w:val="21"/>
          <w:szCs w:val="21"/>
        </w:rPr>
        <w:t xml:space="preserve">Finalmente, </w:t>
      </w:r>
      <w:r w:rsidRPr="00BD18F3">
        <w:rPr>
          <w:rFonts w:ascii="Arial" w:hAnsi="Arial" w:cs="Arial"/>
          <w:color w:val="0070C0"/>
          <w:kern w:val="24"/>
          <w:sz w:val="21"/>
          <w:szCs w:val="21"/>
        </w:rPr>
        <w:t>l</w:t>
      </w:r>
      <w:r w:rsidR="001E0620" w:rsidRPr="00BD18F3">
        <w:rPr>
          <w:rFonts w:ascii="Arial" w:hAnsi="Arial" w:cs="Arial"/>
          <w:color w:val="0070C0"/>
          <w:kern w:val="24"/>
          <w:sz w:val="21"/>
          <w:szCs w:val="21"/>
        </w:rPr>
        <w:t>a facilitación del comercio exterior</w:t>
      </w:r>
      <w:r w:rsidR="001E0620" w:rsidRPr="00BD18F3">
        <w:rPr>
          <w:rFonts w:ascii="Arial" w:hAnsi="Arial" w:cs="Arial"/>
          <w:kern w:val="24"/>
          <w:sz w:val="21"/>
          <w:szCs w:val="21"/>
        </w:rPr>
        <w:t xml:space="preserve"> también contribuyó a dinamizar la actividad económica y la recaudación. A diciembre </w:t>
      </w:r>
      <w:r w:rsidR="00E32235" w:rsidRPr="00BD18F3">
        <w:rPr>
          <w:rFonts w:ascii="Arial" w:hAnsi="Arial" w:cs="Arial"/>
          <w:kern w:val="24"/>
          <w:sz w:val="21"/>
          <w:szCs w:val="21"/>
        </w:rPr>
        <w:t xml:space="preserve">último </w:t>
      </w:r>
      <w:r w:rsidR="001E0620" w:rsidRPr="00BD18F3">
        <w:rPr>
          <w:rFonts w:ascii="Arial" w:hAnsi="Arial" w:cs="Arial"/>
          <w:kern w:val="24"/>
          <w:sz w:val="21"/>
          <w:szCs w:val="21"/>
        </w:rPr>
        <w:t xml:space="preserve">el tiempo total de liberación de mercancías importadas disminuyó a 79,2 horas, habiéndose reducido en los últimos 6 años más de 60 horas. </w:t>
      </w:r>
      <w:r w:rsidR="00F33ED2">
        <w:rPr>
          <w:rFonts w:ascii="Arial" w:hAnsi="Arial" w:cs="Arial"/>
          <w:kern w:val="24"/>
          <w:sz w:val="21"/>
          <w:szCs w:val="21"/>
        </w:rPr>
        <w:t xml:space="preserve">Cabe destacar que de estas 79,2 horas </w:t>
      </w:r>
      <w:r w:rsidR="001E0620" w:rsidRPr="00BD18F3">
        <w:rPr>
          <w:rFonts w:ascii="Arial" w:hAnsi="Arial" w:cs="Arial"/>
          <w:kern w:val="24"/>
          <w:sz w:val="21"/>
          <w:szCs w:val="21"/>
        </w:rPr>
        <w:t>solo 5 horas corresponden a la SUNAT, lo que ha permitido mejorar el índice de comercio transfronterizo de Doing Business 2020 en 8 posiciones.</w:t>
      </w:r>
      <w:r w:rsidR="00583D9E" w:rsidRPr="00BD18F3">
        <w:rPr>
          <w:noProof/>
          <w:sz w:val="21"/>
          <w:szCs w:val="21"/>
        </w:rPr>
        <w:t xml:space="preserve"> </w:t>
      </w:r>
    </w:p>
    <w:p w14:paraId="5FECA53C" w14:textId="73B38BE7" w:rsidR="001E0620" w:rsidRPr="00F14A2E" w:rsidRDefault="001E0620" w:rsidP="00477C94">
      <w:pPr>
        <w:spacing w:before="240"/>
        <w:ind w:left="360"/>
        <w:jc w:val="both"/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</w:pPr>
      <w:r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 xml:space="preserve">A través del Programa FAST, se vienen implementando modernas aplicaciones informáticas, que contribuyen a la disminución de los tiempos </w:t>
      </w:r>
      <w:r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lastRenderedPageBreak/>
        <w:t xml:space="preserve">de despacho aduanero basado en la transformación digital, fortaleciendo el intercambio de información con los actores de la cadena de suministros vinculados al Comercio Exterior bajo el </w:t>
      </w:r>
      <w:r w:rsidR="004F68EF"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>m</w:t>
      </w:r>
      <w:r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>odelo de datos estándar de la OMA.</w:t>
      </w:r>
    </w:p>
    <w:p w14:paraId="66D4E83E" w14:textId="1350A58C" w:rsidR="00DC68BF" w:rsidRPr="00F14A2E" w:rsidRDefault="001E0620" w:rsidP="00477C94">
      <w:pPr>
        <w:spacing w:after="0"/>
        <w:ind w:left="360"/>
        <w:jc w:val="both"/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</w:pPr>
      <w:r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>Asimismo, mediante el Programa de Operador Económico Autorizado (OEA) se certificaron 50 empresas, logrando alcanzar un total de 151 operadores acreditados</w:t>
      </w:r>
      <w:r w:rsidR="00B77E8A"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>;</w:t>
      </w:r>
      <w:r w:rsidR="008066C8"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 xml:space="preserve"> y en</w:t>
      </w:r>
      <w:r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 xml:space="preserve"> mayo </w:t>
      </w:r>
      <w:r w:rsidR="008066C8"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 xml:space="preserve">del </w:t>
      </w:r>
      <w:r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>2019 se suscribió con la Comunidad Andina el Acuerdo de Reconocimiento Mutuo (ARM), que permite que las validaciones y autorizaciones otorgadas a una empresa OEA sean reconocidas por otros países que forman parte del programa</w:t>
      </w:r>
      <w:r w:rsidR="00EA3A95"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 xml:space="preserve">, contando a la fecha con 5 acuerdos vigentes (Corea del Sur, Uruguay, Alianza del Pacífico, EEUU y CAN). </w:t>
      </w:r>
      <w:r w:rsidRPr="00F14A2E">
        <w:rPr>
          <w:rStyle w:val="nfasissutil"/>
          <w:rFonts w:ascii="Arial" w:hAnsi="Arial" w:cs="Arial"/>
          <w:i w:val="0"/>
          <w:color w:val="000000" w:themeColor="text1"/>
          <w:sz w:val="21"/>
          <w:szCs w:val="21"/>
        </w:rPr>
        <w:t xml:space="preserve"> </w:t>
      </w:r>
    </w:p>
    <w:p w14:paraId="152F3725" w14:textId="11473779" w:rsidR="00477C94" w:rsidRDefault="00477C94" w:rsidP="00477C94">
      <w:pPr>
        <w:spacing w:after="0"/>
        <w:jc w:val="both"/>
        <w:rPr>
          <w:rFonts w:ascii="Arial" w:hAnsi="Arial" w:cs="Arial"/>
          <w:b/>
          <w:kern w:val="24"/>
          <w:sz w:val="21"/>
          <w:szCs w:val="21"/>
        </w:rPr>
      </w:pPr>
    </w:p>
    <w:p w14:paraId="7427C7BD" w14:textId="77777777" w:rsidR="00F14A2E" w:rsidRPr="00BD18F3" w:rsidRDefault="00F14A2E" w:rsidP="00477C94">
      <w:pPr>
        <w:spacing w:after="0"/>
        <w:jc w:val="both"/>
        <w:rPr>
          <w:rFonts w:ascii="Arial" w:hAnsi="Arial" w:cs="Arial"/>
          <w:b/>
          <w:kern w:val="24"/>
          <w:sz w:val="21"/>
          <w:szCs w:val="21"/>
        </w:rPr>
      </w:pPr>
    </w:p>
    <w:p w14:paraId="7B6D77B6" w14:textId="0106CB47" w:rsidR="00B519FE" w:rsidRPr="00BD18F3" w:rsidRDefault="00477C94" w:rsidP="00477C94">
      <w:pPr>
        <w:spacing w:after="0"/>
        <w:jc w:val="both"/>
        <w:rPr>
          <w:rFonts w:ascii="Arial" w:hAnsi="Arial" w:cs="Arial"/>
          <w:b/>
          <w:kern w:val="24"/>
          <w:sz w:val="21"/>
          <w:szCs w:val="21"/>
        </w:rPr>
      </w:pPr>
      <w:r w:rsidRPr="00BD18F3">
        <w:rPr>
          <w:rFonts w:ascii="Arial" w:hAnsi="Arial" w:cs="Arial"/>
          <w:b/>
          <w:kern w:val="24"/>
          <w:sz w:val="21"/>
          <w:szCs w:val="21"/>
        </w:rPr>
        <w:t xml:space="preserve">    Gerencia de Comunicaciones e Imagen Institucional</w:t>
      </w:r>
    </w:p>
    <w:p w14:paraId="50137BAA" w14:textId="0C5208FA" w:rsidR="00477C94" w:rsidRPr="00BD18F3" w:rsidRDefault="00477C94" w:rsidP="00477C94">
      <w:pPr>
        <w:spacing w:after="0"/>
        <w:jc w:val="both"/>
        <w:rPr>
          <w:rFonts w:ascii="Arial" w:hAnsi="Arial" w:cs="Arial"/>
          <w:kern w:val="24"/>
          <w:sz w:val="21"/>
          <w:szCs w:val="21"/>
        </w:rPr>
      </w:pPr>
      <w:bookmarkStart w:id="1" w:name="_GoBack"/>
      <w:bookmarkEnd w:id="1"/>
      <w:r w:rsidRPr="00BD18F3">
        <w:rPr>
          <w:rFonts w:ascii="Arial" w:hAnsi="Arial" w:cs="Arial"/>
          <w:kern w:val="24"/>
          <w:sz w:val="21"/>
          <w:szCs w:val="21"/>
        </w:rPr>
        <w:t xml:space="preserve">    Lima, </w:t>
      </w:r>
      <w:r w:rsidR="00D47F34">
        <w:rPr>
          <w:rFonts w:ascii="Arial" w:hAnsi="Arial" w:cs="Arial"/>
          <w:kern w:val="24"/>
          <w:sz w:val="21"/>
          <w:szCs w:val="21"/>
        </w:rPr>
        <w:t>lunes</w:t>
      </w:r>
      <w:r w:rsidRPr="00BD18F3">
        <w:rPr>
          <w:rFonts w:ascii="Arial" w:hAnsi="Arial" w:cs="Arial"/>
          <w:kern w:val="24"/>
          <w:sz w:val="21"/>
          <w:szCs w:val="21"/>
        </w:rPr>
        <w:t xml:space="preserve"> </w:t>
      </w:r>
      <w:r w:rsidR="00D47F34">
        <w:rPr>
          <w:rFonts w:ascii="Arial" w:hAnsi="Arial" w:cs="Arial"/>
          <w:kern w:val="24"/>
          <w:sz w:val="21"/>
          <w:szCs w:val="21"/>
        </w:rPr>
        <w:t>6</w:t>
      </w:r>
      <w:r w:rsidRPr="00BD18F3">
        <w:rPr>
          <w:rFonts w:ascii="Arial" w:hAnsi="Arial" w:cs="Arial"/>
          <w:kern w:val="24"/>
          <w:sz w:val="21"/>
          <w:szCs w:val="21"/>
        </w:rPr>
        <w:t xml:space="preserve"> de enero del 2020.</w:t>
      </w:r>
    </w:p>
    <w:sectPr w:rsidR="00477C94" w:rsidRPr="00BD18F3" w:rsidSect="00173624">
      <w:headerReference w:type="default" r:id="rId19"/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C612" w14:textId="77777777" w:rsidR="001763AD" w:rsidRDefault="001763AD" w:rsidP="00D57CD9">
      <w:pPr>
        <w:spacing w:after="0" w:line="240" w:lineRule="auto"/>
      </w:pPr>
      <w:r>
        <w:separator/>
      </w:r>
    </w:p>
  </w:endnote>
  <w:endnote w:type="continuationSeparator" w:id="0">
    <w:p w14:paraId="51A4E2C4" w14:textId="77777777" w:rsidR="001763AD" w:rsidRDefault="001763AD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alibri"/>
    <w:charset w:val="00"/>
    <w:family w:val="swiss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0CA4" w14:textId="77777777" w:rsidR="00845BD7" w:rsidRDefault="00845BD7">
    <w:pPr>
      <w:pStyle w:val="Piedepgina"/>
    </w:pPr>
    <w:r>
      <w:rPr>
        <w:rFonts w:ascii="Antique Olive Roman" w:hAnsi="Antique Olive Roman" w:cs="Aharoni"/>
        <w:b/>
        <w:noProof/>
        <w:szCs w:val="20"/>
        <w:lang w:val="en-US"/>
      </w:rPr>
      <w:drawing>
        <wp:inline distT="0" distB="0" distL="0" distR="0" wp14:anchorId="085A3AC1" wp14:editId="088CA202">
          <wp:extent cx="289560" cy="289560"/>
          <wp:effectExtent l="0" t="0" r="0" b="0"/>
          <wp:docPr id="2" name="Imagen 2" descr="Descripción: Descripción: logo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ntique Olive Roman" w:hAnsi="Antique Olive Roman" w:cs="Aharoni"/>
        <w:b/>
        <w:szCs w:val="2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E1D6" w14:textId="77777777" w:rsidR="001763AD" w:rsidRDefault="001763AD" w:rsidP="00D57CD9">
      <w:pPr>
        <w:spacing w:after="0" w:line="240" w:lineRule="auto"/>
      </w:pPr>
      <w:r>
        <w:separator/>
      </w:r>
    </w:p>
  </w:footnote>
  <w:footnote w:type="continuationSeparator" w:id="0">
    <w:p w14:paraId="72D1733B" w14:textId="77777777" w:rsidR="001763AD" w:rsidRDefault="001763AD" w:rsidP="00D57CD9">
      <w:pPr>
        <w:spacing w:after="0" w:line="240" w:lineRule="auto"/>
      </w:pPr>
      <w:r>
        <w:continuationSeparator/>
      </w:r>
    </w:p>
  </w:footnote>
  <w:footnote w:id="1">
    <w:p w14:paraId="162FDA6E" w14:textId="77777777" w:rsidR="00D57CD9" w:rsidRDefault="00D57CD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>Todas las variaciones porcentuales en este documento se expresan en términos reales, salvo indicación en contrario</w:t>
      </w:r>
      <w:r w:rsidR="00D24B91">
        <w:rPr>
          <w:rFonts w:ascii="Arial" w:hAnsi="Arial" w:cs="Arial"/>
          <w:kern w:val="24"/>
          <w:sz w:val="16"/>
          <w:szCs w:val="16"/>
          <w:lang w:val="es-ES"/>
        </w:rPr>
        <w:t>.</w:t>
      </w:r>
    </w:p>
  </w:footnote>
  <w:footnote w:id="2">
    <w:p w14:paraId="44DB6E2D" w14:textId="46C6FF8B" w:rsidR="0000227B" w:rsidRDefault="0000227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kern w:val="24"/>
          <w:sz w:val="16"/>
          <w:szCs w:val="16"/>
        </w:rPr>
        <w:t xml:space="preserve">Considera </w:t>
      </w:r>
      <w:r w:rsidR="00AC01C8">
        <w:rPr>
          <w:rFonts w:ascii="Arial" w:hAnsi="Arial" w:cs="Arial"/>
          <w:kern w:val="24"/>
          <w:sz w:val="16"/>
          <w:szCs w:val="16"/>
        </w:rPr>
        <w:t xml:space="preserve">la </w:t>
      </w:r>
      <w:r>
        <w:rPr>
          <w:rFonts w:ascii="Arial" w:hAnsi="Arial" w:cs="Arial"/>
          <w:kern w:val="24"/>
          <w:sz w:val="16"/>
          <w:szCs w:val="16"/>
          <w:lang w:val="es-ES"/>
        </w:rPr>
        <w:t>p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 xml:space="preserve">royección </w:t>
      </w:r>
      <w:r>
        <w:rPr>
          <w:rFonts w:ascii="Arial" w:hAnsi="Arial" w:cs="Arial"/>
          <w:kern w:val="24"/>
          <w:sz w:val="16"/>
          <w:szCs w:val="16"/>
          <w:lang w:val="es-ES"/>
        </w:rPr>
        <w:t xml:space="preserve">de 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 xml:space="preserve">PBI </w:t>
      </w:r>
      <w:r w:rsidR="00AC01C8">
        <w:rPr>
          <w:rFonts w:ascii="Arial" w:hAnsi="Arial" w:cs="Arial"/>
          <w:kern w:val="24"/>
          <w:sz w:val="16"/>
          <w:szCs w:val="16"/>
          <w:lang w:val="es-ES"/>
        </w:rPr>
        <w:t xml:space="preserve">publicada por el 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>BCRP</w:t>
      </w:r>
      <w:r w:rsidR="00AC01C8">
        <w:rPr>
          <w:rFonts w:ascii="Arial" w:hAnsi="Arial" w:cs="Arial"/>
          <w:kern w:val="24"/>
          <w:sz w:val="16"/>
          <w:szCs w:val="16"/>
          <w:lang w:val="es-ES"/>
        </w:rPr>
        <w:t xml:space="preserve"> en </w:t>
      </w:r>
      <w:r>
        <w:rPr>
          <w:rFonts w:ascii="Arial" w:hAnsi="Arial" w:cs="Arial"/>
          <w:kern w:val="24"/>
          <w:sz w:val="16"/>
          <w:szCs w:val="16"/>
          <w:lang w:val="es-ES"/>
        </w:rPr>
        <w:t xml:space="preserve">diciembre </w:t>
      </w:r>
      <w:r w:rsidR="00AC01C8">
        <w:rPr>
          <w:rFonts w:ascii="Arial" w:hAnsi="Arial" w:cs="Arial"/>
          <w:kern w:val="24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kern w:val="24"/>
          <w:sz w:val="16"/>
          <w:szCs w:val="16"/>
          <w:lang w:val="es-ES"/>
        </w:rPr>
        <w:t>201</w:t>
      </w:r>
      <w:r w:rsidR="006F0E55">
        <w:rPr>
          <w:rFonts w:ascii="Arial" w:hAnsi="Arial" w:cs="Arial"/>
          <w:kern w:val="24"/>
          <w:sz w:val="16"/>
          <w:szCs w:val="16"/>
          <w:lang w:val="es-ES"/>
        </w:rPr>
        <w:t>9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>.</w:t>
      </w:r>
    </w:p>
  </w:footnote>
  <w:footnote w:id="3">
    <w:p w14:paraId="5DC51E2E" w14:textId="77777777" w:rsidR="00616B97" w:rsidRDefault="00616B97" w:rsidP="00616B9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199D">
        <w:rPr>
          <w:rFonts w:ascii="Arial" w:hAnsi="Arial" w:cs="Arial"/>
          <w:kern w:val="24"/>
          <w:sz w:val="16"/>
          <w:szCs w:val="16"/>
          <w:lang w:val="es-ES"/>
        </w:rPr>
        <w:t>Proyección del BCRP en su Reporte de Inflación de diciembre 201</w:t>
      </w:r>
      <w:r>
        <w:rPr>
          <w:rFonts w:ascii="Arial" w:hAnsi="Arial" w:cs="Arial"/>
          <w:kern w:val="24"/>
          <w:sz w:val="16"/>
          <w:szCs w:val="16"/>
          <w:lang w:val="es-ES"/>
        </w:rPr>
        <w:t>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A08D" w14:textId="77777777" w:rsidR="00845BD7" w:rsidRDefault="00845BD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A557" wp14:editId="3B6CD7BE">
              <wp:simplePos x="0" y="0"/>
              <wp:positionH relativeFrom="column">
                <wp:posOffset>4331970</wp:posOffset>
              </wp:positionH>
              <wp:positionV relativeFrom="paragraph">
                <wp:posOffset>67310</wp:posOffset>
              </wp:positionV>
              <wp:extent cx="2038350" cy="543560"/>
              <wp:effectExtent l="0" t="0" r="0" b="889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E542" w14:textId="77777777" w:rsidR="00845BD7" w:rsidRPr="00845BD7" w:rsidRDefault="00845BD7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</w:pPr>
                          <w:r w:rsidRPr="00845BD7"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  <w:t>Gerencia de Comunicaciones</w:t>
                          </w:r>
                        </w:p>
                        <w:p w14:paraId="6871F003" w14:textId="77777777" w:rsidR="00845BD7" w:rsidRPr="00845BD7" w:rsidRDefault="00845BD7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</w:pPr>
                          <w:r w:rsidRPr="00845BD7"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  <w:t xml:space="preserve">Central: 634-3300 </w:t>
                          </w:r>
                        </w:p>
                        <w:p w14:paraId="76119787" w14:textId="77777777" w:rsidR="00845BD7" w:rsidRPr="00845BD7" w:rsidRDefault="00845BD7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</w:pPr>
                          <w:r w:rsidRPr="00845BD7"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1BEEFA3A" w14:textId="77777777" w:rsidR="00845BD7" w:rsidRPr="00845BD7" w:rsidRDefault="00845BD7" w:rsidP="00845BD7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DA55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41.1pt;margin-top:5.3pt;width:160.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" stroked="f">
              <v:textbox>
                <w:txbxContent>
                  <w:p w14:paraId="5292E542" w14:textId="77777777" w:rsidR="00845BD7" w:rsidRPr="00845BD7" w:rsidRDefault="00845BD7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 Narrow" w:hAnsi="Arial Narrow" w:cs="Arial"/>
                        <w:b/>
                        <w:sz w:val="16"/>
                      </w:rPr>
                    </w:pPr>
                    <w:r w:rsidRPr="00845BD7">
                      <w:rPr>
                        <w:rFonts w:ascii="Arial Narrow" w:hAnsi="Arial Narrow" w:cs="Arial"/>
                        <w:b/>
                        <w:sz w:val="16"/>
                      </w:rPr>
                      <w:t>Gerencia de Comunicaciones</w:t>
                    </w:r>
                  </w:p>
                  <w:p w14:paraId="6871F003" w14:textId="77777777" w:rsidR="00845BD7" w:rsidRPr="00845BD7" w:rsidRDefault="00845BD7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 Narrow" w:hAnsi="Arial Narrow" w:cs="Arial"/>
                        <w:b/>
                        <w:sz w:val="16"/>
                      </w:rPr>
                    </w:pPr>
                    <w:r w:rsidRPr="00845BD7">
                      <w:rPr>
                        <w:rFonts w:ascii="Arial Narrow" w:hAnsi="Arial Narrow" w:cs="Arial"/>
                        <w:b/>
                        <w:sz w:val="16"/>
                      </w:rPr>
                      <w:t xml:space="preserve">Central: 634-3300 </w:t>
                    </w:r>
                  </w:p>
                  <w:p w14:paraId="76119787" w14:textId="77777777" w:rsidR="00845BD7" w:rsidRPr="00845BD7" w:rsidRDefault="00845BD7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 Narrow" w:hAnsi="Arial Narrow" w:cs="Arial"/>
                        <w:b/>
                        <w:sz w:val="16"/>
                      </w:rPr>
                    </w:pPr>
                    <w:r w:rsidRPr="00845BD7">
                      <w:rPr>
                        <w:rFonts w:ascii="Arial Narrow" w:hAnsi="Arial Narrow" w:cs="Arial"/>
                        <w:b/>
                        <w:sz w:val="16"/>
                      </w:rPr>
                      <w:t xml:space="preserve"> Anexos: 50308/50309/50361</w:t>
                    </w:r>
                  </w:p>
                  <w:p w14:paraId="1BEEFA3A" w14:textId="77777777" w:rsidR="00845BD7" w:rsidRPr="00845BD7" w:rsidRDefault="00845BD7" w:rsidP="00845BD7">
                    <w:pPr>
                      <w:spacing w:after="0" w:line="240" w:lineRule="auto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99D6565" wp14:editId="0647B793">
          <wp:extent cx="2072640" cy="678968"/>
          <wp:effectExtent l="0" t="0" r="3810" b="6985"/>
          <wp:docPr id="1" name="Imagen 1" descr="Descripción: 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78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7C"/>
    <w:multiLevelType w:val="hybridMultilevel"/>
    <w:tmpl w:val="92D45D5C"/>
    <w:lvl w:ilvl="0" w:tplc="280A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5D075C3"/>
    <w:multiLevelType w:val="hybridMultilevel"/>
    <w:tmpl w:val="32D69FD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049A7"/>
    <w:multiLevelType w:val="hybridMultilevel"/>
    <w:tmpl w:val="A95A4DB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B01C00"/>
    <w:multiLevelType w:val="hybridMultilevel"/>
    <w:tmpl w:val="CF64EA0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F833CA"/>
    <w:multiLevelType w:val="hybridMultilevel"/>
    <w:tmpl w:val="08725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10997"/>
    <w:multiLevelType w:val="hybridMultilevel"/>
    <w:tmpl w:val="1A8A6D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45308"/>
    <w:multiLevelType w:val="hybridMultilevel"/>
    <w:tmpl w:val="40268010"/>
    <w:lvl w:ilvl="0" w:tplc="82F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D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60665"/>
    <w:multiLevelType w:val="hybridMultilevel"/>
    <w:tmpl w:val="FF4213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52E9"/>
    <w:multiLevelType w:val="hybridMultilevel"/>
    <w:tmpl w:val="06C299F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F7271F"/>
    <w:multiLevelType w:val="hybridMultilevel"/>
    <w:tmpl w:val="030C32EC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6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0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9844B5"/>
    <w:multiLevelType w:val="hybridMultilevel"/>
    <w:tmpl w:val="249A6A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21776"/>
    <w:multiLevelType w:val="hybridMultilevel"/>
    <w:tmpl w:val="99D28F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24E20"/>
    <w:multiLevelType w:val="hybridMultilevel"/>
    <w:tmpl w:val="C7F81030"/>
    <w:lvl w:ilvl="0" w:tplc="69684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A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8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A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6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88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24"/>
    <w:rsid w:val="0000227B"/>
    <w:rsid w:val="000069EA"/>
    <w:rsid w:val="00045DEE"/>
    <w:rsid w:val="00091EDD"/>
    <w:rsid w:val="000A4F40"/>
    <w:rsid w:val="000E5703"/>
    <w:rsid w:val="0010218D"/>
    <w:rsid w:val="00103F15"/>
    <w:rsid w:val="0010432F"/>
    <w:rsid w:val="00117AF1"/>
    <w:rsid w:val="0013177F"/>
    <w:rsid w:val="00155699"/>
    <w:rsid w:val="00173624"/>
    <w:rsid w:val="001763AD"/>
    <w:rsid w:val="00177914"/>
    <w:rsid w:val="00177D65"/>
    <w:rsid w:val="00194524"/>
    <w:rsid w:val="001A0249"/>
    <w:rsid w:val="001E0620"/>
    <w:rsid w:val="001F1FDF"/>
    <w:rsid w:val="00256670"/>
    <w:rsid w:val="0027242C"/>
    <w:rsid w:val="00273D3F"/>
    <w:rsid w:val="00275244"/>
    <w:rsid w:val="00276921"/>
    <w:rsid w:val="0028076E"/>
    <w:rsid w:val="00293404"/>
    <w:rsid w:val="002C2B37"/>
    <w:rsid w:val="002E4C59"/>
    <w:rsid w:val="002E7796"/>
    <w:rsid w:val="002E7C7D"/>
    <w:rsid w:val="002F0C2F"/>
    <w:rsid w:val="002F289B"/>
    <w:rsid w:val="002F37F0"/>
    <w:rsid w:val="00302EAB"/>
    <w:rsid w:val="00314245"/>
    <w:rsid w:val="00320942"/>
    <w:rsid w:val="0034063A"/>
    <w:rsid w:val="003531BB"/>
    <w:rsid w:val="003853EA"/>
    <w:rsid w:val="0039771C"/>
    <w:rsid w:val="003A5084"/>
    <w:rsid w:val="003A63C4"/>
    <w:rsid w:val="003C49D1"/>
    <w:rsid w:val="003F0994"/>
    <w:rsid w:val="00401D1A"/>
    <w:rsid w:val="00420F74"/>
    <w:rsid w:val="00426E1B"/>
    <w:rsid w:val="004270CC"/>
    <w:rsid w:val="0043751E"/>
    <w:rsid w:val="00477C94"/>
    <w:rsid w:val="004917B8"/>
    <w:rsid w:val="00495C9B"/>
    <w:rsid w:val="004E69C7"/>
    <w:rsid w:val="004F68EF"/>
    <w:rsid w:val="00525415"/>
    <w:rsid w:val="00533FAD"/>
    <w:rsid w:val="00557C3D"/>
    <w:rsid w:val="005619F3"/>
    <w:rsid w:val="00583C99"/>
    <w:rsid w:val="00583D9E"/>
    <w:rsid w:val="00584414"/>
    <w:rsid w:val="00592B2F"/>
    <w:rsid w:val="00595471"/>
    <w:rsid w:val="005A4CCF"/>
    <w:rsid w:val="005B5A9D"/>
    <w:rsid w:val="00616B97"/>
    <w:rsid w:val="006648C9"/>
    <w:rsid w:val="00686C43"/>
    <w:rsid w:val="00694856"/>
    <w:rsid w:val="006F0E55"/>
    <w:rsid w:val="0073108F"/>
    <w:rsid w:val="007314C4"/>
    <w:rsid w:val="0074789A"/>
    <w:rsid w:val="007544AA"/>
    <w:rsid w:val="0079330A"/>
    <w:rsid w:val="007A43F7"/>
    <w:rsid w:val="007B1876"/>
    <w:rsid w:val="007B50BD"/>
    <w:rsid w:val="007D3C58"/>
    <w:rsid w:val="007E1C68"/>
    <w:rsid w:val="007F24B6"/>
    <w:rsid w:val="008066C8"/>
    <w:rsid w:val="00822B07"/>
    <w:rsid w:val="00835636"/>
    <w:rsid w:val="008412ED"/>
    <w:rsid w:val="00841D89"/>
    <w:rsid w:val="00845BD7"/>
    <w:rsid w:val="00872D70"/>
    <w:rsid w:val="008A1C96"/>
    <w:rsid w:val="008A7C4B"/>
    <w:rsid w:val="008C2926"/>
    <w:rsid w:val="008C7B9F"/>
    <w:rsid w:val="008E0D65"/>
    <w:rsid w:val="008E1B1E"/>
    <w:rsid w:val="008E4015"/>
    <w:rsid w:val="009048EB"/>
    <w:rsid w:val="009073AC"/>
    <w:rsid w:val="00907642"/>
    <w:rsid w:val="00932603"/>
    <w:rsid w:val="0095447D"/>
    <w:rsid w:val="0099416F"/>
    <w:rsid w:val="0099594D"/>
    <w:rsid w:val="009C54F2"/>
    <w:rsid w:val="00A13217"/>
    <w:rsid w:val="00A2557B"/>
    <w:rsid w:val="00A25F87"/>
    <w:rsid w:val="00A47237"/>
    <w:rsid w:val="00A538BD"/>
    <w:rsid w:val="00A55CE1"/>
    <w:rsid w:val="00A745B6"/>
    <w:rsid w:val="00A96EF3"/>
    <w:rsid w:val="00AA010D"/>
    <w:rsid w:val="00AB0593"/>
    <w:rsid w:val="00AB49F5"/>
    <w:rsid w:val="00AC01C8"/>
    <w:rsid w:val="00AC4938"/>
    <w:rsid w:val="00B033C0"/>
    <w:rsid w:val="00B17D98"/>
    <w:rsid w:val="00B26B66"/>
    <w:rsid w:val="00B278CB"/>
    <w:rsid w:val="00B356FF"/>
    <w:rsid w:val="00B519FE"/>
    <w:rsid w:val="00B54BCE"/>
    <w:rsid w:val="00B77E8A"/>
    <w:rsid w:val="00B953D6"/>
    <w:rsid w:val="00B97E42"/>
    <w:rsid w:val="00BA1EC1"/>
    <w:rsid w:val="00BD18F3"/>
    <w:rsid w:val="00BE0263"/>
    <w:rsid w:val="00C11293"/>
    <w:rsid w:val="00C14E68"/>
    <w:rsid w:val="00C43B36"/>
    <w:rsid w:val="00C447F0"/>
    <w:rsid w:val="00C551FF"/>
    <w:rsid w:val="00C65555"/>
    <w:rsid w:val="00C66E41"/>
    <w:rsid w:val="00C727C0"/>
    <w:rsid w:val="00C8715C"/>
    <w:rsid w:val="00C90F91"/>
    <w:rsid w:val="00CA40E6"/>
    <w:rsid w:val="00CA49EC"/>
    <w:rsid w:val="00CB380C"/>
    <w:rsid w:val="00CD2F05"/>
    <w:rsid w:val="00CE691E"/>
    <w:rsid w:val="00D1090B"/>
    <w:rsid w:val="00D24B91"/>
    <w:rsid w:val="00D47F34"/>
    <w:rsid w:val="00D57CD9"/>
    <w:rsid w:val="00DC68BF"/>
    <w:rsid w:val="00DD129E"/>
    <w:rsid w:val="00DE7ACD"/>
    <w:rsid w:val="00DF26AB"/>
    <w:rsid w:val="00E309F8"/>
    <w:rsid w:val="00E32235"/>
    <w:rsid w:val="00E41874"/>
    <w:rsid w:val="00E55465"/>
    <w:rsid w:val="00E653D1"/>
    <w:rsid w:val="00E9027F"/>
    <w:rsid w:val="00EA3A95"/>
    <w:rsid w:val="00EC72CB"/>
    <w:rsid w:val="00F05C72"/>
    <w:rsid w:val="00F14A2E"/>
    <w:rsid w:val="00F16C44"/>
    <w:rsid w:val="00F2628F"/>
    <w:rsid w:val="00F33ED2"/>
    <w:rsid w:val="00FB1496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02B4A4"/>
  <w15:docId w15:val="{732CB68D-FBE5-44E9-8CFB-C2DF0ADF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477C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33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 2015 - 2019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210105352429832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00B7-44F7-A3AF-54FA62D140E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173C-49FA-AA61-87C6A48428B1}"/>
              </c:ext>
            </c:extLst>
          </c:dPt>
          <c:dLbls>
            <c:dLbl>
              <c:idx val="0"/>
              <c:layout>
                <c:manualLayout>
                  <c:x val="-6.0511604172156265E-3"/>
                  <c:y val="-0.256949877909546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B7-44F7-A3AF-54FA62D140E7}"/>
                </c:ext>
              </c:extLst>
            </c:dLbl>
            <c:dLbl>
              <c:idx val="1"/>
              <c:layout>
                <c:manualLayout>
                  <c:x val="-9.0767406258234536E-3"/>
                  <c:y val="-0.245411561835918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B7-44F7-A3AF-54FA62D140E7}"/>
                </c:ext>
              </c:extLst>
            </c:dLbl>
            <c:dLbl>
              <c:idx val="2"/>
              <c:layout>
                <c:manualLayout>
                  <c:x val="3.0255802086077994E-3"/>
                  <c:y val="-0.228406950055194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B7-44F7-A3AF-54FA62D140E7}"/>
                </c:ext>
              </c:extLst>
            </c:dLbl>
            <c:dLbl>
              <c:idx val="3"/>
              <c:layout>
                <c:manualLayout>
                  <c:x val="3.0255802086076888E-3"/>
                  <c:y val="-0.246407609556385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B7-44F7-A3AF-54FA62D140E7}"/>
                </c:ext>
              </c:extLst>
            </c:dLbl>
            <c:dLbl>
              <c:idx val="4"/>
              <c:layout>
                <c:manualLayout>
                  <c:x val="-6.0511604172155987E-3"/>
                  <c:y val="-0.27705048138859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B7-44F7-A3AF-54FA62D140E7}"/>
                </c:ext>
              </c:extLst>
            </c:dLbl>
            <c:dLbl>
              <c:idx val="5"/>
              <c:layout>
                <c:manualLayout>
                  <c:x val="6.9444444444444441E-3"/>
                  <c:y val="-0.29628119709888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3C-49FA-AA61-87C6A48428B1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#,##0_ ;_ * \-#,##0_ ;_ * "-"??_ ;_ @_ </c:formatCode>
                <c:ptCount val="5"/>
                <c:pt idx="0">
                  <c:v>90262.423607910008</c:v>
                </c:pt>
                <c:pt idx="1">
                  <c:v>89375.346558866178</c:v>
                </c:pt>
                <c:pt idx="2">
                  <c:v>90705.556688057157</c:v>
                </c:pt>
                <c:pt idx="3">
                  <c:v>104589.86583393432</c:v>
                </c:pt>
                <c:pt idx="4">
                  <c:v>110767.54171091263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12-4C97-A988-9A69DB907E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09820928"/>
        <c:axId val="1177812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6DC-4F2E-82D0-021FA5FA9437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DCF-42A6-A792-8020C3CC260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5DCF-42A6-A792-8020C3CC260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DCF-42A6-A792-8020C3CC26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Hoja1!$C$2:$C$17</c:f>
              <c:numCache>
                <c:formatCode>0.0</c:formatCode>
                <c:ptCount val="5"/>
                <c:pt idx="0">
                  <c:v>-8.6090221145331149</c:v>
                </c:pt>
                <c:pt idx="1">
                  <c:v>-4.444736733495402</c:v>
                </c:pt>
                <c:pt idx="2">
                  <c:v>-1.2991623095081284</c:v>
                </c:pt>
                <c:pt idx="3">
                  <c:v>13.844517928202471</c:v>
                </c:pt>
                <c:pt idx="4">
                  <c:v>3.6826319615105518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8-A912-4C97-A988-9A69DB907E9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Cero</c:v>
                </c:pt>
              </c:strCache>
            </c:strRef>
          </c:tx>
          <c:spPr>
            <a:ln w="3175">
              <a:solidFill>
                <a:schemeClr val="tx1"/>
              </a:solidFill>
              <a:prstDash val="lgDashDot"/>
            </a:ln>
          </c:spPr>
          <c:marker>
            <c:symbol val="none"/>
          </c:marker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DCF-42A6-A792-8020C3CC2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82784"/>
        <c:axId val="117784576"/>
      </c:lineChart>
      <c:catAx>
        <c:axId val="109820928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17781248"/>
        <c:crosses val="autoZero"/>
        <c:auto val="1"/>
        <c:lblAlgn val="ctr"/>
        <c:lblOffset val="100"/>
        <c:noMultiLvlLbl val="0"/>
      </c:catAx>
      <c:valAx>
        <c:axId val="1177812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09820928"/>
        <c:crosses val="autoZero"/>
        <c:crossBetween val="between"/>
      </c:valAx>
      <c:catAx>
        <c:axId val="117782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784576"/>
        <c:crosses val="autoZero"/>
        <c:auto val="1"/>
        <c:lblAlgn val="ctr"/>
        <c:lblOffset val="100"/>
        <c:noMultiLvlLbl val="0"/>
      </c:catAx>
      <c:valAx>
        <c:axId val="117784576"/>
        <c:scaling>
          <c:orientation val="minMax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11778278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436406386701661"/>
          <c:y val="0.90417617916103687"/>
          <c:w val="0.53062697168962214"/>
          <c:h val="7.409520287219548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Presión</a:t>
            </a:r>
            <a:r>
              <a:rPr lang="es-PE" baseline="0" dirty="0"/>
              <a:t> Tributaria </a:t>
            </a:r>
            <a:r>
              <a:rPr lang="es-PE" dirty="0"/>
              <a:t>2015 - 2019 </a:t>
            </a:r>
          </a:p>
          <a:p>
            <a:pPr algn="l">
              <a:defRPr/>
            </a:pPr>
            <a:r>
              <a:rPr lang="es-PE" sz="1000" b="0" dirty="0"/>
              <a:t>En porcentaje del PBI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71750044715092"/>
          <c:y val="0.33048592921765313"/>
          <c:w val="0.77533390735032925"/>
          <c:h val="0.49838600247059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Presión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2FED-45FC-B101-11683EE1CDB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6DF-40C4-B435-CBFFCB59BFBF}"/>
              </c:ext>
            </c:extLst>
          </c:dPt>
          <c:dLbls>
            <c:dLbl>
              <c:idx val="0"/>
              <c:layout>
                <c:manualLayout>
                  <c:x val="-6.0511604172155987E-3"/>
                  <c:y val="-0.273747030753196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ED-45FC-B101-11683EE1CDB6}"/>
                </c:ext>
              </c:extLst>
            </c:dLbl>
            <c:dLbl>
              <c:idx val="1"/>
              <c:layout>
                <c:manualLayout>
                  <c:x val="-9.0767406258234536E-3"/>
                  <c:y val="-0.245411561835918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ED-45FC-B101-11683EE1CDB6}"/>
                </c:ext>
              </c:extLst>
            </c:dLbl>
            <c:dLbl>
              <c:idx val="2"/>
              <c:layout>
                <c:manualLayout>
                  <c:x val="3.0255802086077994E-3"/>
                  <c:y val="-0.228406950055194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ED-45FC-B101-11683EE1CDB6}"/>
                </c:ext>
              </c:extLst>
            </c:dLbl>
            <c:dLbl>
              <c:idx val="3"/>
              <c:layout>
                <c:manualLayout>
                  <c:x val="-6.0511120320486259E-3"/>
                  <c:y val="-0.245357276768975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ED-45FC-B101-11683EE1CDB6}"/>
                </c:ext>
              </c:extLst>
            </c:dLbl>
            <c:dLbl>
              <c:idx val="4"/>
              <c:layout>
                <c:manualLayout>
                  <c:x val="-6.0511120320486259E-3"/>
                  <c:y val="-0.258993518667309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ED-45FC-B101-11683EE1CDB6}"/>
                </c:ext>
              </c:extLst>
            </c:dLbl>
            <c:dLbl>
              <c:idx val="5"/>
              <c:layout>
                <c:manualLayout>
                  <c:x val="-3.5087719298246903E-3"/>
                  <c:y val="-0.274449175995857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DF-40C4-B435-CBFFCB59BFBF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#,##0.0_ ;_ * \-#,##0.0_ ;_ * "-"??_ ;_ @_ </c:formatCode>
                <c:ptCount val="5"/>
                <c:pt idx="0">
                  <c:v>14.790801118597011</c:v>
                </c:pt>
                <c:pt idx="1">
                  <c:v>13.600811647381249</c:v>
                </c:pt>
                <c:pt idx="2">
                  <c:v>12.967658992524376</c:v>
                </c:pt>
                <c:pt idx="3">
                  <c:v>14.093769819961505</c:v>
                </c:pt>
                <c:pt idx="4">
                  <c:v>14.37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ED-45FC-B101-11683EE1C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4987904"/>
        <c:axId val="84989440"/>
      </c:barChart>
      <c:catAx>
        <c:axId val="84987904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PE"/>
          </a:p>
        </c:txPr>
        <c:crossAx val="84989440"/>
        <c:crosses val="autoZero"/>
        <c:auto val="1"/>
        <c:lblAlgn val="ctr"/>
        <c:lblOffset val="100"/>
        <c:noMultiLvlLbl val="0"/>
      </c:catAx>
      <c:valAx>
        <c:axId val="8498944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4987904"/>
        <c:crosses val="autoZero"/>
        <c:crossBetween val="between"/>
      </c:valAx>
      <c:spPr>
        <a:noFill/>
        <a:ln w="22874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a la Renta 2015 - 2019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832261092103616"/>
          <c:y val="0.27700231889128157"/>
          <c:w val="0.75102203960471681"/>
          <c:h val="0.511732979961290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0F15-4F4A-AB77-021F807923F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BF9-40C9-A3A4-4A62FEE58C4D}"/>
              </c:ext>
            </c:extLst>
          </c:dPt>
          <c:dLbls>
            <c:dLbl>
              <c:idx val="0"/>
              <c:layout>
                <c:manualLayout>
                  <c:x val="-9.0767406258233981E-3"/>
                  <c:y val="-0.282145568481808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15-4F4A-AB77-021F807923FA}"/>
                </c:ext>
              </c:extLst>
            </c:dLbl>
            <c:dLbl>
              <c:idx val="1"/>
              <c:layout>
                <c:manualLayout>
                  <c:x val="-9.0767406258234536E-3"/>
                  <c:y val="-0.245411561835918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15-4F4A-AB77-021F807923FA}"/>
                </c:ext>
              </c:extLst>
            </c:dLbl>
            <c:dLbl>
              <c:idx val="2"/>
              <c:layout>
                <c:manualLayout>
                  <c:x val="-9.0767406258234536E-3"/>
                  <c:y val="-0.253602443643827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15-4F4A-AB77-021F807923FA}"/>
                </c:ext>
              </c:extLst>
            </c:dLbl>
            <c:dLbl>
              <c:idx val="3"/>
              <c:layout>
                <c:manualLayout>
                  <c:x val="3.0254664112930557E-3"/>
                  <c:y val="-0.296158968934853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15-4F4A-AB77-021F807923FA}"/>
                </c:ext>
              </c:extLst>
            </c:dLbl>
            <c:dLbl>
              <c:idx val="4"/>
              <c:layout>
                <c:manualLayout>
                  <c:x val="-6.0512056575048705E-3"/>
                  <c:y val="-0.29695107141458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15-4F4A-AB77-021F807923FA}"/>
                </c:ext>
              </c:extLst>
            </c:dLbl>
            <c:dLbl>
              <c:idx val="5"/>
              <c:layout>
                <c:manualLayout>
                  <c:x val="0"/>
                  <c:y val="-0.251706820229560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F9-40C9-A3A4-4A62FEE58C4D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#,##0_ ;_ * \-#,##0_ ;_ * "-"??_ ;_ @_ </c:formatCode>
                <c:ptCount val="5"/>
                <c:pt idx="0">
                  <c:v>34745.43595246</c:v>
                </c:pt>
                <c:pt idx="1">
                  <c:v>37213.767777950001</c:v>
                </c:pt>
                <c:pt idx="2">
                  <c:v>36755.412835520001</c:v>
                </c:pt>
                <c:pt idx="3">
                  <c:v>41598.1529763</c:v>
                </c:pt>
                <c:pt idx="4">
                  <c:v>44015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15-4F4A-AB77-021F80792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5158528"/>
        <c:axId val="851808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665187388238194E-2"/>
                  <c:y val="-4.6947825902941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60-4A26-8648-7047F6A45185}"/>
                </c:ext>
              </c:extLst>
            </c:dLbl>
            <c:dLbl>
              <c:idx val="1"/>
              <c:layout>
                <c:manualLayout>
                  <c:x val="-5.0127401307434254E-2"/>
                  <c:y val="-4.5800671892497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6-4CDD-99A8-49179EFAB5E8}"/>
                </c:ext>
              </c:extLst>
            </c:dLbl>
            <c:dLbl>
              <c:idx val="3"/>
              <c:layout>
                <c:manualLayout>
                  <c:x val="-5.6367148493132742E-2"/>
                  <c:y val="7.3731343283582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39-4057-82D0-D36734406D00}"/>
                </c:ext>
              </c:extLst>
            </c:dLbl>
            <c:dLbl>
              <c:idx val="4"/>
              <c:layout>
                <c:manualLayout>
                  <c:x val="-5.6588417612039657E-2"/>
                  <c:y val="9.32882829944764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15-4F4A-AB77-021F807923FA}"/>
                </c:ext>
              </c:extLst>
            </c:dLbl>
            <c:dLbl>
              <c:idx val="5"/>
              <c:layout>
                <c:manualLayout>
                  <c:x val="-4.7687178395839941E-2"/>
                  <c:y val="4.0796019900496599E-3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DE-4604-931D-B674679EF632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7DE-4604-931D-B674679EF632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17DE-4604-931D-B674679EF6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Hoja1!$C$2:$C$17</c:f>
              <c:numCache>
                <c:formatCode>0.0</c:formatCode>
                <c:ptCount val="5"/>
                <c:pt idx="0">
                  <c:v>-16.32493757896869</c:v>
                </c:pt>
                <c:pt idx="1">
                  <c:v>3.2692337319938147</c:v>
                </c:pt>
                <c:pt idx="2">
                  <c:v>-4.0127895922157713</c:v>
                </c:pt>
                <c:pt idx="3">
                  <c:v>11.813846323367194</c:v>
                </c:pt>
                <c:pt idx="4">
                  <c:v>3.5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0F15-4F4A-AB77-021F807923F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3175">
              <a:solidFill>
                <a:schemeClr val="tx1"/>
              </a:solidFill>
              <a:prstDash val="dashDot"/>
            </a:ln>
          </c:spPr>
          <c:marker>
            <c:symbol val="none"/>
          </c:marker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DE-4604-931D-B674679EF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182336"/>
        <c:axId val="85183872"/>
      </c:lineChart>
      <c:catAx>
        <c:axId val="85158528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5180800"/>
        <c:crosses val="autoZero"/>
        <c:auto val="1"/>
        <c:lblAlgn val="ctr"/>
        <c:lblOffset val="100"/>
        <c:noMultiLvlLbl val="0"/>
      </c:catAx>
      <c:valAx>
        <c:axId val="851808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5158528"/>
        <c:crosses val="autoZero"/>
        <c:crossBetween val="between"/>
      </c:valAx>
      <c:catAx>
        <c:axId val="85182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183872"/>
        <c:crosses val="autoZero"/>
        <c:auto val="1"/>
        <c:lblAlgn val="ctr"/>
        <c:lblOffset val="100"/>
        <c:noMultiLvlLbl val="0"/>
      </c:catAx>
      <c:valAx>
        <c:axId val="85183872"/>
        <c:scaling>
          <c:orientation val="minMax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51823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618512929709812"/>
          <c:y val="0.89804129950473344"/>
          <c:w val="0.53062697168962214"/>
          <c:h val="7.409520287219548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Pagos</a:t>
            </a:r>
            <a:r>
              <a:rPr lang="es-PE" baseline="0" dirty="0"/>
              <a:t> a cuenta del Régimen General y del Régimen Mype Tributario </a:t>
            </a:r>
            <a:r>
              <a:rPr lang="es-PE" dirty="0"/>
              <a:t>2015 - 2019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2.54316980652943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38206788639637"/>
          <c:y val="0.27700231889128157"/>
          <c:w val="0.75970984924034102"/>
          <c:h val="0.516969268371890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C5A1-4E05-B56F-D3829B891AB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DEE-4DF5-940A-FDBE90F807CF}"/>
              </c:ext>
            </c:extLst>
          </c:dPt>
          <c:dLbls>
            <c:dLbl>
              <c:idx val="0"/>
              <c:layout>
                <c:manualLayout>
                  <c:x val="-9.0767406258233981E-3"/>
                  <c:y val="-0.282145568481808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A1-4E05-B56F-D3829B891AB1}"/>
                </c:ext>
              </c:extLst>
            </c:dLbl>
            <c:dLbl>
              <c:idx val="1"/>
              <c:layout>
                <c:manualLayout>
                  <c:x val="-9.0767406258234536E-3"/>
                  <c:y val="-0.245411561835918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A1-4E05-B56F-D3829B891AB1}"/>
                </c:ext>
              </c:extLst>
            </c:dLbl>
            <c:dLbl>
              <c:idx val="2"/>
              <c:layout>
                <c:manualLayout>
                  <c:x val="-9.0767406258234536E-3"/>
                  <c:y val="-0.253602443643827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A1-4E05-B56F-D3829B891AB1}"/>
                </c:ext>
              </c:extLst>
            </c:dLbl>
            <c:dLbl>
              <c:idx val="3"/>
              <c:layout>
                <c:manualLayout>
                  <c:x val="3.0255863894391635E-3"/>
                  <c:y val="-0.326247897904977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A1-4E05-B56F-D3829B891AB1}"/>
                </c:ext>
              </c:extLst>
            </c:dLbl>
            <c:dLbl>
              <c:idx val="4"/>
              <c:layout>
                <c:manualLayout>
                  <c:x val="-6.0511727788783269E-3"/>
                  <c:y val="-0.321960802803841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A1-4E05-B56F-D3829B891AB1}"/>
                </c:ext>
              </c:extLst>
            </c:dLbl>
            <c:dLbl>
              <c:idx val="5"/>
              <c:layout>
                <c:manualLayout>
                  <c:x val="-3.5236081747709656E-3"/>
                  <c:y val="-0.243865025853804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EE-4DF5-940A-FDBE90F807CF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#,##0_ ;_ * \-#,##0_ ;_ * "-"??_ ;_ @_ </c:formatCode>
                <c:ptCount val="5"/>
                <c:pt idx="0">
                  <c:v>16817.499295319998</c:v>
                </c:pt>
                <c:pt idx="1">
                  <c:v>16495.769289200001</c:v>
                </c:pt>
                <c:pt idx="2">
                  <c:v>16403.37645738</c:v>
                </c:pt>
                <c:pt idx="3">
                  <c:v>18601.448648350004</c:v>
                </c:pt>
                <c:pt idx="4">
                  <c:v>19088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5A1-4E05-B56F-D3829B891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5377024"/>
        <c:axId val="8537856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5.0273287720641817E-2"/>
                  <c:y val="-4.40119760479041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4D-4F4C-86DD-00E10CB885A3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C4D-4F4C-86DD-00E10CB885A3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C4D-4F4C-86DD-00E10CB885A3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C4D-4F4C-86DD-00E10CB88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Hoja1!$C$2:$C$17</c:f>
              <c:numCache>
                <c:formatCode>0.0</c:formatCode>
                <c:ptCount val="5"/>
                <c:pt idx="0">
                  <c:v>-12.322651674011409</c:v>
                </c:pt>
                <c:pt idx="1">
                  <c:v>-5.3827014018897668</c:v>
                </c:pt>
                <c:pt idx="2">
                  <c:v>-3.3140278538813073</c:v>
                </c:pt>
                <c:pt idx="3">
                  <c:v>11.907887401161133</c:v>
                </c:pt>
                <c:pt idx="4">
                  <c:v>0.5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C5A1-4E05-B56F-D3829B891AB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3175">
              <a:solidFill>
                <a:schemeClr val="tx1"/>
              </a:solidFill>
              <a:prstDash val="dashDot"/>
            </a:ln>
          </c:spPr>
          <c:marker>
            <c:symbol val="none"/>
          </c:marker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C4D-4F4C-86DD-00E10CB88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80096"/>
        <c:axId val="85390080"/>
      </c:lineChart>
      <c:catAx>
        <c:axId val="85377024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5378560"/>
        <c:crosses val="autoZero"/>
        <c:auto val="1"/>
        <c:lblAlgn val="ctr"/>
        <c:lblOffset val="100"/>
        <c:noMultiLvlLbl val="0"/>
      </c:catAx>
      <c:valAx>
        <c:axId val="8537856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5377024"/>
        <c:crosses val="autoZero"/>
        <c:crossBetween val="between"/>
      </c:valAx>
      <c:catAx>
        <c:axId val="85380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390080"/>
        <c:crosses val="autoZero"/>
        <c:auto val="1"/>
        <c:lblAlgn val="ctr"/>
        <c:lblOffset val="100"/>
        <c:noMultiLvlLbl val="0"/>
      </c:catAx>
      <c:valAx>
        <c:axId val="85390080"/>
        <c:scaling>
          <c:orientation val="minMax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538009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554318694130993"/>
          <c:y val="0.89482792510233911"/>
          <c:w val="0.53062697168962214"/>
          <c:h val="7.2195325875472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Regularización 2015 - 2019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80228713804282"/>
          <c:y val="0.27700231889128157"/>
          <c:w val="0.75828954443574881"/>
          <c:h val="0.516969268371890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97D8-42EF-9A61-5B29F7B55CC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7D8-42EF-9A61-5B29F7B55CC2}"/>
              </c:ext>
            </c:extLst>
          </c:dPt>
          <c:dLbls>
            <c:dLbl>
              <c:idx val="0"/>
              <c:layout>
                <c:manualLayout>
                  <c:x val="-3.0255802086077994E-3"/>
                  <c:y val="-0.219156535517217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D8-42EF-9A61-5B29F7B55CC2}"/>
                </c:ext>
              </c:extLst>
            </c:dLbl>
            <c:dLbl>
              <c:idx val="1"/>
              <c:layout>
                <c:manualLayout>
                  <c:x val="-3.0255802086078549E-3"/>
                  <c:y val="-0.174023984107585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D8-42EF-9A61-5B29F7B55CC2}"/>
                </c:ext>
              </c:extLst>
            </c:dLbl>
            <c:dLbl>
              <c:idx val="2"/>
              <c:layout>
                <c:manualLayout>
                  <c:x val="-9.7868851586250111E-3"/>
                  <c:y val="-0.265943028307902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D8-42EF-9A61-5B29F7B55CC2}"/>
                </c:ext>
              </c:extLst>
            </c:dLbl>
            <c:dLbl>
              <c:idx val="3"/>
              <c:layout>
                <c:manualLayout>
                  <c:x val="3.3806626098714107E-3"/>
                  <c:y val="-0.279873066714118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D8-42EF-9A61-5B29F7B55CC2}"/>
                </c:ext>
              </c:extLst>
            </c:dLbl>
            <c:dLbl>
              <c:idx val="4"/>
              <c:layout>
                <c:manualLayout>
                  <c:x val="-6.0511604172155987E-3"/>
                  <c:y val="-0.27705048138859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D8-42EF-9A61-5B29F7B55CC2}"/>
                </c:ext>
              </c:extLst>
            </c:dLbl>
            <c:dLbl>
              <c:idx val="5"/>
              <c:layout>
                <c:manualLayout>
                  <c:x val="0"/>
                  <c:y val="-0.274133635837893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D8-42EF-9A61-5B29F7B55CC2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#,##0_ ;_ * \-#,##0_ ;_ * "-"??_ ;_ @_ </c:formatCode>
                <c:ptCount val="5"/>
                <c:pt idx="0">
                  <c:v>3646.4071651999998</c:v>
                </c:pt>
                <c:pt idx="1">
                  <c:v>3804.8107037400005</c:v>
                </c:pt>
                <c:pt idx="2">
                  <c:v>4884.3315368599997</c:v>
                </c:pt>
                <c:pt idx="3">
                  <c:v>6368.2788433199994</c:v>
                </c:pt>
                <c:pt idx="4">
                  <c:v>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D8-42EF-9A61-5B29F7B55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6366080"/>
        <c:axId val="8636761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4772484068294721E-2"/>
                  <c:y val="-8.388199356436377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D8-42EF-9A61-5B29F7B55CC2}"/>
                </c:ext>
              </c:extLst>
            </c:dLbl>
            <c:dLbl>
              <c:idx val="2"/>
              <c:layout>
                <c:manualLayout>
                  <c:x val="-6.1756453871257978E-2"/>
                  <c:y val="5.0941619585687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D8-42EF-9A61-5B29F7B55CC2}"/>
                </c:ext>
              </c:extLst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D8-42EF-9A61-5B29F7B55CC2}"/>
                </c:ext>
              </c:extLst>
            </c:dLbl>
            <c:dLbl>
              <c:idx val="4"/>
              <c:layout>
                <c:manualLayout>
                  <c:x val="-5.6335414969680635E-2"/>
                  <c:y val="4.76125865622730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D8-42EF-9A61-5B29F7B55CC2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97D8-42EF-9A61-5B29F7B55CC2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97D8-42EF-9A61-5B29F7B55CC2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97D8-42EF-9A61-5B29F7B55C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Hoja1!$C$2:$C$17</c:f>
              <c:numCache>
                <c:formatCode>0.0</c:formatCode>
                <c:ptCount val="5"/>
                <c:pt idx="0">
                  <c:v>-16.468672240757865</c:v>
                </c:pt>
                <c:pt idx="1">
                  <c:v>0.43751341750779549</c:v>
                </c:pt>
                <c:pt idx="2">
                  <c:v>24.03033556833676</c:v>
                </c:pt>
                <c:pt idx="3">
                  <c:v>29.526275014713789</c:v>
                </c:pt>
                <c:pt idx="4">
                  <c:v>-2.5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F-97D8-42EF-9A61-5B29F7B55CC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3175">
              <a:solidFill>
                <a:schemeClr val="tx1"/>
              </a:solidFill>
              <a:prstDash val="dashDot"/>
            </a:ln>
          </c:spPr>
          <c:marker>
            <c:symbol val="none"/>
          </c:marker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97D8-42EF-9A61-5B29F7B55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33120"/>
        <c:axId val="85334656"/>
      </c:lineChart>
      <c:catAx>
        <c:axId val="86366080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6367616"/>
        <c:crosses val="autoZero"/>
        <c:auto val="1"/>
        <c:lblAlgn val="ctr"/>
        <c:lblOffset val="100"/>
        <c:noMultiLvlLbl val="0"/>
      </c:catAx>
      <c:valAx>
        <c:axId val="8636761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6366080"/>
        <c:crosses val="autoZero"/>
        <c:crossBetween val="between"/>
      </c:valAx>
      <c:catAx>
        <c:axId val="85333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334656"/>
        <c:crosses val="autoZero"/>
        <c:auto val="1"/>
        <c:lblAlgn val="ctr"/>
        <c:lblOffset val="100"/>
        <c:noMultiLvlLbl val="0"/>
      </c:catAx>
      <c:valAx>
        <c:axId val="85334656"/>
        <c:scaling>
          <c:orientation val="minMax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533312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764550777574114"/>
          <c:y val="0.89935021464851483"/>
          <c:w val="0.53062697168962214"/>
          <c:h val="7.2195325875472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</a:t>
            </a:r>
            <a:r>
              <a:rPr lang="es-PE" baseline="0" dirty="0"/>
              <a:t> General a las Ventas </a:t>
            </a:r>
            <a:r>
              <a:rPr lang="es-PE" dirty="0"/>
              <a:t>2015 - 2019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019458774549732"/>
          <c:y val="0.27700231889128157"/>
          <c:w val="0.74689724382829425"/>
          <c:h val="0.516969268371890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BD0E-4004-9D4A-CE5084621FF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B19-4173-9746-5ADDDE632695}"/>
              </c:ext>
            </c:extLst>
          </c:dPt>
          <c:dLbls>
            <c:dLbl>
              <c:idx val="0"/>
              <c:layout>
                <c:manualLayout>
                  <c:x val="-6.0511604172156265E-3"/>
                  <c:y val="-0.256949877909546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0E-4004-9D4A-CE5084621FF2}"/>
                </c:ext>
              </c:extLst>
            </c:dLbl>
            <c:dLbl>
              <c:idx val="1"/>
              <c:layout>
                <c:manualLayout>
                  <c:x val="-9.0767406258234536E-3"/>
                  <c:y val="-0.245411561835918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0E-4004-9D4A-CE5084621FF2}"/>
                </c:ext>
              </c:extLst>
            </c:dLbl>
            <c:dLbl>
              <c:idx val="2"/>
              <c:layout>
                <c:manualLayout>
                  <c:x val="3.0255802086077994E-3"/>
                  <c:y val="-0.228406950055194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0E-4004-9D4A-CE5084621FF2}"/>
                </c:ext>
              </c:extLst>
            </c:dLbl>
            <c:dLbl>
              <c:idx val="3"/>
              <c:layout>
                <c:manualLayout>
                  <c:x val="3.025559938881755E-3"/>
                  <c:y val="-0.290655316315549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0E-4004-9D4A-CE5084621FF2}"/>
                </c:ext>
              </c:extLst>
            </c:dLbl>
            <c:dLbl>
              <c:idx val="4"/>
              <c:layout>
                <c:manualLayout>
                  <c:x val="-6.0511604172155987E-3"/>
                  <c:y val="-0.27705048138859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0E-4004-9D4A-CE5084621FF2}"/>
                </c:ext>
              </c:extLst>
            </c:dLbl>
            <c:dLbl>
              <c:idx val="5"/>
              <c:layout>
                <c:manualLayout>
                  <c:x val="3.3806626098714107E-3"/>
                  <c:y val="-0.2852368011520684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19-4173-9746-5ADDDE63269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#,##0_ ;_ * \-#,##0_ ;_ * "-"??_ ;_ @_ </c:formatCode>
                <c:ptCount val="5"/>
                <c:pt idx="0">
                  <c:v>51667.983845044648</c:v>
                </c:pt>
                <c:pt idx="1">
                  <c:v>52692.437934868613</c:v>
                </c:pt>
                <c:pt idx="2">
                  <c:v>54642.836961580724</c:v>
                </c:pt>
                <c:pt idx="3">
                  <c:v>60666.239944041234</c:v>
                </c:pt>
                <c:pt idx="4">
                  <c:v>63504.595911745237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0E-4004-9D4A-CE5084621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7897984"/>
        <c:axId val="8789952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741928014061566E-2"/>
                  <c:y val="2.7947749395366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B4-43A3-9E25-8508BA082179}"/>
                </c:ext>
              </c:extLst>
            </c:dLbl>
            <c:dLbl>
              <c:idx val="3"/>
              <c:layout>
                <c:manualLayout>
                  <c:x val="-4.9295917117865462E-2"/>
                  <c:y val="8.6363706749045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B4-43A3-9E25-8508BA08217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589-4952-B139-324B5696D373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1B4-43A3-9E25-8508BA082179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81B4-43A3-9E25-8508BA082179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1B4-43A3-9E25-8508BA0821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Hoja1!$C$2:$C$17</c:f>
              <c:numCache>
                <c:formatCode>0.0</c:formatCode>
                <c:ptCount val="5"/>
                <c:pt idx="0">
                  <c:v>-0.91881741710314602</c:v>
                </c:pt>
                <c:pt idx="1">
                  <c:v>-1.5634179288514072</c:v>
                </c:pt>
                <c:pt idx="2">
                  <c:v>0.88847963598821522</c:v>
                </c:pt>
                <c:pt idx="3">
                  <c:v>9.5636669266401686</c:v>
                </c:pt>
                <c:pt idx="4">
                  <c:v>2.5012880640630675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BD0E-4004-9D4A-CE5084621FF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3175">
              <a:solidFill>
                <a:schemeClr val="tx1"/>
              </a:solidFill>
              <a:prstDash val="dashDot"/>
            </a:ln>
          </c:spPr>
          <c:marker>
            <c:symbol val="none"/>
          </c:marker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1B4-43A3-9E25-8508BA082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909504"/>
        <c:axId val="87911040"/>
      </c:lineChart>
      <c:catAx>
        <c:axId val="87897984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7899520"/>
        <c:crosses val="autoZero"/>
        <c:auto val="1"/>
        <c:lblAlgn val="ctr"/>
        <c:lblOffset val="100"/>
        <c:noMultiLvlLbl val="0"/>
      </c:catAx>
      <c:valAx>
        <c:axId val="8789952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7897984"/>
        <c:crosses val="autoZero"/>
        <c:crossBetween val="between"/>
      </c:valAx>
      <c:catAx>
        <c:axId val="8790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911040"/>
        <c:crosses val="autoZero"/>
        <c:auto val="1"/>
        <c:lblAlgn val="ctr"/>
        <c:lblOffset val="100"/>
        <c:noMultiLvlLbl val="0"/>
      </c:catAx>
      <c:valAx>
        <c:axId val="87911040"/>
        <c:scaling>
          <c:orientation val="minMax"/>
          <c:min val="-5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790950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6341535117456832"/>
          <c:y val="0.89935021464851483"/>
          <c:w val="0.53062697168962214"/>
          <c:h val="7.2195325875472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s-PE" sz="1050" dirty="0"/>
              <a:t>Impuesto Selectivo</a:t>
            </a:r>
            <a:r>
              <a:rPr lang="es-PE" sz="1050" baseline="0" dirty="0"/>
              <a:t> al Consumo </a:t>
            </a:r>
            <a:r>
              <a:rPr lang="es-PE" sz="1050" dirty="0"/>
              <a:t>2015 - 2019 </a:t>
            </a:r>
          </a:p>
          <a:p>
            <a:pPr algn="l">
              <a:defRPr sz="900"/>
            </a:pPr>
            <a:r>
              <a:rPr lang="es-PE" sz="9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738206788639637"/>
          <c:y val="0.23987210485384663"/>
          <c:w val="0.75668426903173325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4DA7-4E26-962C-2F45B665955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603-44A2-A693-8256CF5CD7CF}"/>
              </c:ext>
            </c:extLst>
          </c:dPt>
          <c:dLbls>
            <c:dLbl>
              <c:idx val="0"/>
              <c:layout>
                <c:manualLayout>
                  <c:x val="-3.0255802086077994E-3"/>
                  <c:y val="-0.210757997788605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A7-4E26-962C-2F45B6659559}"/>
                </c:ext>
              </c:extLst>
            </c:dLbl>
            <c:dLbl>
              <c:idx val="1"/>
              <c:layout>
                <c:manualLayout>
                  <c:x val="-3.0255802086078549E-3"/>
                  <c:y val="-0.199219597293422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A7-4E26-962C-2F45B6659559}"/>
                </c:ext>
              </c:extLst>
            </c:dLbl>
            <c:dLbl>
              <c:idx val="2"/>
              <c:layout>
                <c:manualLayout>
                  <c:x val="5.5468329716264812E-17"/>
                  <c:y val="-0.253602443643827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A7-4E26-962C-2F45B6659559}"/>
                </c:ext>
              </c:extLst>
            </c:dLbl>
            <c:dLbl>
              <c:idx val="3"/>
              <c:layout>
                <c:manualLayout>
                  <c:x val="3.0255802086076888E-3"/>
                  <c:y val="-0.246407609556385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A7-4E26-962C-2F45B6659559}"/>
                </c:ext>
              </c:extLst>
            </c:dLbl>
            <c:dLbl>
              <c:idx val="4"/>
              <c:layout>
                <c:manualLayout>
                  <c:x val="-6.0511604172155987E-3"/>
                  <c:y val="-0.27705048138859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A7-4E26-962C-2F45B6659559}"/>
                </c:ext>
              </c:extLst>
            </c:dLbl>
            <c:dLbl>
              <c:idx val="5"/>
              <c:layout>
                <c:manualLayout>
                  <c:x val="7.0472163495419312E-3"/>
                  <c:y val="-0.333777141493676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03-44A2-A693-8256CF5CD7CF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#,##0_ ;_ * \-#,##0_ ;_ * "-"??_ ;_ @_ </c:formatCode>
                <c:ptCount val="5"/>
                <c:pt idx="0">
                  <c:v>5494.6943594530694</c:v>
                </c:pt>
                <c:pt idx="1">
                  <c:v>5901.5998420273536</c:v>
                </c:pt>
                <c:pt idx="2">
                  <c:v>6315.1513101117507</c:v>
                </c:pt>
                <c:pt idx="3">
                  <c:v>6859.764337972857</c:v>
                </c:pt>
                <c:pt idx="4">
                  <c:v>8216.4581026404376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DA7-4E26-962C-2F45B6659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7961984"/>
        <c:axId val="8796352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2562866553806968E-2"/>
                  <c:y val="3.4350019310023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61-4E3B-9731-E3836C86623F}"/>
                </c:ext>
              </c:extLst>
            </c:dLbl>
            <c:dLbl>
              <c:idx val="2"/>
              <c:layout>
                <c:manualLayout>
                  <c:x val="-4.4665425622900261E-2"/>
                  <c:y val="4.274822638754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F9-4C2E-B9B1-384569858746}"/>
                </c:ext>
              </c:extLst>
            </c:dLbl>
            <c:dLbl>
              <c:idx val="3"/>
              <c:layout>
                <c:manualLayout>
                  <c:x val="-4.4665187388238277E-2"/>
                  <c:y val="3.0150750445717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F9-4C2E-B9B1-38456985874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B10-4FF2-93FB-1560957EF5AE}"/>
                </c:ext>
              </c:extLst>
            </c:dLbl>
            <c:dLbl>
              <c:idx val="5"/>
              <c:layout>
                <c:manualLayout>
                  <c:x val="-6.0844112244954708E-2"/>
                  <c:y val="0.1019191919191919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F9-4C2E-B9B1-384569858746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2CF9-4C2E-B9B1-384569858746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2CF9-4C2E-B9B1-3845698587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Hoja1!$C$2:$C$17</c:f>
              <c:numCache>
                <c:formatCode>0.0</c:formatCode>
                <c:ptCount val="5"/>
                <c:pt idx="0">
                  <c:v>3.3030107746359283</c:v>
                </c:pt>
                <c:pt idx="1">
                  <c:v>3.6774426832913321</c:v>
                </c:pt>
                <c:pt idx="2">
                  <c:v>4.1024111298691102</c:v>
                </c:pt>
                <c:pt idx="3">
                  <c:v>7.1651284526839998</c:v>
                </c:pt>
                <c:pt idx="4">
                  <c:v>17.321176712494314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4DA7-4E26-962C-2F45B6659559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3175">
              <a:solidFill>
                <a:schemeClr val="tx1"/>
              </a:solidFill>
              <a:prstDash val="dashDot"/>
            </a:ln>
          </c:spPr>
          <c:marker>
            <c:symbol val="none"/>
          </c:marker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CF9-4C2E-B9B1-384569858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965056"/>
        <c:axId val="87970944"/>
      </c:lineChart>
      <c:catAx>
        <c:axId val="87961984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7963520"/>
        <c:crosses val="autoZero"/>
        <c:auto val="1"/>
        <c:lblAlgn val="ctr"/>
        <c:lblOffset val="100"/>
        <c:noMultiLvlLbl val="0"/>
      </c:catAx>
      <c:valAx>
        <c:axId val="8796352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7961984"/>
        <c:crosses val="autoZero"/>
        <c:crossBetween val="between"/>
      </c:valAx>
      <c:catAx>
        <c:axId val="87965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970944"/>
        <c:crosses val="autoZero"/>
        <c:auto val="1"/>
        <c:lblAlgn val="ctr"/>
        <c:lblOffset val="100"/>
        <c:noMultiLvlLbl val="0"/>
      </c:catAx>
      <c:valAx>
        <c:axId val="87970944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8796505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5433861054874496"/>
          <c:y val="0.89340000233892136"/>
          <c:w val="0.53062697168962214"/>
          <c:h val="7.409520287219548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 2015 - 2019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487859519657E-3"/>
          <c:y val="5.06274363633539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32908334156972"/>
          <c:y val="0.27700231889128157"/>
          <c:w val="0.74576291195818112"/>
          <c:h val="0.506213648933902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9D-4284-9A74-358D59907BA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704-4828-B36B-0C95EDC4E406}"/>
              </c:ext>
            </c:extLst>
          </c:dPt>
          <c:dLbls>
            <c:dLbl>
              <c:idx val="0"/>
              <c:layout>
                <c:manualLayout>
                  <c:x val="-9.0767406258233981E-3"/>
                  <c:y val="-0.1792623642418109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50-4814-9BCD-E51A034578DE}"/>
                </c:ext>
              </c:extLst>
            </c:dLbl>
            <c:dLbl>
              <c:idx val="1"/>
              <c:layout>
                <c:manualLayout>
                  <c:x val="4.8701940500115309E-3"/>
                  <c:y val="-0.25141017875724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50-4814-9BCD-E51A034578DE}"/>
                </c:ext>
              </c:extLst>
            </c:dLbl>
            <c:dLbl>
              <c:idx val="2"/>
              <c:layout>
                <c:manualLayout>
                  <c:x val="-9.0767406258234536E-3"/>
                  <c:y val="-0.265064767578377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50-4814-9BCD-E51A034578DE}"/>
                </c:ext>
              </c:extLst>
            </c:dLbl>
            <c:dLbl>
              <c:idx val="3"/>
              <c:layout>
                <c:manualLayout>
                  <c:x val="-9.0767406258233981E-3"/>
                  <c:y val="-0.281331728906998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50-4814-9BCD-E51A034578DE}"/>
                </c:ext>
              </c:extLst>
            </c:dLbl>
            <c:dLbl>
              <c:idx val="4"/>
              <c:layout>
                <c:manualLayout>
                  <c:x val="-9.0767406258233981E-3"/>
                  <c:y val="-0.263356999372442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9D-4284-9A74-358D59907BAA}"/>
                </c:ext>
              </c:extLst>
            </c:dLbl>
            <c:dLbl>
              <c:idx val="5"/>
              <c:layout>
                <c:manualLayout>
                  <c:x val="0"/>
                  <c:y val="-0.259542002515957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04-4828-B36B-0C95EDC4E406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Hoja1!$B$2:$B$17</c:f>
              <c:numCache>
                <c:formatCode>_ * #,##0_ ;_ * \-#,##0_ ;_ * "-"??_ ;_ @_ </c:formatCode>
                <c:ptCount val="5"/>
                <c:pt idx="0">
                  <c:v>11676.4861714</c:v>
                </c:pt>
                <c:pt idx="1">
                  <c:v>16356.303781430001</c:v>
                </c:pt>
                <c:pt idx="2">
                  <c:v>17208.853978058702</c:v>
                </c:pt>
                <c:pt idx="3">
                  <c:v>16583.07910495</c:v>
                </c:pt>
                <c:pt idx="4">
                  <c:v>18046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89D-4284-9A74-358D59907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04890752"/>
        <c:axId val="10489228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5650-4814-9BCD-E51A034578DE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650-4814-9BCD-E51A034578DE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5650-4814-9BCD-E51A034578DE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5650-4814-9BCD-E51A034578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Hoja1!$C$2:$C$17</c:f>
              <c:numCache>
                <c:formatCode>0.0</c:formatCode>
                <c:ptCount val="5"/>
                <c:pt idx="0">
                  <c:v>5.4228961676924481</c:v>
                </c:pt>
                <c:pt idx="1">
                  <c:v>35.189340861838069</c:v>
                </c:pt>
                <c:pt idx="2">
                  <c:v>2.3173466223865846</c:v>
                </c:pt>
                <c:pt idx="3">
                  <c:v>-4.9323721823026245</c:v>
                </c:pt>
                <c:pt idx="4">
                  <c:v>6.5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189D-4284-9A74-358D59907BA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3175">
              <a:solidFill>
                <a:schemeClr val="tx1"/>
              </a:solidFill>
              <a:prstDash val="dashDot"/>
            </a:ln>
          </c:spPr>
          <c:marker>
            <c:symbol val="none"/>
          </c:marker>
          <c:cat>
            <c:strRef>
              <c:f>Hoja1!$A$2:$A$17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 </c:v>
                </c:pt>
                <c:pt idx="4">
                  <c:v>2019</c:v>
                </c:pt>
              </c:strCache>
            </c:strRef>
          </c:cat>
          <c:val>
            <c:numRef>
              <c:f>Hoja1!$D$2:$D$17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650-4814-9BCD-E51A03457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93824"/>
        <c:axId val="104912000"/>
      </c:lineChart>
      <c:catAx>
        <c:axId val="104890752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04892288"/>
        <c:crosses val="autoZero"/>
        <c:auto val="1"/>
        <c:lblAlgn val="ctr"/>
        <c:lblOffset val="100"/>
        <c:noMultiLvlLbl val="0"/>
      </c:catAx>
      <c:valAx>
        <c:axId val="10489228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04890752"/>
        <c:crosses val="autoZero"/>
        <c:crossBetween val="between"/>
      </c:valAx>
      <c:catAx>
        <c:axId val="104893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912000"/>
        <c:crosses val="autoZero"/>
        <c:auto val="1"/>
        <c:lblAlgn val="ctr"/>
        <c:lblOffset val="100"/>
        <c:noMultiLvlLbl val="0"/>
      </c:catAx>
      <c:valAx>
        <c:axId val="104912000"/>
        <c:scaling>
          <c:orientation val="minMax"/>
          <c:max val="70"/>
          <c:min val="-2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70C0"/>
                </a:solidFill>
              </a:defRPr>
            </a:pPr>
            <a:endParaRPr lang="es-PE"/>
          </a:p>
        </c:txPr>
        <c:crossAx val="10489382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251754357065198"/>
          <c:y val="0.89123763375731879"/>
          <c:w val="0.53062697168962214"/>
          <c:h val="7.60977759227953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1F11-99F9-4344-BC17-2B82D470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 Ocampo Reynaldo Jose Carlos</dc:creator>
  <cp:lastModifiedBy>Vallenas Romero Alvaro Rodolfo</cp:lastModifiedBy>
  <cp:revision>3</cp:revision>
  <dcterms:created xsi:type="dcterms:W3CDTF">2020-01-08T21:43:00Z</dcterms:created>
  <dcterms:modified xsi:type="dcterms:W3CDTF">2020-01-08T21:43:00Z</dcterms:modified>
</cp:coreProperties>
</file>