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514F739E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– </w:t>
      </w:r>
      <w:r w:rsidR="0033711C">
        <w:rPr>
          <w:rFonts w:ascii="Arial" w:hAnsi="Arial" w:cs="Arial"/>
          <w:spacing w:val="1"/>
          <w:position w:val="-1"/>
          <w:sz w:val="18"/>
          <w:szCs w:val="20"/>
        </w:rPr>
        <w:t>CCI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33711C">
        <w:rPr>
          <w:rFonts w:ascii="Arial" w:hAnsi="Arial" w:cs="Arial"/>
          <w:spacing w:val="1"/>
          <w:position w:val="-1"/>
          <w:sz w:val="18"/>
          <w:szCs w:val="20"/>
        </w:rPr>
        <w:t>14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276AEC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7777777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07331B72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0BB361BD" w14:textId="403D406E" w:rsidR="006C5D19" w:rsidRDefault="009C70DA" w:rsidP="006C5D19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Contratación de consultores especializados en desarrollo de modelos analíticos avanzados de ciencia de datos</w:t>
      </w:r>
    </w:p>
    <w:p w14:paraId="4B469F99" w14:textId="44ABBE61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3DAF76E0" w14:textId="3AB9DA97" w:rsidR="00C64730" w:rsidRDefault="00C64730" w:rsidP="00C64730">
      <w:pPr>
        <w:pStyle w:val="Default"/>
        <w:jc w:val="both"/>
        <w:rPr>
          <w:sz w:val="20"/>
          <w:szCs w:val="20"/>
        </w:rPr>
      </w:pPr>
    </w:p>
    <w:p w14:paraId="2053C250" w14:textId="77777777" w:rsidR="00DB5B16" w:rsidRDefault="00DB5B16" w:rsidP="00DB5B1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</w:t>
      </w:r>
      <w:r w:rsidRPr="0011369C">
        <w:rPr>
          <w:sz w:val="19"/>
          <w:szCs w:val="19"/>
        </w:rPr>
        <w:t>ontratar hasta cinco (5) consultores especializados en ciencia de datos,</w:t>
      </w:r>
      <w:r>
        <w:rPr>
          <w:sz w:val="19"/>
          <w:szCs w:val="19"/>
        </w:rPr>
        <w:t xml:space="preserve"> </w:t>
      </w:r>
      <w:r w:rsidRPr="0011369C">
        <w:rPr>
          <w:sz w:val="19"/>
          <w:szCs w:val="19"/>
        </w:rPr>
        <w:t>para la planificación, desarrollo e implementación de modelos analíticos avanzados para la identificación de riesgos y formulación de hipótesis de incumplimiento aduanero, con la finalidad de potenciar la detección de incidencias aduaneras y la formulación de tratamientos para mitigar fraudes que respondan a los distintos comportamientos de los viajeros, usuarios u operadores de comercio exterior; incorporando además métodos probabilísticos y predictivos a fin de dar continuidad al desarrollo evolutivo de la ciencia de datos como uno de los elementos o componentes de soporte del modelo de gestión de riesgos del incumplimiento aduanero de la SUNAT.</w:t>
      </w:r>
    </w:p>
    <w:p w14:paraId="7BDF2E92" w14:textId="77777777" w:rsidR="00DB5B16" w:rsidRDefault="00DB5B16" w:rsidP="00C64730">
      <w:pPr>
        <w:pStyle w:val="Default"/>
        <w:jc w:val="both"/>
        <w:rPr>
          <w:sz w:val="20"/>
          <w:szCs w:val="20"/>
        </w:rPr>
      </w:pPr>
    </w:p>
    <w:p w14:paraId="25344624" w14:textId="0A43F21D" w:rsidR="00E24341" w:rsidRPr="00DB5B16" w:rsidRDefault="00EB2B95" w:rsidP="00C64730">
      <w:pPr>
        <w:pStyle w:val="Default"/>
        <w:jc w:val="both"/>
        <w:rPr>
          <w:sz w:val="19"/>
          <w:szCs w:val="19"/>
        </w:rPr>
      </w:pPr>
      <w:r w:rsidRPr="00DB5B16">
        <w:rPr>
          <w:sz w:val="19"/>
          <w:szCs w:val="19"/>
        </w:rPr>
        <w:t>El servicio de consultoría tiene como objetivos los siguientes aspectos:</w:t>
      </w:r>
    </w:p>
    <w:p w14:paraId="6AF1D717" w14:textId="77777777" w:rsidR="00C5579D" w:rsidRPr="002751C3" w:rsidRDefault="00C5579D" w:rsidP="00C64730">
      <w:pPr>
        <w:pStyle w:val="Default"/>
        <w:jc w:val="both"/>
        <w:rPr>
          <w:sz w:val="20"/>
          <w:szCs w:val="20"/>
          <w:highlight w:val="yellow"/>
        </w:rPr>
      </w:pPr>
    </w:p>
    <w:p w14:paraId="6E7CD1E9" w14:textId="0E60188D" w:rsidR="00DB5B16" w:rsidRPr="0011369C" w:rsidRDefault="00DB5B16" w:rsidP="00DB5B1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</w:t>
      </w:r>
      <w:r w:rsidRPr="0011369C">
        <w:rPr>
          <w:sz w:val="19"/>
          <w:szCs w:val="19"/>
        </w:rPr>
        <w:t>ontratar hasta cinco (5) consultores especializados en ciencia de datos, en el transcurso de los próximo ocho (08) meses, para la planificación, desarrollo e implementación de modelos analíticos avanzados para la identificación de riesgos y formulación de hipótesis de incumplimiento aduanero, con la finalidad de potenciar la detección de incidencias aduaneras y la formulación de tratamientos para mitigar fraudes que respondan a los distintos comportamientos de los viajeros, usuarios u operadores de comercio exterior; incorporando además métodos probabilísticos y predictivos a fin de dar continuidad al desarrollo evolutivo de la ciencia de datos como uno de los elementos o componentes de soporte del modelo de gestión de riesgos del incumplimiento aduanero de la SUNAT.</w:t>
      </w:r>
    </w:p>
    <w:p w14:paraId="458DD599" w14:textId="77777777" w:rsidR="00DB5B16" w:rsidRPr="0011369C" w:rsidRDefault="00DB5B16" w:rsidP="00DB5B16">
      <w:pPr>
        <w:pStyle w:val="Default"/>
        <w:ind w:left="1276" w:hanging="1276"/>
        <w:jc w:val="both"/>
        <w:rPr>
          <w:sz w:val="19"/>
          <w:szCs w:val="19"/>
        </w:rPr>
      </w:pPr>
    </w:p>
    <w:p w14:paraId="6D483575" w14:textId="77777777" w:rsidR="00DB5B16" w:rsidRPr="0011369C" w:rsidRDefault="00DB5B16" w:rsidP="00DB5B16">
      <w:pPr>
        <w:pStyle w:val="Default"/>
        <w:ind w:left="1276" w:hanging="1276"/>
        <w:jc w:val="both"/>
        <w:rPr>
          <w:sz w:val="19"/>
          <w:szCs w:val="19"/>
        </w:rPr>
      </w:pPr>
      <w:r w:rsidRPr="0011369C">
        <w:rPr>
          <w:sz w:val="19"/>
          <w:szCs w:val="19"/>
        </w:rPr>
        <w:t>Entre los objetivos específicos tenemos:</w:t>
      </w:r>
    </w:p>
    <w:p w14:paraId="0637B268" w14:textId="77777777" w:rsidR="00DB5B16" w:rsidRPr="0011369C" w:rsidRDefault="00DB5B16" w:rsidP="00DB5B16">
      <w:pPr>
        <w:pStyle w:val="Default"/>
        <w:ind w:left="1276"/>
        <w:jc w:val="both"/>
        <w:rPr>
          <w:sz w:val="19"/>
          <w:szCs w:val="19"/>
        </w:rPr>
      </w:pPr>
    </w:p>
    <w:p w14:paraId="21C3FEA6" w14:textId="77777777" w:rsidR="00DB5B16" w:rsidRPr="0011369C" w:rsidRDefault="00DB5B16" w:rsidP="00DB5B16">
      <w:pPr>
        <w:pStyle w:val="Default"/>
        <w:numPr>
          <w:ilvl w:val="0"/>
          <w:numId w:val="9"/>
        </w:numPr>
        <w:ind w:left="1560" w:hanging="284"/>
        <w:jc w:val="both"/>
        <w:rPr>
          <w:sz w:val="19"/>
          <w:szCs w:val="19"/>
        </w:rPr>
      </w:pPr>
      <w:r w:rsidRPr="0011369C">
        <w:rPr>
          <w:sz w:val="19"/>
          <w:szCs w:val="19"/>
        </w:rPr>
        <w:t>Posibilitar el conocimiento especializado de analítica avanzada para el diseño y proyección de escenarios futuros, adoptando métodos y herramientas que integren la retroalimentación de los modelos probabilísticos (analíticos, predictivos y/o ciencia de datos) y su ajuste para una mayor precisión, para optimizar el resultado de los tratamientos propuestos.</w:t>
      </w:r>
    </w:p>
    <w:p w14:paraId="770CE8FD" w14:textId="77777777" w:rsidR="00DB5B16" w:rsidRPr="0011369C" w:rsidRDefault="00DB5B16" w:rsidP="00DB5B16">
      <w:pPr>
        <w:pStyle w:val="Default"/>
        <w:numPr>
          <w:ilvl w:val="0"/>
          <w:numId w:val="9"/>
        </w:numPr>
        <w:ind w:left="1560" w:hanging="284"/>
        <w:jc w:val="both"/>
        <w:rPr>
          <w:sz w:val="19"/>
          <w:szCs w:val="19"/>
        </w:rPr>
      </w:pPr>
      <w:r w:rsidRPr="0011369C">
        <w:rPr>
          <w:sz w:val="19"/>
          <w:szCs w:val="19"/>
        </w:rPr>
        <w:t>Impulsar la transferencia del “Know How” a los profesionales de la División de Gestión de Riesgos Aduaneros (DGRA) mediante asesoría especializada en la planificación, evaluación, planteamiento de requerimientos y logro de objetivos de las iniciativas de analítica avanzada para el soporte de la gestión de riesgos de cumplimiento tributario aduanero.</w:t>
      </w:r>
    </w:p>
    <w:p w14:paraId="45532513" w14:textId="77777777" w:rsidR="00DB5B16" w:rsidRPr="0011369C" w:rsidRDefault="00DB5B16" w:rsidP="00DB5B16">
      <w:pPr>
        <w:pStyle w:val="Default"/>
        <w:numPr>
          <w:ilvl w:val="0"/>
          <w:numId w:val="9"/>
        </w:numPr>
        <w:ind w:left="1560" w:hanging="284"/>
        <w:jc w:val="both"/>
        <w:rPr>
          <w:sz w:val="19"/>
          <w:szCs w:val="19"/>
        </w:rPr>
      </w:pPr>
      <w:r w:rsidRPr="0011369C">
        <w:rPr>
          <w:sz w:val="19"/>
          <w:szCs w:val="19"/>
        </w:rPr>
        <w:t>Organizar el trabajo para implementar de manera progresiva una línea de producción oportuna con el fin de operativizar los modelos.</w:t>
      </w:r>
    </w:p>
    <w:p w14:paraId="21C22AC9" w14:textId="77777777" w:rsidR="00DB5B16" w:rsidRPr="0011369C" w:rsidRDefault="00DB5B16" w:rsidP="00DB5B16">
      <w:pPr>
        <w:pStyle w:val="Default"/>
        <w:numPr>
          <w:ilvl w:val="0"/>
          <w:numId w:val="9"/>
        </w:numPr>
        <w:tabs>
          <w:tab w:val="left" w:pos="1560"/>
        </w:tabs>
        <w:ind w:left="1560" w:hanging="284"/>
        <w:jc w:val="both"/>
        <w:rPr>
          <w:sz w:val="19"/>
          <w:szCs w:val="19"/>
        </w:rPr>
      </w:pPr>
      <w:r w:rsidRPr="0011369C">
        <w:rPr>
          <w:sz w:val="19"/>
          <w:szCs w:val="19"/>
        </w:rPr>
        <w:t>Incorporar el uso de métodos y técnicas complejas de analítica avanzada, así como en la proyección y desarrollo de modelos probabilísticos y predictivos proponiendo las herramientas y plataformas de información más avanzadas que optimicen los resultados del equipo de trabajo de profesionales de la DGRA.</w:t>
      </w:r>
    </w:p>
    <w:p w14:paraId="30F0358A" w14:textId="77777777" w:rsidR="00DB5B16" w:rsidRPr="0011369C" w:rsidRDefault="00DB5B16" w:rsidP="00DB5B16">
      <w:pPr>
        <w:pStyle w:val="Default"/>
        <w:numPr>
          <w:ilvl w:val="0"/>
          <w:numId w:val="9"/>
        </w:numPr>
        <w:ind w:left="1560" w:hanging="284"/>
        <w:jc w:val="both"/>
        <w:rPr>
          <w:sz w:val="19"/>
          <w:szCs w:val="19"/>
        </w:rPr>
      </w:pPr>
      <w:r w:rsidRPr="0011369C">
        <w:rPr>
          <w:sz w:val="19"/>
          <w:szCs w:val="19"/>
        </w:rPr>
        <w:t xml:space="preserve">Incorporar como forma de trabajo la participación cruzada de especialistas en las diferentes etapas del desarrollo de la metodología de modelos avanzados de ciencia de datos, como en la creación </w:t>
      </w:r>
      <w:r>
        <w:rPr>
          <w:sz w:val="19"/>
          <w:szCs w:val="19"/>
        </w:rPr>
        <w:t>de variables/indicadores para identificar y medir los incumplimientos aduaneros.</w:t>
      </w:r>
    </w:p>
    <w:p w14:paraId="0A42C4C8" w14:textId="77777777" w:rsidR="00DB5B16" w:rsidRDefault="00DB5B16" w:rsidP="00DB5B16">
      <w:pPr>
        <w:pStyle w:val="Default"/>
        <w:ind w:left="1276"/>
        <w:jc w:val="both"/>
        <w:rPr>
          <w:sz w:val="19"/>
          <w:szCs w:val="19"/>
        </w:rPr>
      </w:pPr>
    </w:p>
    <w:p w14:paraId="3B4A4219" w14:textId="1988077D" w:rsidR="00DB5B16" w:rsidRDefault="00DB5B16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293F817" w14:textId="77777777" w:rsidR="00DB5B16" w:rsidRDefault="00DB5B16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03314C08" w14:textId="77777777" w:rsidR="00DB5B16" w:rsidRDefault="00DB5B16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1CBD5D04" w14:textId="77777777" w:rsidR="00DB5B16" w:rsidRDefault="00DB5B16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2C3C1F43" w14:textId="77777777" w:rsidR="00DB5B16" w:rsidRDefault="00DB5B16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  <w:lang w:val="es-MX"/>
        </w:rPr>
      </w:pPr>
    </w:p>
    <w:p w14:paraId="3F1E6911" w14:textId="0FCAEECC" w:rsidR="00DB5B16" w:rsidRPr="00912BF5" w:rsidRDefault="00C5579D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lastRenderedPageBreak/>
        <w:t xml:space="preserve">El servicio </w:t>
      </w:r>
      <w:r w:rsidR="00DB5B16" w:rsidRPr="00912BF5">
        <w:rPr>
          <w:rFonts w:ascii="Arial" w:hAnsi="Arial" w:cs="Arial"/>
          <w:sz w:val="19"/>
          <w:szCs w:val="19"/>
          <w:lang w:val="es-MX"/>
        </w:rPr>
        <w:t>para la Contratación de consultores especializados en desarrollo de modelos analíticos avanzados de ciencia de datos, comprende las siguientes actividades:</w:t>
      </w:r>
    </w:p>
    <w:p w14:paraId="7737B13E" w14:textId="2E978D03" w:rsidR="00DB5B16" w:rsidRPr="00912BF5" w:rsidRDefault="00DB5B16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</w:p>
    <w:p w14:paraId="1C59B53D" w14:textId="4DE91752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Planificación relativa a los modelos</w:t>
      </w:r>
    </w:p>
    <w:p w14:paraId="1CA43390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Comprensión del negocio y enfoque analítico</w:t>
      </w:r>
    </w:p>
    <w:p w14:paraId="01741587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Requisitos, recopilación y la comprensión de datos</w:t>
      </w:r>
    </w:p>
    <w:p w14:paraId="7FD10267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79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Preparación de los datos</w:t>
      </w:r>
    </w:p>
    <w:p w14:paraId="338F5086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Diseño del modelo</w:t>
      </w:r>
    </w:p>
    <w:p w14:paraId="60ED7F8B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Evaluación del modelo</w:t>
      </w:r>
    </w:p>
    <w:p w14:paraId="6958ADCC" w14:textId="77777777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Otras actividades</w:t>
      </w:r>
    </w:p>
    <w:p w14:paraId="023093D6" w14:textId="5FA2300C" w:rsidR="00DB5B16" w:rsidRPr="00912BF5" w:rsidRDefault="00DB5B16" w:rsidP="00DB5B16">
      <w:pPr>
        <w:pStyle w:val="Prrafodelista"/>
        <w:widowControl w:val="0"/>
        <w:numPr>
          <w:ilvl w:val="4"/>
          <w:numId w:val="11"/>
        </w:numPr>
        <w:tabs>
          <w:tab w:val="left" w:pos="567"/>
        </w:tabs>
        <w:autoSpaceDE w:val="0"/>
        <w:autoSpaceDN w:val="0"/>
        <w:spacing w:before="1"/>
        <w:ind w:hanging="3316"/>
        <w:contextualSpacing w:val="0"/>
        <w:rPr>
          <w:rFonts w:ascii="Arial" w:hAnsi="Arial" w:cs="Arial"/>
          <w:sz w:val="19"/>
          <w:szCs w:val="19"/>
          <w:lang w:val="es-MX"/>
        </w:rPr>
      </w:pPr>
      <w:r w:rsidRPr="00912BF5">
        <w:rPr>
          <w:rFonts w:ascii="Arial" w:hAnsi="Arial" w:cs="Arial"/>
          <w:sz w:val="19"/>
          <w:szCs w:val="19"/>
          <w:lang w:val="es-MX"/>
        </w:rPr>
        <w:t>Reporte de resultados</w:t>
      </w:r>
    </w:p>
    <w:p w14:paraId="07097EBD" w14:textId="77777777" w:rsidR="00DB5B16" w:rsidRPr="00912BF5" w:rsidRDefault="00DB5B16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19"/>
          <w:szCs w:val="19"/>
          <w:lang w:val="es-MX"/>
        </w:rPr>
      </w:pPr>
    </w:p>
    <w:p w14:paraId="6275F327" w14:textId="77777777" w:rsidR="004D53CD" w:rsidRPr="00912BF5" w:rsidRDefault="004D53CD" w:rsidP="00AE2AAD">
      <w:pPr>
        <w:pStyle w:val="Default"/>
        <w:jc w:val="both"/>
        <w:rPr>
          <w:sz w:val="19"/>
          <w:szCs w:val="19"/>
        </w:rPr>
      </w:pPr>
    </w:p>
    <w:p w14:paraId="48CDE519" w14:textId="0085B741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El plazo estimado de los servicios es de </w:t>
      </w:r>
      <w:r w:rsidR="00DA60B5" w:rsidRPr="00912BF5">
        <w:rPr>
          <w:b/>
          <w:sz w:val="19"/>
          <w:szCs w:val="19"/>
        </w:rPr>
        <w:t>1</w:t>
      </w:r>
      <w:r w:rsidR="00353623" w:rsidRPr="00912BF5">
        <w:rPr>
          <w:b/>
          <w:sz w:val="19"/>
          <w:szCs w:val="19"/>
        </w:rPr>
        <w:t>2 meses</w:t>
      </w:r>
      <w:r w:rsidRPr="00912BF5">
        <w:rPr>
          <w:sz w:val="19"/>
          <w:szCs w:val="19"/>
        </w:rPr>
        <w:t xml:space="preserve">, los que serán brindados en la ciudad de Lima; y de modo indicativo el costo estimado es de </w:t>
      </w:r>
      <w:r w:rsidR="00353623" w:rsidRPr="00912BF5">
        <w:rPr>
          <w:b/>
          <w:sz w:val="19"/>
          <w:szCs w:val="19"/>
        </w:rPr>
        <w:t>S/. 780,000.00</w:t>
      </w:r>
      <w:r w:rsidR="002766E5" w:rsidRPr="00912BF5">
        <w:rPr>
          <w:b/>
          <w:sz w:val="19"/>
          <w:szCs w:val="19"/>
        </w:rPr>
        <w:t xml:space="preserve"> </w:t>
      </w:r>
      <w:r w:rsidRPr="00912BF5">
        <w:rPr>
          <w:b/>
          <w:sz w:val="19"/>
          <w:szCs w:val="19"/>
        </w:rPr>
        <w:t>(incluidos impuestos)</w:t>
      </w:r>
    </w:p>
    <w:p w14:paraId="1DDAD0F7" w14:textId="0A5E57EA" w:rsidR="00EE258A" w:rsidRPr="00912BF5" w:rsidRDefault="002E171C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 </w:t>
      </w:r>
    </w:p>
    <w:p w14:paraId="6E8F683F" w14:textId="6855E877" w:rsidR="002E171C" w:rsidRPr="00912BF5" w:rsidRDefault="002E171C" w:rsidP="00EE258A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La SUNAT invita a l</w:t>
      </w:r>
      <w:r w:rsidR="00885E4D" w:rsidRPr="00912BF5">
        <w:rPr>
          <w:sz w:val="19"/>
          <w:szCs w:val="19"/>
        </w:rPr>
        <w:t>os consultores</w:t>
      </w:r>
      <w:r w:rsidRPr="00912BF5">
        <w:rPr>
          <w:sz w:val="19"/>
          <w:szCs w:val="19"/>
        </w:rPr>
        <w:t xml:space="preserve">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6" w:history="1">
        <w:r w:rsidR="00766A92" w:rsidRPr="00912BF5">
          <w:rPr>
            <w:rStyle w:val="Hipervnculo"/>
            <w:sz w:val="19"/>
            <w:szCs w:val="19"/>
          </w:rPr>
          <w:t>proyectobid4@sunat.gob.pe</w:t>
        </w:r>
      </w:hyperlink>
      <w:r w:rsidRPr="00912BF5">
        <w:rPr>
          <w:sz w:val="19"/>
          <w:szCs w:val="19"/>
        </w:rPr>
        <w:t xml:space="preserve"> como respuesta recibirán electrónicamente los formatos e información a presentar. </w:t>
      </w:r>
    </w:p>
    <w:p w14:paraId="0E9F34E5" w14:textId="77777777" w:rsidR="00B02E83" w:rsidRPr="00912BF5" w:rsidRDefault="00B02E83" w:rsidP="002E171C">
      <w:pPr>
        <w:pStyle w:val="Default"/>
        <w:rPr>
          <w:sz w:val="19"/>
          <w:szCs w:val="19"/>
        </w:rPr>
      </w:pPr>
    </w:p>
    <w:p w14:paraId="0CBD0059" w14:textId="50184F5F" w:rsidR="002E171C" w:rsidRPr="00912BF5" w:rsidRDefault="002E171C" w:rsidP="00B02E83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</w:t>
      </w:r>
      <w:r w:rsidR="001F2726" w:rsidRPr="00912BF5">
        <w:rPr>
          <w:sz w:val="19"/>
          <w:szCs w:val="19"/>
        </w:rPr>
        <w:t xml:space="preserve">os </w:t>
      </w:r>
      <w:r w:rsidR="00885E4D" w:rsidRPr="00912BF5">
        <w:rPr>
          <w:sz w:val="19"/>
          <w:szCs w:val="19"/>
        </w:rPr>
        <w:t>consultores</w:t>
      </w:r>
      <w:r w:rsidRPr="00912BF5">
        <w:rPr>
          <w:sz w:val="19"/>
          <w:szCs w:val="19"/>
        </w:rPr>
        <w:t xml:space="preserve"> serán seleccionadas conforme a los procedimientos indicados en las Políticas para la Selección y Contratación de Consultores financiados por el Banco Interamericano de Desarrollo, GN-2350-</w:t>
      </w:r>
      <w:r w:rsidR="006E3E87" w:rsidRPr="00912BF5">
        <w:rPr>
          <w:sz w:val="19"/>
          <w:szCs w:val="19"/>
        </w:rPr>
        <w:t>15</w:t>
      </w:r>
      <w:r w:rsidR="00885E4D" w:rsidRPr="00912BF5">
        <w:rPr>
          <w:sz w:val="19"/>
          <w:szCs w:val="19"/>
        </w:rPr>
        <w:t>.</w:t>
      </w:r>
    </w:p>
    <w:p w14:paraId="49C310ED" w14:textId="77777777" w:rsidR="006E3E87" w:rsidRPr="00912BF5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4554BCF5" w:rsidR="002E171C" w:rsidRPr="00912BF5" w:rsidRDefault="002E171C" w:rsidP="006E3E87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Las expresiones de interés </w:t>
      </w:r>
      <w:r w:rsidR="00A5788D" w:rsidRPr="00912BF5">
        <w:rPr>
          <w:sz w:val="19"/>
          <w:szCs w:val="19"/>
        </w:rPr>
        <w:t xml:space="preserve">con los formularios debidamente </w:t>
      </w:r>
      <w:r w:rsidR="002A4959" w:rsidRPr="00912BF5">
        <w:rPr>
          <w:sz w:val="19"/>
          <w:szCs w:val="19"/>
        </w:rPr>
        <w:t>llenados</w:t>
      </w:r>
      <w:r w:rsidR="00A5788D" w:rsidRPr="00912BF5">
        <w:rPr>
          <w:sz w:val="19"/>
          <w:szCs w:val="19"/>
        </w:rPr>
        <w:t xml:space="preserve"> </w:t>
      </w:r>
      <w:r w:rsidRPr="00912BF5"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0D1A6B" w:rsidRPr="00912BF5">
        <w:rPr>
          <w:b/>
          <w:sz w:val="19"/>
          <w:szCs w:val="19"/>
        </w:rPr>
        <w:t>1</w:t>
      </w:r>
      <w:r w:rsidR="007338D9" w:rsidRPr="00912BF5">
        <w:rPr>
          <w:b/>
          <w:sz w:val="19"/>
          <w:szCs w:val="19"/>
        </w:rPr>
        <w:t>1</w:t>
      </w:r>
      <w:r w:rsidR="00610B02" w:rsidRPr="00912BF5">
        <w:rPr>
          <w:b/>
          <w:sz w:val="19"/>
          <w:szCs w:val="19"/>
        </w:rPr>
        <w:t xml:space="preserve"> de </w:t>
      </w:r>
      <w:r w:rsidR="007338D9" w:rsidRPr="00912BF5">
        <w:rPr>
          <w:b/>
          <w:sz w:val="19"/>
          <w:szCs w:val="19"/>
        </w:rPr>
        <w:t>noviembre</w:t>
      </w:r>
      <w:r w:rsidR="00610B02" w:rsidRPr="00912BF5">
        <w:rPr>
          <w:b/>
          <w:sz w:val="19"/>
          <w:szCs w:val="19"/>
        </w:rPr>
        <w:t xml:space="preserve"> de 2021</w:t>
      </w:r>
      <w:r w:rsidRPr="00912BF5">
        <w:rPr>
          <w:sz w:val="19"/>
          <w:szCs w:val="19"/>
        </w:rPr>
        <w:t xml:space="preserve">. </w:t>
      </w:r>
    </w:p>
    <w:p w14:paraId="06C75F05" w14:textId="77777777" w:rsidR="006E3E87" w:rsidRPr="00912BF5" w:rsidRDefault="006E3E87" w:rsidP="002E171C">
      <w:pPr>
        <w:pStyle w:val="Default"/>
        <w:rPr>
          <w:sz w:val="19"/>
          <w:szCs w:val="19"/>
        </w:rPr>
      </w:pPr>
    </w:p>
    <w:p w14:paraId="2994E7E8" w14:textId="2C1109F5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Es importante indicar en el asunto del correo de respuesta lo siguiente: </w:t>
      </w:r>
      <w:r w:rsidRPr="00912BF5">
        <w:rPr>
          <w:b/>
          <w:sz w:val="19"/>
          <w:szCs w:val="19"/>
        </w:rPr>
        <w:t xml:space="preserve">“Consultoría: </w:t>
      </w:r>
      <w:r w:rsidR="002751C3" w:rsidRPr="00912BF5">
        <w:rPr>
          <w:b/>
          <w:sz w:val="19"/>
          <w:szCs w:val="19"/>
        </w:rPr>
        <w:t>C</w:t>
      </w:r>
      <w:r w:rsidR="007338D9" w:rsidRPr="00912BF5">
        <w:rPr>
          <w:b/>
          <w:sz w:val="19"/>
          <w:szCs w:val="19"/>
        </w:rPr>
        <w:t>inco consultores especializados</w:t>
      </w:r>
      <w:r w:rsidR="002751C3" w:rsidRPr="00912BF5">
        <w:rPr>
          <w:sz w:val="19"/>
          <w:szCs w:val="19"/>
        </w:rPr>
        <w:t>”</w:t>
      </w:r>
    </w:p>
    <w:p w14:paraId="509185BF" w14:textId="77777777" w:rsidR="006E3E87" w:rsidRPr="00912BF5" w:rsidRDefault="006E3E87" w:rsidP="002E171C">
      <w:pPr>
        <w:pStyle w:val="Default"/>
        <w:rPr>
          <w:b/>
          <w:bCs/>
          <w:sz w:val="19"/>
          <w:szCs w:val="19"/>
        </w:rPr>
      </w:pPr>
    </w:p>
    <w:p w14:paraId="79C4E1C0" w14:textId="77777777" w:rsidR="002E171C" w:rsidRPr="00912BF5" w:rsidRDefault="009F5B78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>S</w:t>
      </w:r>
      <w:r w:rsidR="002E171C" w:rsidRPr="00912BF5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912BF5" w:rsidRDefault="006E3E87" w:rsidP="00A5788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1FBCA230" w:rsidR="002E171C" w:rsidRPr="00912BF5" w:rsidRDefault="00A5788D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 xml:space="preserve">Dirección: </w:t>
      </w:r>
      <w:r w:rsidR="002E171C" w:rsidRPr="00912BF5">
        <w:rPr>
          <w:sz w:val="19"/>
          <w:szCs w:val="19"/>
        </w:rPr>
        <w:t xml:space="preserve">Av. Garcilaso de la Vega </w:t>
      </w:r>
      <w:r w:rsidR="00610B02" w:rsidRPr="00912BF5">
        <w:rPr>
          <w:sz w:val="19"/>
          <w:szCs w:val="19"/>
        </w:rPr>
        <w:t>N°</w:t>
      </w:r>
      <w:r w:rsidR="002E171C" w:rsidRPr="00912BF5">
        <w:rPr>
          <w:sz w:val="19"/>
          <w:szCs w:val="19"/>
        </w:rPr>
        <w:t xml:space="preserve">1472 – Lima 1 </w:t>
      </w:r>
    </w:p>
    <w:p w14:paraId="666ADE66" w14:textId="605F62DB" w:rsidR="00064837" w:rsidRPr="00A5788D" w:rsidRDefault="00A5788D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912BF5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7" w:history="1">
        <w:r w:rsidR="004B7EF7" w:rsidRPr="00912BF5">
          <w:rPr>
            <w:rStyle w:val="Hipervnculo"/>
            <w:rFonts w:ascii="Arial" w:hAnsi="Arial" w:cs="Arial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45260"/>
    <w:rsid w:val="00064837"/>
    <w:rsid w:val="00081183"/>
    <w:rsid w:val="000D1A6B"/>
    <w:rsid w:val="0010112F"/>
    <w:rsid w:val="00110349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3711C"/>
    <w:rsid w:val="00337C1A"/>
    <w:rsid w:val="0035211C"/>
    <w:rsid w:val="00353623"/>
    <w:rsid w:val="003D6D04"/>
    <w:rsid w:val="003F1CD5"/>
    <w:rsid w:val="004A7064"/>
    <w:rsid w:val="004B7EF7"/>
    <w:rsid w:val="004C7510"/>
    <w:rsid w:val="004D53CD"/>
    <w:rsid w:val="0051742F"/>
    <w:rsid w:val="00570277"/>
    <w:rsid w:val="00593B78"/>
    <w:rsid w:val="00594528"/>
    <w:rsid w:val="00610B02"/>
    <w:rsid w:val="006313FD"/>
    <w:rsid w:val="0067176B"/>
    <w:rsid w:val="006A06AC"/>
    <w:rsid w:val="006C5D19"/>
    <w:rsid w:val="006E3E87"/>
    <w:rsid w:val="007037C9"/>
    <w:rsid w:val="007338D9"/>
    <w:rsid w:val="00741D78"/>
    <w:rsid w:val="00766A92"/>
    <w:rsid w:val="00885E4D"/>
    <w:rsid w:val="00887FDC"/>
    <w:rsid w:val="008E18CE"/>
    <w:rsid w:val="00912BF5"/>
    <w:rsid w:val="009849A1"/>
    <w:rsid w:val="00992106"/>
    <w:rsid w:val="009C70DA"/>
    <w:rsid w:val="009F5B78"/>
    <w:rsid w:val="009F788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B7259"/>
    <w:rsid w:val="00BD2A3B"/>
    <w:rsid w:val="00BE548E"/>
    <w:rsid w:val="00C5579D"/>
    <w:rsid w:val="00C64730"/>
    <w:rsid w:val="00C976E3"/>
    <w:rsid w:val="00D33854"/>
    <w:rsid w:val="00D52213"/>
    <w:rsid w:val="00DA60B5"/>
    <w:rsid w:val="00DB5B16"/>
    <w:rsid w:val="00DE773C"/>
    <w:rsid w:val="00E24341"/>
    <w:rsid w:val="00E46E8A"/>
    <w:rsid w:val="00E545BF"/>
    <w:rsid w:val="00E65A1C"/>
    <w:rsid w:val="00E74142"/>
    <w:rsid w:val="00EA301C"/>
    <w:rsid w:val="00EB2B95"/>
    <w:rsid w:val="00EC5524"/>
    <w:rsid w:val="00EE258A"/>
    <w:rsid w:val="00EE7725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chartTrackingRefBased/>
  <w15:docId w15:val="{62A908FB-4BB4-48FD-8894-F43807A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53E1-35CF-44C8-A0FB-5B923F5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Leon Galvez Nestor Luis</cp:lastModifiedBy>
  <cp:revision>2</cp:revision>
  <dcterms:created xsi:type="dcterms:W3CDTF">2021-10-29T20:20:00Z</dcterms:created>
  <dcterms:modified xsi:type="dcterms:W3CDTF">2021-10-29T20:20:00Z</dcterms:modified>
</cp:coreProperties>
</file>