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A7A3" w14:textId="77777777" w:rsidR="002E171C" w:rsidRDefault="002E171C" w:rsidP="002E171C">
      <w:pPr>
        <w:pStyle w:val="Default"/>
      </w:pPr>
    </w:p>
    <w:p w14:paraId="670D1A4A" w14:textId="77777777" w:rsidR="002E171C" w:rsidRDefault="007037C9" w:rsidP="002E171C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I</w:t>
      </w:r>
      <w:r w:rsidR="002E171C">
        <w:rPr>
          <w:b/>
          <w:bCs/>
          <w:sz w:val="19"/>
          <w:szCs w:val="19"/>
        </w:rPr>
        <w:t>NVITACIÓN A PRESENTAR EXPRESIONES DE INTERÉS</w:t>
      </w:r>
    </w:p>
    <w:p w14:paraId="7CB66F4E" w14:textId="260DDE8E" w:rsidR="002725A3" w:rsidRPr="002725A3" w:rsidRDefault="002725A3" w:rsidP="002725A3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18"/>
          <w:szCs w:val="20"/>
        </w:rPr>
      </w:pPr>
      <w:r w:rsidRPr="002725A3">
        <w:rPr>
          <w:rFonts w:ascii="Arial" w:hAnsi="Arial" w:cs="Arial"/>
          <w:position w:val="-1"/>
          <w:sz w:val="18"/>
          <w:szCs w:val="20"/>
        </w:rPr>
        <w:t>(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>Servicios de Consultoría</w:t>
      </w:r>
      <w:r w:rsidRPr="002725A3">
        <w:rPr>
          <w:rFonts w:ascii="Arial" w:hAnsi="Arial" w:cs="Arial"/>
          <w:spacing w:val="38"/>
          <w:position w:val="-1"/>
          <w:sz w:val="18"/>
          <w:szCs w:val="20"/>
        </w:rPr>
        <w:t xml:space="preserve"> 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 xml:space="preserve">– </w:t>
      </w:r>
      <w:r w:rsidR="0033711C">
        <w:rPr>
          <w:rFonts w:ascii="Arial" w:hAnsi="Arial" w:cs="Arial"/>
          <w:spacing w:val="1"/>
          <w:position w:val="-1"/>
          <w:sz w:val="18"/>
          <w:szCs w:val="20"/>
        </w:rPr>
        <w:t>CCI</w:t>
      </w:r>
      <w:r w:rsidR="00992106">
        <w:rPr>
          <w:rFonts w:ascii="Arial" w:hAnsi="Arial" w:cs="Arial"/>
          <w:spacing w:val="1"/>
          <w:position w:val="-1"/>
          <w:sz w:val="18"/>
          <w:szCs w:val="20"/>
        </w:rPr>
        <w:t xml:space="preserve"> N°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>0</w:t>
      </w:r>
      <w:r w:rsidR="00846D05">
        <w:rPr>
          <w:rFonts w:ascii="Arial" w:hAnsi="Arial" w:cs="Arial"/>
          <w:spacing w:val="1"/>
          <w:position w:val="-1"/>
          <w:sz w:val="18"/>
          <w:szCs w:val="20"/>
        </w:rPr>
        <w:t>08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>-202</w:t>
      </w:r>
      <w:r w:rsidR="00846D05">
        <w:rPr>
          <w:rFonts w:ascii="Arial" w:hAnsi="Arial" w:cs="Arial"/>
          <w:spacing w:val="1"/>
          <w:position w:val="-1"/>
          <w:sz w:val="18"/>
          <w:szCs w:val="20"/>
        </w:rPr>
        <w:t>2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>-SUNAT/BID</w:t>
      </w:r>
      <w:r w:rsidR="00EE7725">
        <w:rPr>
          <w:rFonts w:ascii="Arial" w:hAnsi="Arial" w:cs="Arial"/>
          <w:spacing w:val="1"/>
          <w:position w:val="-1"/>
          <w:sz w:val="18"/>
          <w:szCs w:val="20"/>
        </w:rPr>
        <w:t>-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>3)</w:t>
      </w:r>
    </w:p>
    <w:p w14:paraId="0B2722EA" w14:textId="77777777" w:rsidR="00A5788D" w:rsidRDefault="00A5788D" w:rsidP="002E171C">
      <w:pPr>
        <w:pStyle w:val="Default"/>
        <w:jc w:val="center"/>
        <w:rPr>
          <w:sz w:val="19"/>
          <w:szCs w:val="19"/>
        </w:rPr>
      </w:pPr>
    </w:p>
    <w:p w14:paraId="77731317" w14:textId="77777777" w:rsidR="002E171C" w:rsidRPr="00A5788D" w:rsidRDefault="002E171C" w:rsidP="002E171C">
      <w:pPr>
        <w:pStyle w:val="Default"/>
        <w:jc w:val="center"/>
        <w:rPr>
          <w:b/>
          <w:sz w:val="19"/>
          <w:szCs w:val="19"/>
        </w:rPr>
      </w:pPr>
      <w:r w:rsidRPr="00A5788D">
        <w:rPr>
          <w:b/>
          <w:sz w:val="19"/>
          <w:szCs w:val="19"/>
        </w:rPr>
        <w:t>REP</w:t>
      </w:r>
      <w:r w:rsidR="00A5788D">
        <w:rPr>
          <w:b/>
          <w:sz w:val="19"/>
          <w:szCs w:val="19"/>
        </w:rPr>
        <w:t>Ú</w:t>
      </w:r>
      <w:r w:rsidRPr="00A5788D">
        <w:rPr>
          <w:b/>
          <w:sz w:val="19"/>
          <w:szCs w:val="19"/>
        </w:rPr>
        <w:t>BLICA DEL PERÚ</w:t>
      </w:r>
    </w:p>
    <w:p w14:paraId="14B06061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SUPERINTENDENCIA NACIONAL DE ADUANAS Y DE ADMINISTRACIÓN TRIBUTARIA (SUNAT)</w:t>
      </w:r>
    </w:p>
    <w:p w14:paraId="4D6E2900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Proyecto Mejoramiento de </w:t>
      </w:r>
      <w:r w:rsidR="00E24341">
        <w:rPr>
          <w:b/>
          <w:bCs/>
          <w:sz w:val="19"/>
          <w:szCs w:val="19"/>
        </w:rPr>
        <w:t>los servicios de recaudación tributaria y aduanera a través de la Transformación Dig</w:t>
      </w:r>
      <w:r w:rsidR="006E3E87">
        <w:rPr>
          <w:b/>
          <w:bCs/>
          <w:sz w:val="19"/>
          <w:szCs w:val="19"/>
        </w:rPr>
        <w:t>i</w:t>
      </w:r>
      <w:r w:rsidR="00E24341">
        <w:rPr>
          <w:b/>
          <w:bCs/>
          <w:sz w:val="19"/>
          <w:szCs w:val="19"/>
        </w:rPr>
        <w:t>tal</w:t>
      </w:r>
    </w:p>
    <w:p w14:paraId="1627D4F2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Contrato de Préstamo BID Nº 4725</w:t>
      </w:r>
      <w:r w:rsidR="00EC5524">
        <w:rPr>
          <w:b/>
          <w:bCs/>
          <w:sz w:val="19"/>
          <w:szCs w:val="19"/>
        </w:rPr>
        <w:t>/</w:t>
      </w:r>
      <w:r>
        <w:rPr>
          <w:b/>
          <w:bCs/>
          <w:sz w:val="19"/>
          <w:szCs w:val="19"/>
        </w:rPr>
        <w:t>OC-PE</w:t>
      </w:r>
    </w:p>
    <w:p w14:paraId="112109A1" w14:textId="77777777" w:rsidR="002E171C" w:rsidRDefault="002E171C" w:rsidP="002E171C">
      <w:pPr>
        <w:pStyle w:val="Default"/>
        <w:jc w:val="both"/>
        <w:rPr>
          <w:sz w:val="19"/>
          <w:szCs w:val="19"/>
        </w:rPr>
      </w:pPr>
    </w:p>
    <w:p w14:paraId="3B7B246E" w14:textId="07331B72" w:rsidR="002E171C" w:rsidRDefault="002E171C" w:rsidP="002E171C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El Gobierno del Perú ha suscrito un préstamo con el Banco Interamericano de Desarrollo (BID) y se propone utilizar una parte de los fondos para contratar el</w:t>
      </w:r>
      <w:r w:rsidR="00610B02">
        <w:rPr>
          <w:sz w:val="19"/>
          <w:szCs w:val="19"/>
        </w:rPr>
        <w:t xml:space="preserve"> siguiente Servicio de C</w:t>
      </w:r>
      <w:r>
        <w:rPr>
          <w:sz w:val="19"/>
          <w:szCs w:val="19"/>
        </w:rPr>
        <w:t>onsultoría:</w:t>
      </w:r>
    </w:p>
    <w:p w14:paraId="7E31599D" w14:textId="77777777" w:rsidR="002E171C" w:rsidRDefault="002E171C" w:rsidP="002E171C">
      <w:pPr>
        <w:pStyle w:val="Default"/>
        <w:rPr>
          <w:b/>
          <w:bCs/>
          <w:sz w:val="19"/>
          <w:szCs w:val="19"/>
        </w:rPr>
      </w:pPr>
    </w:p>
    <w:p w14:paraId="5E449E48" w14:textId="77777777" w:rsidR="00F91365" w:rsidRDefault="00F91365" w:rsidP="00F91365">
      <w:pPr>
        <w:pStyle w:val="Default"/>
        <w:jc w:val="center"/>
        <w:rPr>
          <w:b/>
          <w:bCs/>
          <w:sz w:val="19"/>
          <w:szCs w:val="19"/>
        </w:rPr>
      </w:pPr>
      <w:bookmarkStart w:id="0" w:name="_Hlk101523728"/>
      <w:r w:rsidRPr="00846D05">
        <w:rPr>
          <w:b/>
          <w:bCs/>
          <w:sz w:val="19"/>
          <w:szCs w:val="19"/>
        </w:rPr>
        <w:t>Contratación de consultores especializados en el desarrollo de</w:t>
      </w:r>
      <w:r>
        <w:rPr>
          <w:b/>
          <w:bCs/>
          <w:sz w:val="19"/>
          <w:szCs w:val="19"/>
        </w:rPr>
        <w:t xml:space="preserve"> </w:t>
      </w:r>
      <w:r w:rsidRPr="00846D05">
        <w:rPr>
          <w:b/>
          <w:bCs/>
          <w:sz w:val="19"/>
          <w:szCs w:val="19"/>
        </w:rPr>
        <w:t>modelos analíticos avanzados para el proceso de consolidación de</w:t>
      </w:r>
      <w:r>
        <w:rPr>
          <w:b/>
          <w:bCs/>
          <w:sz w:val="19"/>
          <w:szCs w:val="19"/>
        </w:rPr>
        <w:t xml:space="preserve"> </w:t>
      </w:r>
      <w:r w:rsidRPr="00846D05">
        <w:rPr>
          <w:b/>
          <w:bCs/>
          <w:sz w:val="19"/>
          <w:szCs w:val="19"/>
        </w:rPr>
        <w:t>la ciencia de datos</w:t>
      </w:r>
    </w:p>
    <w:bookmarkEnd w:id="0"/>
    <w:p w14:paraId="3CCDB89B" w14:textId="77777777" w:rsidR="00846D05" w:rsidRDefault="00846D05" w:rsidP="00846D05">
      <w:pPr>
        <w:pStyle w:val="Default"/>
        <w:jc w:val="both"/>
        <w:rPr>
          <w:sz w:val="20"/>
          <w:szCs w:val="20"/>
        </w:rPr>
      </w:pPr>
    </w:p>
    <w:p w14:paraId="25344624" w14:textId="0A43F21D" w:rsidR="00E24341" w:rsidRDefault="00EB2B95" w:rsidP="00C64730">
      <w:pPr>
        <w:pStyle w:val="Default"/>
        <w:jc w:val="both"/>
        <w:rPr>
          <w:sz w:val="19"/>
          <w:szCs w:val="19"/>
        </w:rPr>
      </w:pPr>
      <w:r w:rsidRPr="00DB5B16">
        <w:rPr>
          <w:sz w:val="19"/>
          <w:szCs w:val="19"/>
        </w:rPr>
        <w:t>El servicio de consultoría tiene como objetivos los siguientes aspectos:</w:t>
      </w:r>
    </w:p>
    <w:p w14:paraId="6EE0C4F3" w14:textId="77777777" w:rsidR="00CC33E6" w:rsidRDefault="00CC33E6" w:rsidP="00C64730">
      <w:pPr>
        <w:pStyle w:val="Default"/>
        <w:jc w:val="both"/>
        <w:rPr>
          <w:sz w:val="19"/>
          <w:szCs w:val="19"/>
        </w:rPr>
      </w:pPr>
    </w:p>
    <w:p w14:paraId="09595056" w14:textId="77777777" w:rsidR="00CC33E6" w:rsidRDefault="00CC33E6" w:rsidP="00CC33E6">
      <w:pPr>
        <w:pStyle w:val="Default"/>
        <w:jc w:val="both"/>
        <w:rPr>
          <w:sz w:val="19"/>
          <w:szCs w:val="19"/>
        </w:rPr>
      </w:pPr>
      <w:r w:rsidRPr="00846D05">
        <w:rPr>
          <w:sz w:val="19"/>
          <w:szCs w:val="19"/>
        </w:rPr>
        <w:t>Contratar los servicios de seis (06) Consultores Especializados en Ciencia de Datos</w:t>
      </w:r>
      <w:r>
        <w:rPr>
          <w:sz w:val="19"/>
          <w:szCs w:val="19"/>
        </w:rPr>
        <w:t xml:space="preserve"> </w:t>
      </w:r>
      <w:r w:rsidRPr="00846D05">
        <w:rPr>
          <w:sz w:val="19"/>
          <w:szCs w:val="19"/>
        </w:rPr>
        <w:t>para la planificación, desarrollo e implementación de modelos analíticos avanzados</w:t>
      </w:r>
      <w:r>
        <w:rPr>
          <w:sz w:val="19"/>
          <w:szCs w:val="19"/>
        </w:rPr>
        <w:t xml:space="preserve"> </w:t>
      </w:r>
      <w:r w:rsidRPr="00846D05">
        <w:rPr>
          <w:sz w:val="19"/>
          <w:szCs w:val="19"/>
        </w:rPr>
        <w:t>para la identificación de riesgos y formulación de hipótesis de incumplimiento tributario</w:t>
      </w:r>
      <w:r>
        <w:rPr>
          <w:sz w:val="19"/>
          <w:szCs w:val="19"/>
        </w:rPr>
        <w:t xml:space="preserve"> </w:t>
      </w:r>
      <w:r w:rsidRPr="00846D05">
        <w:rPr>
          <w:sz w:val="19"/>
          <w:szCs w:val="19"/>
        </w:rPr>
        <w:t>vinculados a los diferentes tratamientos de la Administración Tributaria, con la finalidad</w:t>
      </w:r>
      <w:r>
        <w:rPr>
          <w:sz w:val="19"/>
          <w:szCs w:val="19"/>
        </w:rPr>
        <w:t xml:space="preserve"> </w:t>
      </w:r>
      <w:r w:rsidRPr="00846D05">
        <w:rPr>
          <w:sz w:val="19"/>
          <w:szCs w:val="19"/>
        </w:rPr>
        <w:t>de consolidar la detección de riesgos de incumplimientos y la formulación de</w:t>
      </w:r>
      <w:r>
        <w:rPr>
          <w:sz w:val="19"/>
          <w:szCs w:val="19"/>
        </w:rPr>
        <w:t xml:space="preserve"> </w:t>
      </w:r>
      <w:r w:rsidRPr="00846D05">
        <w:rPr>
          <w:sz w:val="19"/>
          <w:szCs w:val="19"/>
        </w:rPr>
        <w:t>tratamientos que respondan a los distintos comportamientos y procesos; incorporando</w:t>
      </w:r>
      <w:r>
        <w:rPr>
          <w:sz w:val="19"/>
          <w:szCs w:val="19"/>
        </w:rPr>
        <w:t xml:space="preserve"> </w:t>
      </w:r>
      <w:r w:rsidRPr="00846D05">
        <w:rPr>
          <w:sz w:val="19"/>
          <w:szCs w:val="19"/>
        </w:rPr>
        <w:t>además el análisis predictivo, prescriptivo y de aprendizaje profundo, a fin de dar</w:t>
      </w:r>
      <w:r>
        <w:rPr>
          <w:sz w:val="19"/>
          <w:szCs w:val="19"/>
        </w:rPr>
        <w:t xml:space="preserve"> </w:t>
      </w:r>
      <w:r w:rsidRPr="00846D05">
        <w:rPr>
          <w:sz w:val="19"/>
          <w:szCs w:val="19"/>
        </w:rPr>
        <w:t>continuidad al ciclo de la ciencia de datos y optimizar los diferentes procesos dentro del</w:t>
      </w:r>
      <w:r>
        <w:rPr>
          <w:sz w:val="19"/>
          <w:szCs w:val="19"/>
        </w:rPr>
        <w:t xml:space="preserve"> </w:t>
      </w:r>
      <w:r w:rsidRPr="00846D05">
        <w:rPr>
          <w:sz w:val="19"/>
          <w:szCs w:val="19"/>
        </w:rPr>
        <w:t>equipo de analítica avanzada que viene trabajando en la INER desde hace más de</w:t>
      </w:r>
      <w:r>
        <w:rPr>
          <w:sz w:val="19"/>
          <w:szCs w:val="19"/>
        </w:rPr>
        <w:t xml:space="preserve"> </w:t>
      </w:r>
      <w:r w:rsidRPr="00846D05">
        <w:rPr>
          <w:sz w:val="19"/>
          <w:szCs w:val="19"/>
        </w:rPr>
        <w:t>cuatro (4) años, en el marco del Modelo Integral de Gestión de Riesgos de la SUNAT.</w:t>
      </w:r>
      <w:r>
        <w:rPr>
          <w:sz w:val="19"/>
          <w:szCs w:val="19"/>
        </w:rPr>
        <w:t xml:space="preserve"> </w:t>
      </w:r>
    </w:p>
    <w:p w14:paraId="3FF08634" w14:textId="77777777" w:rsidR="00CC33E6" w:rsidRPr="00DB5B16" w:rsidRDefault="00CC33E6" w:rsidP="00C64730">
      <w:pPr>
        <w:pStyle w:val="Default"/>
        <w:jc w:val="both"/>
        <w:rPr>
          <w:sz w:val="19"/>
          <w:szCs w:val="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7985"/>
      </w:tblGrid>
      <w:tr w:rsidR="006E0DE7" w14:paraId="22B0C4E6" w14:textId="77777777" w:rsidTr="00F91365">
        <w:tc>
          <w:tcPr>
            <w:tcW w:w="534" w:type="dxa"/>
            <w:vAlign w:val="center"/>
          </w:tcPr>
          <w:p w14:paraId="1BBDB3F2" w14:textId="4E62E986" w:rsidR="006E0DE7" w:rsidRPr="006E0DE7" w:rsidRDefault="006E0DE7" w:rsidP="006E0DE7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</w:pP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01</w:t>
            </w:r>
          </w:p>
        </w:tc>
        <w:tc>
          <w:tcPr>
            <w:tcW w:w="1701" w:type="dxa"/>
            <w:vAlign w:val="center"/>
          </w:tcPr>
          <w:p w14:paraId="57AD0F2C" w14:textId="41641302" w:rsidR="006E0DE7" w:rsidRPr="006E0DE7" w:rsidRDefault="006E0DE7" w:rsidP="006E0D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</w:pP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Formación</w:t>
            </w: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 xml:space="preserve"> </w:t>
            </w: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Académica</w:t>
            </w:r>
          </w:p>
        </w:tc>
        <w:tc>
          <w:tcPr>
            <w:tcW w:w="7985" w:type="dxa"/>
            <w:vAlign w:val="center"/>
          </w:tcPr>
          <w:p w14:paraId="252BF708" w14:textId="5163AEE5" w:rsidR="006E0DE7" w:rsidRPr="006E0DE7" w:rsidRDefault="006E0DE7" w:rsidP="00F9136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</w:pP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Bachiller, titulado o licenciado en Estadística y/o</w:t>
            </w: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 xml:space="preserve"> </w:t>
            </w: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Matemática y/o Investigación Operativa y/o Ingeniería</w:t>
            </w: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 xml:space="preserve"> </w:t>
            </w: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Informática y/o Ingeniería de Sistemas y/o Ciencias de la</w:t>
            </w: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 xml:space="preserve"> </w:t>
            </w: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Computación y/o Electrónica y/o Economía y/o Ingeniería</w:t>
            </w: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 xml:space="preserve"> </w:t>
            </w: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Económica y/o afines</w:t>
            </w:r>
          </w:p>
        </w:tc>
      </w:tr>
      <w:tr w:rsidR="006E0DE7" w14:paraId="5688228E" w14:textId="77777777" w:rsidTr="00F91365">
        <w:tc>
          <w:tcPr>
            <w:tcW w:w="534" w:type="dxa"/>
            <w:vAlign w:val="center"/>
          </w:tcPr>
          <w:p w14:paraId="727E80F8" w14:textId="43256116" w:rsidR="006E0DE7" w:rsidRPr="006E0DE7" w:rsidRDefault="006E0DE7" w:rsidP="006E0DE7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</w:pP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02</w:t>
            </w:r>
          </w:p>
        </w:tc>
        <w:tc>
          <w:tcPr>
            <w:tcW w:w="1701" w:type="dxa"/>
            <w:vAlign w:val="center"/>
          </w:tcPr>
          <w:p w14:paraId="35DDA177" w14:textId="77777777" w:rsidR="006E0DE7" w:rsidRPr="006E0DE7" w:rsidRDefault="006E0DE7" w:rsidP="006E0D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</w:pP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Estudios</w:t>
            </w:r>
          </w:p>
          <w:p w14:paraId="7A26ACFE" w14:textId="128825DB" w:rsidR="006E0DE7" w:rsidRPr="006E0DE7" w:rsidRDefault="006E0DE7" w:rsidP="006E0DE7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</w:pP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adicionales</w:t>
            </w:r>
          </w:p>
        </w:tc>
        <w:tc>
          <w:tcPr>
            <w:tcW w:w="7985" w:type="dxa"/>
            <w:vAlign w:val="center"/>
          </w:tcPr>
          <w:p w14:paraId="68CC1DF3" w14:textId="4C4983D7" w:rsidR="006E0DE7" w:rsidRPr="006E0DE7" w:rsidRDefault="006E0DE7" w:rsidP="00F9136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</w:pP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De preferencia contar con estudios de Maestría y/o</w:t>
            </w: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 xml:space="preserve"> </w:t>
            </w: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Diplomados en Inteligencia Artificial y/o en Data Science,</w:t>
            </w: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 xml:space="preserve"> </w:t>
            </w: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estudios de Estadística y/o Matemática y/o Informática y/o</w:t>
            </w: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 xml:space="preserve"> </w:t>
            </w: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Sistemas y/o Ciencias de la Computación y/o afines.</w:t>
            </w:r>
          </w:p>
          <w:p w14:paraId="38C772B4" w14:textId="79A5E278" w:rsidR="006E0DE7" w:rsidRPr="006E0DE7" w:rsidRDefault="006E0DE7" w:rsidP="00F91365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</w:pP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Se otorgará puntaje adicional.</w:t>
            </w:r>
          </w:p>
        </w:tc>
      </w:tr>
      <w:tr w:rsidR="006E0DE7" w14:paraId="2B658981" w14:textId="77777777" w:rsidTr="00F91365">
        <w:tc>
          <w:tcPr>
            <w:tcW w:w="534" w:type="dxa"/>
            <w:vAlign w:val="center"/>
          </w:tcPr>
          <w:p w14:paraId="3FA28025" w14:textId="51A7BE58" w:rsidR="006E0DE7" w:rsidRPr="006E0DE7" w:rsidRDefault="006E0DE7" w:rsidP="006E0DE7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</w:pP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03</w:t>
            </w:r>
          </w:p>
        </w:tc>
        <w:tc>
          <w:tcPr>
            <w:tcW w:w="1701" w:type="dxa"/>
            <w:vAlign w:val="center"/>
          </w:tcPr>
          <w:p w14:paraId="34BDFE0A" w14:textId="77777777" w:rsidR="006E0DE7" w:rsidRPr="006E0DE7" w:rsidRDefault="006E0DE7" w:rsidP="006E0D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</w:pP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Experiencia</w:t>
            </w:r>
          </w:p>
          <w:p w14:paraId="581AEE1F" w14:textId="77C7A1F1" w:rsidR="006E0DE7" w:rsidRPr="006E0DE7" w:rsidRDefault="006E0DE7" w:rsidP="006E0DE7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</w:pP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general</w:t>
            </w:r>
          </w:p>
        </w:tc>
        <w:tc>
          <w:tcPr>
            <w:tcW w:w="7985" w:type="dxa"/>
            <w:vAlign w:val="center"/>
          </w:tcPr>
          <w:p w14:paraId="1C2DFD92" w14:textId="63CBD722" w:rsidR="006E0DE7" w:rsidRPr="006E0DE7" w:rsidRDefault="006E0DE7" w:rsidP="00F9136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</w:pP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Experiencia general, al menos cinco (05) años en</w:t>
            </w: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 xml:space="preserve"> </w:t>
            </w: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entidades del sector público y/o privado.</w:t>
            </w:r>
          </w:p>
        </w:tc>
      </w:tr>
      <w:tr w:rsidR="006E0DE7" w14:paraId="5AB95E72" w14:textId="77777777" w:rsidTr="00F91365">
        <w:tc>
          <w:tcPr>
            <w:tcW w:w="534" w:type="dxa"/>
            <w:vAlign w:val="center"/>
          </w:tcPr>
          <w:p w14:paraId="7158EDEE" w14:textId="585E193D" w:rsidR="006E0DE7" w:rsidRPr="006E0DE7" w:rsidRDefault="006E0DE7" w:rsidP="006E0DE7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</w:pPr>
            <w:r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04</w:t>
            </w:r>
          </w:p>
        </w:tc>
        <w:tc>
          <w:tcPr>
            <w:tcW w:w="1701" w:type="dxa"/>
            <w:vAlign w:val="center"/>
          </w:tcPr>
          <w:p w14:paraId="5A7226B3" w14:textId="77777777" w:rsidR="006E0DE7" w:rsidRPr="006E0DE7" w:rsidRDefault="006E0DE7" w:rsidP="006E0D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</w:pP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Experiencia</w:t>
            </w:r>
          </w:p>
          <w:p w14:paraId="7BACBC04" w14:textId="68438701" w:rsidR="006E0DE7" w:rsidRPr="006E0DE7" w:rsidRDefault="006E0DE7" w:rsidP="006E0DE7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</w:pP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específica</w:t>
            </w:r>
          </w:p>
        </w:tc>
        <w:tc>
          <w:tcPr>
            <w:tcW w:w="7985" w:type="dxa"/>
            <w:vAlign w:val="center"/>
          </w:tcPr>
          <w:p w14:paraId="2CB5EFB3" w14:textId="7DE02C82" w:rsidR="006E0DE7" w:rsidRPr="006E0DE7" w:rsidRDefault="006E0DE7" w:rsidP="00F9136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</w:pP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Experiencia específica, al menos tres (03) años como:</w:t>
            </w: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 xml:space="preserve"> </w:t>
            </w: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Científico de Datos y/o Analista de Datos y/o Especialista</w:t>
            </w: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 xml:space="preserve"> </w:t>
            </w: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de Datos y/o afines en el sector público y/o privado,</w:t>
            </w: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 xml:space="preserve"> </w:t>
            </w: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acreditada mediante:</w:t>
            </w:r>
            <w:r w:rsidR="00F91365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 xml:space="preserve"> </w:t>
            </w: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− Constancias de prestación de servicio.</w:t>
            </w:r>
            <w:r w:rsidR="00F91365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 xml:space="preserve"> </w:t>
            </w: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− Certificado de trabajo.</w:t>
            </w:r>
            <w:r w:rsidR="00F91365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 xml:space="preserve"> </w:t>
            </w: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− Orden de servicio o contrato con su respectiva</w:t>
            </w: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 xml:space="preserve"> </w:t>
            </w:r>
            <w:r w:rsidRPr="006E0DE7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conformidad.</w:t>
            </w:r>
          </w:p>
        </w:tc>
      </w:tr>
      <w:tr w:rsidR="006E0DE7" w14:paraId="02C0CE5F" w14:textId="77777777" w:rsidTr="00F91365">
        <w:tc>
          <w:tcPr>
            <w:tcW w:w="534" w:type="dxa"/>
          </w:tcPr>
          <w:p w14:paraId="14693301" w14:textId="62E9E07E" w:rsidR="006E0DE7" w:rsidRPr="00F91365" w:rsidRDefault="00F91365" w:rsidP="00A55A58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</w:pPr>
            <w:r w:rsidRPr="00F91365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05</w:t>
            </w:r>
          </w:p>
        </w:tc>
        <w:tc>
          <w:tcPr>
            <w:tcW w:w="1701" w:type="dxa"/>
          </w:tcPr>
          <w:p w14:paraId="22D65CF2" w14:textId="12D180CE" w:rsidR="006E0DE7" w:rsidRPr="00F91365" w:rsidRDefault="00F91365" w:rsidP="00A55A58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</w:pPr>
            <w:r w:rsidRPr="00F91365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Conocimientos</w:t>
            </w:r>
          </w:p>
        </w:tc>
        <w:tc>
          <w:tcPr>
            <w:tcW w:w="7985" w:type="dxa"/>
            <w:vAlign w:val="center"/>
          </w:tcPr>
          <w:p w14:paraId="2F5DB508" w14:textId="3F4FD06E" w:rsidR="006E0DE7" w:rsidRPr="00F91365" w:rsidRDefault="006E0DE7" w:rsidP="00F9136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</w:pPr>
            <w:r w:rsidRPr="00F91365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− Lenguajes de programación: R y/o Phyton y/o Scala</w:t>
            </w:r>
            <w:r w:rsidRPr="00F91365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 xml:space="preserve"> </w:t>
            </w:r>
            <w:r w:rsidRPr="00F91365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para el tratamiento de grandes volúmenes de datos</w:t>
            </w:r>
            <w:r w:rsidRPr="00F91365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 xml:space="preserve"> </w:t>
            </w:r>
            <w:r w:rsidRPr="00F91365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usando herramientas como Apache Hadoop y/o Spark;</w:t>
            </w:r>
            <w:r w:rsidRPr="00F91365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 xml:space="preserve"> </w:t>
            </w:r>
            <w:r w:rsidRPr="00F91365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y/o</w:t>
            </w:r>
          </w:p>
          <w:p w14:paraId="6E6B33A0" w14:textId="3C7EDF3A" w:rsidR="006E0DE7" w:rsidRPr="00F91365" w:rsidRDefault="006E0DE7" w:rsidP="00F9136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</w:pPr>
            <w:r w:rsidRPr="00F91365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− Explotación de datos desde Data Lakes y Data</w:t>
            </w:r>
            <w:r w:rsidR="00F91365" w:rsidRPr="00F91365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 xml:space="preserve"> </w:t>
            </w:r>
            <w:r w:rsidRPr="00F91365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Warehouse; y/o</w:t>
            </w:r>
          </w:p>
          <w:p w14:paraId="581A4966" w14:textId="2C8E9A0C" w:rsidR="006E0DE7" w:rsidRPr="00F91365" w:rsidRDefault="006E0DE7" w:rsidP="00F9136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</w:pPr>
            <w:r w:rsidRPr="00F91365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− Conocimiento de Estadística y/o Matemática y/o minería</w:t>
            </w:r>
            <w:r w:rsidR="00F91365" w:rsidRPr="00F91365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 xml:space="preserve"> </w:t>
            </w:r>
            <w:r w:rsidRPr="00F91365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de datos y/o simulación y/u optimización; y/o</w:t>
            </w:r>
          </w:p>
          <w:p w14:paraId="7A45DA21" w14:textId="5D02FAAE" w:rsidR="006E0DE7" w:rsidRPr="00F91365" w:rsidRDefault="006E0DE7" w:rsidP="00F9136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</w:pPr>
            <w:r w:rsidRPr="00F91365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− Desarrollo de proyectos analíticos construyendo</w:t>
            </w:r>
            <w:r w:rsidR="00F91365" w:rsidRPr="00F91365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 xml:space="preserve"> </w:t>
            </w:r>
            <w:r w:rsidRPr="00F91365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modelos de data science y/o machine learning y/o</w:t>
            </w:r>
            <w:r w:rsidR="00F91365" w:rsidRPr="00F91365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 xml:space="preserve"> </w:t>
            </w:r>
            <w:r w:rsidRPr="00F91365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inteligencia artificial con grandes sets de data</w:t>
            </w:r>
            <w:r w:rsidR="00F91365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 xml:space="preserve"> </w:t>
            </w:r>
            <w:r w:rsidRPr="00F91365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estructurada y no estructurada.</w:t>
            </w:r>
          </w:p>
          <w:p w14:paraId="64CE2769" w14:textId="77777777" w:rsidR="006E0DE7" w:rsidRPr="00F91365" w:rsidRDefault="006E0DE7" w:rsidP="00F9136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</w:pPr>
            <w:r w:rsidRPr="00F91365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La forma de acreditar los conocimientos será mediante</w:t>
            </w:r>
          </w:p>
          <w:p w14:paraId="14B87081" w14:textId="53CAD810" w:rsidR="006E0DE7" w:rsidRPr="00F91365" w:rsidRDefault="006E0DE7" w:rsidP="00F91365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</w:pPr>
            <w:r w:rsidRPr="00F91365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Declaración Jurada en la Hoja de Vida del consultor.</w:t>
            </w:r>
          </w:p>
        </w:tc>
      </w:tr>
      <w:tr w:rsidR="006E0DE7" w14:paraId="685F9D81" w14:textId="77777777" w:rsidTr="006E0DE7">
        <w:tc>
          <w:tcPr>
            <w:tcW w:w="534" w:type="dxa"/>
          </w:tcPr>
          <w:p w14:paraId="39B9CD42" w14:textId="3FCF128F" w:rsidR="006E0DE7" w:rsidRPr="00F91365" w:rsidRDefault="00F91365" w:rsidP="00A55A58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</w:pPr>
            <w:r w:rsidRPr="00F91365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06</w:t>
            </w:r>
          </w:p>
        </w:tc>
        <w:tc>
          <w:tcPr>
            <w:tcW w:w="1701" w:type="dxa"/>
          </w:tcPr>
          <w:p w14:paraId="2804200B" w14:textId="6E5E15CD" w:rsidR="006E0DE7" w:rsidRPr="00F91365" w:rsidRDefault="00F91365" w:rsidP="00A55A58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</w:pPr>
            <w:r w:rsidRPr="00F91365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Entrevista</w:t>
            </w:r>
          </w:p>
        </w:tc>
        <w:tc>
          <w:tcPr>
            <w:tcW w:w="7985" w:type="dxa"/>
          </w:tcPr>
          <w:p w14:paraId="414DFFEA" w14:textId="3D62AFB2" w:rsidR="00F91365" w:rsidRPr="00F91365" w:rsidRDefault="00F91365" w:rsidP="00F913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</w:pPr>
            <w:r w:rsidRPr="00F91365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Se evaluará:</w:t>
            </w:r>
            <w:r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 xml:space="preserve"> </w:t>
            </w:r>
            <w:r w:rsidRPr="00F91365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− Dominio temático.</w:t>
            </w:r>
            <w:r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 xml:space="preserve"> </w:t>
            </w:r>
            <w:r w:rsidRPr="00F91365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− Capacidad analítica.</w:t>
            </w:r>
            <w:r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 xml:space="preserve"> </w:t>
            </w:r>
            <w:r w:rsidRPr="00F91365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− Capacidad para trabajar en equipo.</w:t>
            </w:r>
            <w:r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 xml:space="preserve"> </w:t>
            </w:r>
            <w:r w:rsidRPr="00F91365">
              <w:rPr>
                <w:rFonts w:ascii="Arial" w:eastAsiaTheme="minorHAnsi" w:hAnsi="Arial" w:cs="Arial"/>
                <w:color w:val="000000"/>
                <w:sz w:val="19"/>
                <w:szCs w:val="19"/>
                <w:lang w:val="es-PE"/>
              </w:rPr>
              <w:t>− Iniciativa.</w:t>
            </w:r>
          </w:p>
        </w:tc>
      </w:tr>
    </w:tbl>
    <w:p w14:paraId="7BEC5BCC" w14:textId="77777777" w:rsidR="006E0DE7" w:rsidRDefault="006E0DE7" w:rsidP="00A55A58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  <w:lang w:val="es-MX"/>
        </w:rPr>
      </w:pPr>
    </w:p>
    <w:p w14:paraId="3F1E6911" w14:textId="039585DA" w:rsidR="00DB5B16" w:rsidRPr="00912BF5" w:rsidRDefault="00C5579D" w:rsidP="00DB5B16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sz w:val="19"/>
          <w:szCs w:val="19"/>
          <w:lang w:val="es-MX"/>
        </w:rPr>
      </w:pPr>
      <w:r w:rsidRPr="00912BF5">
        <w:rPr>
          <w:rFonts w:ascii="Arial" w:hAnsi="Arial" w:cs="Arial"/>
          <w:sz w:val="19"/>
          <w:szCs w:val="19"/>
          <w:lang w:val="es-MX"/>
        </w:rPr>
        <w:t xml:space="preserve">El servicio </w:t>
      </w:r>
      <w:r w:rsidR="00DB5B16" w:rsidRPr="00912BF5">
        <w:rPr>
          <w:rFonts w:ascii="Arial" w:hAnsi="Arial" w:cs="Arial"/>
          <w:sz w:val="19"/>
          <w:szCs w:val="19"/>
          <w:lang w:val="es-MX"/>
        </w:rPr>
        <w:t xml:space="preserve">para la </w:t>
      </w:r>
      <w:r w:rsidR="00F91365" w:rsidRPr="00F91365">
        <w:rPr>
          <w:rFonts w:ascii="Arial" w:hAnsi="Arial" w:cs="Arial"/>
          <w:sz w:val="19"/>
          <w:szCs w:val="19"/>
          <w:lang w:val="es-MX"/>
        </w:rPr>
        <w:t>Contratación de consultores especializados en el desarrollo de modelos analíticos avanzados para el proceso de consolidación de la ciencia de datos</w:t>
      </w:r>
      <w:r w:rsidR="00DB5B16" w:rsidRPr="00912BF5">
        <w:rPr>
          <w:rFonts w:ascii="Arial" w:hAnsi="Arial" w:cs="Arial"/>
          <w:sz w:val="19"/>
          <w:szCs w:val="19"/>
          <w:lang w:val="es-MX"/>
        </w:rPr>
        <w:t>, comprende las siguientes actividades:</w:t>
      </w:r>
    </w:p>
    <w:p w14:paraId="7737B13E" w14:textId="2E978D03" w:rsidR="00DB5B16" w:rsidRPr="00912BF5" w:rsidRDefault="00DB5B16" w:rsidP="00DB5B16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sz w:val="19"/>
          <w:szCs w:val="19"/>
          <w:lang w:val="es-MX"/>
        </w:rPr>
      </w:pPr>
    </w:p>
    <w:p w14:paraId="1C59B53D" w14:textId="030CE91C" w:rsidR="00DB5B16" w:rsidRPr="004C1AFE" w:rsidRDefault="00DB5B16" w:rsidP="004C1AFE">
      <w:pPr>
        <w:pStyle w:val="Default"/>
        <w:numPr>
          <w:ilvl w:val="0"/>
          <w:numId w:val="9"/>
        </w:numPr>
        <w:ind w:left="567" w:hanging="284"/>
        <w:jc w:val="both"/>
        <w:rPr>
          <w:sz w:val="19"/>
          <w:szCs w:val="19"/>
        </w:rPr>
      </w:pPr>
      <w:r w:rsidRPr="004C1AFE">
        <w:rPr>
          <w:sz w:val="19"/>
          <w:szCs w:val="19"/>
        </w:rPr>
        <w:t>Planificación relativa a los modelos</w:t>
      </w:r>
      <w:r w:rsidR="00BE1751" w:rsidRPr="004C1AFE">
        <w:rPr>
          <w:sz w:val="19"/>
          <w:szCs w:val="19"/>
        </w:rPr>
        <w:t xml:space="preserve"> Planificación del ciclo de vida de los modelos analíticos</w:t>
      </w:r>
    </w:p>
    <w:p w14:paraId="1CA43390" w14:textId="77777777" w:rsidR="00DB5B16" w:rsidRPr="004C1AFE" w:rsidRDefault="00DB5B16" w:rsidP="004C1AFE">
      <w:pPr>
        <w:pStyle w:val="Default"/>
        <w:numPr>
          <w:ilvl w:val="0"/>
          <w:numId w:val="9"/>
        </w:numPr>
        <w:ind w:left="567" w:hanging="284"/>
        <w:jc w:val="both"/>
        <w:rPr>
          <w:sz w:val="19"/>
          <w:szCs w:val="19"/>
        </w:rPr>
      </w:pPr>
      <w:r w:rsidRPr="004C1AFE">
        <w:rPr>
          <w:sz w:val="19"/>
          <w:szCs w:val="19"/>
        </w:rPr>
        <w:t>Comprensión del negocio y enfoque analítico</w:t>
      </w:r>
    </w:p>
    <w:p w14:paraId="01741587" w14:textId="77777777" w:rsidR="00DB5B16" w:rsidRPr="004C1AFE" w:rsidRDefault="00DB5B16" w:rsidP="004C1AFE">
      <w:pPr>
        <w:pStyle w:val="Default"/>
        <w:numPr>
          <w:ilvl w:val="0"/>
          <w:numId w:val="9"/>
        </w:numPr>
        <w:ind w:left="567" w:hanging="284"/>
        <w:jc w:val="both"/>
        <w:rPr>
          <w:sz w:val="19"/>
          <w:szCs w:val="19"/>
        </w:rPr>
      </w:pPr>
      <w:r w:rsidRPr="004C1AFE">
        <w:rPr>
          <w:sz w:val="19"/>
          <w:szCs w:val="19"/>
        </w:rPr>
        <w:t>Requisitos, recopilación y la comprensión de datos</w:t>
      </w:r>
    </w:p>
    <w:p w14:paraId="7FD10267" w14:textId="77777777" w:rsidR="00DB5B16" w:rsidRPr="004C1AFE" w:rsidRDefault="00DB5B16" w:rsidP="004C1AFE">
      <w:pPr>
        <w:pStyle w:val="Default"/>
        <w:numPr>
          <w:ilvl w:val="0"/>
          <w:numId w:val="9"/>
        </w:numPr>
        <w:ind w:left="567" w:hanging="284"/>
        <w:jc w:val="both"/>
        <w:rPr>
          <w:sz w:val="19"/>
          <w:szCs w:val="19"/>
        </w:rPr>
      </w:pPr>
      <w:r w:rsidRPr="004C1AFE">
        <w:rPr>
          <w:sz w:val="19"/>
          <w:szCs w:val="19"/>
        </w:rPr>
        <w:t>Preparación de los datos</w:t>
      </w:r>
    </w:p>
    <w:p w14:paraId="338F5086" w14:textId="77777777" w:rsidR="00DB5B16" w:rsidRPr="004C1AFE" w:rsidRDefault="00DB5B16" w:rsidP="004C1AFE">
      <w:pPr>
        <w:pStyle w:val="Default"/>
        <w:numPr>
          <w:ilvl w:val="0"/>
          <w:numId w:val="9"/>
        </w:numPr>
        <w:ind w:left="567" w:hanging="284"/>
        <w:jc w:val="both"/>
        <w:rPr>
          <w:sz w:val="19"/>
          <w:szCs w:val="19"/>
        </w:rPr>
      </w:pPr>
      <w:r w:rsidRPr="004C1AFE">
        <w:rPr>
          <w:sz w:val="19"/>
          <w:szCs w:val="19"/>
        </w:rPr>
        <w:t>Diseño del modelo</w:t>
      </w:r>
    </w:p>
    <w:p w14:paraId="60ED7F8B" w14:textId="77777777" w:rsidR="00DB5B16" w:rsidRPr="004C1AFE" w:rsidRDefault="00DB5B16" w:rsidP="004C1AFE">
      <w:pPr>
        <w:pStyle w:val="Default"/>
        <w:numPr>
          <w:ilvl w:val="0"/>
          <w:numId w:val="9"/>
        </w:numPr>
        <w:ind w:left="567" w:hanging="284"/>
        <w:jc w:val="both"/>
        <w:rPr>
          <w:sz w:val="19"/>
          <w:szCs w:val="19"/>
        </w:rPr>
      </w:pPr>
      <w:r w:rsidRPr="004C1AFE">
        <w:rPr>
          <w:sz w:val="19"/>
          <w:szCs w:val="19"/>
        </w:rPr>
        <w:lastRenderedPageBreak/>
        <w:t>Evaluación del modelo</w:t>
      </w:r>
    </w:p>
    <w:p w14:paraId="2157924B" w14:textId="44D53F0F" w:rsidR="00BE1751" w:rsidRPr="004C1AFE" w:rsidRDefault="00BE1751" w:rsidP="004C1AFE">
      <w:pPr>
        <w:pStyle w:val="Default"/>
        <w:numPr>
          <w:ilvl w:val="0"/>
          <w:numId w:val="9"/>
        </w:numPr>
        <w:ind w:left="567" w:hanging="284"/>
        <w:jc w:val="both"/>
        <w:rPr>
          <w:sz w:val="19"/>
          <w:szCs w:val="19"/>
        </w:rPr>
      </w:pPr>
      <w:r w:rsidRPr="004C1AFE">
        <w:rPr>
          <w:sz w:val="19"/>
          <w:szCs w:val="19"/>
        </w:rPr>
        <w:t>Puesta en producción y monitoreo de la solución analítica</w:t>
      </w:r>
    </w:p>
    <w:p w14:paraId="6958ADCC" w14:textId="77777777" w:rsidR="00DB5B16" w:rsidRPr="004C1AFE" w:rsidRDefault="00DB5B16" w:rsidP="004C1AFE">
      <w:pPr>
        <w:pStyle w:val="Default"/>
        <w:numPr>
          <w:ilvl w:val="0"/>
          <w:numId w:val="9"/>
        </w:numPr>
        <w:ind w:left="567" w:hanging="284"/>
        <w:jc w:val="both"/>
        <w:rPr>
          <w:sz w:val="19"/>
          <w:szCs w:val="19"/>
        </w:rPr>
      </w:pPr>
      <w:r w:rsidRPr="004C1AFE">
        <w:rPr>
          <w:sz w:val="19"/>
          <w:szCs w:val="19"/>
        </w:rPr>
        <w:t>Otras actividades</w:t>
      </w:r>
    </w:p>
    <w:p w14:paraId="023093D6" w14:textId="1A3CAC87" w:rsidR="00DB5B16" w:rsidRDefault="00DB5B16" w:rsidP="004C1AFE">
      <w:pPr>
        <w:pStyle w:val="Default"/>
        <w:numPr>
          <w:ilvl w:val="0"/>
          <w:numId w:val="9"/>
        </w:numPr>
        <w:ind w:left="567" w:hanging="284"/>
        <w:jc w:val="both"/>
        <w:rPr>
          <w:sz w:val="19"/>
          <w:szCs w:val="19"/>
        </w:rPr>
      </w:pPr>
      <w:r w:rsidRPr="004C1AFE">
        <w:rPr>
          <w:sz w:val="19"/>
          <w:szCs w:val="19"/>
        </w:rPr>
        <w:t>Reporte de resultados</w:t>
      </w:r>
    </w:p>
    <w:p w14:paraId="24B37097" w14:textId="77777777" w:rsidR="00F91365" w:rsidRPr="004C1AFE" w:rsidRDefault="00F91365" w:rsidP="00F91365">
      <w:pPr>
        <w:pStyle w:val="Default"/>
        <w:ind w:left="567"/>
        <w:jc w:val="both"/>
        <w:rPr>
          <w:sz w:val="19"/>
          <w:szCs w:val="19"/>
        </w:rPr>
      </w:pPr>
    </w:p>
    <w:p w14:paraId="48CDE519" w14:textId="766EDD61" w:rsidR="00AE2AAD" w:rsidRPr="00912BF5" w:rsidRDefault="00AE2AAD" w:rsidP="00AE2AAD">
      <w:pPr>
        <w:pStyle w:val="Default"/>
        <w:jc w:val="both"/>
        <w:rPr>
          <w:sz w:val="19"/>
          <w:szCs w:val="19"/>
        </w:rPr>
      </w:pPr>
      <w:r w:rsidRPr="00912BF5">
        <w:rPr>
          <w:sz w:val="19"/>
          <w:szCs w:val="19"/>
        </w:rPr>
        <w:t xml:space="preserve">El plazo estimado de los servicios es de </w:t>
      </w:r>
      <w:r w:rsidR="00DA60B5" w:rsidRPr="00912BF5">
        <w:rPr>
          <w:b/>
          <w:sz w:val="19"/>
          <w:szCs w:val="19"/>
        </w:rPr>
        <w:t>1</w:t>
      </w:r>
      <w:r w:rsidR="00BE1751">
        <w:rPr>
          <w:b/>
          <w:sz w:val="19"/>
          <w:szCs w:val="19"/>
        </w:rPr>
        <w:t>8</w:t>
      </w:r>
      <w:r w:rsidR="00353623" w:rsidRPr="00912BF5">
        <w:rPr>
          <w:b/>
          <w:sz w:val="19"/>
          <w:szCs w:val="19"/>
        </w:rPr>
        <w:t xml:space="preserve"> meses</w:t>
      </w:r>
      <w:r w:rsidRPr="00912BF5">
        <w:rPr>
          <w:sz w:val="19"/>
          <w:szCs w:val="19"/>
        </w:rPr>
        <w:t xml:space="preserve">, los que serán brindados en la ciudad de Lima; y de modo indicativo el costo estimado es de </w:t>
      </w:r>
      <w:r w:rsidR="00353623" w:rsidRPr="00912BF5">
        <w:rPr>
          <w:b/>
          <w:sz w:val="19"/>
          <w:szCs w:val="19"/>
        </w:rPr>
        <w:t xml:space="preserve">S/. </w:t>
      </w:r>
      <w:r w:rsidR="00BE1751">
        <w:rPr>
          <w:b/>
          <w:sz w:val="19"/>
          <w:szCs w:val="19"/>
        </w:rPr>
        <w:t>1</w:t>
      </w:r>
      <w:r w:rsidR="004C1AFE">
        <w:rPr>
          <w:b/>
          <w:sz w:val="19"/>
          <w:szCs w:val="19"/>
        </w:rPr>
        <w:t>, 080,000.00</w:t>
      </w:r>
      <w:r w:rsidR="002766E5" w:rsidRPr="00912BF5">
        <w:rPr>
          <w:b/>
          <w:sz w:val="19"/>
          <w:szCs w:val="19"/>
        </w:rPr>
        <w:t xml:space="preserve"> </w:t>
      </w:r>
      <w:r w:rsidRPr="00912BF5">
        <w:rPr>
          <w:b/>
          <w:sz w:val="19"/>
          <w:szCs w:val="19"/>
        </w:rPr>
        <w:t>(incluidos impuestos)</w:t>
      </w:r>
    </w:p>
    <w:p w14:paraId="1DDAD0F7" w14:textId="0A5E57EA" w:rsidR="00EE258A" w:rsidRPr="00912BF5" w:rsidRDefault="002E171C" w:rsidP="00AE2AAD">
      <w:pPr>
        <w:pStyle w:val="Default"/>
        <w:jc w:val="both"/>
        <w:rPr>
          <w:sz w:val="19"/>
          <w:szCs w:val="19"/>
        </w:rPr>
      </w:pPr>
      <w:r w:rsidRPr="00912BF5">
        <w:rPr>
          <w:sz w:val="19"/>
          <w:szCs w:val="19"/>
        </w:rPr>
        <w:t xml:space="preserve"> </w:t>
      </w:r>
    </w:p>
    <w:p w14:paraId="6E8F683F" w14:textId="5FB1059E" w:rsidR="002E171C" w:rsidRPr="00912BF5" w:rsidRDefault="002E171C" w:rsidP="00EE258A">
      <w:pPr>
        <w:pStyle w:val="Default"/>
        <w:jc w:val="both"/>
        <w:rPr>
          <w:sz w:val="19"/>
          <w:szCs w:val="19"/>
        </w:rPr>
      </w:pPr>
      <w:r w:rsidRPr="00912BF5">
        <w:rPr>
          <w:sz w:val="19"/>
          <w:szCs w:val="19"/>
        </w:rPr>
        <w:t>La SUNAT invita a l</w:t>
      </w:r>
      <w:r w:rsidR="00885E4D" w:rsidRPr="00912BF5">
        <w:rPr>
          <w:sz w:val="19"/>
          <w:szCs w:val="19"/>
        </w:rPr>
        <w:t>os consultores</w:t>
      </w:r>
      <w:r w:rsidRPr="00912BF5">
        <w:rPr>
          <w:sz w:val="19"/>
          <w:szCs w:val="19"/>
        </w:rPr>
        <w:t xml:space="preserve"> y que cuenten con experiencia en el objeto de la consultoría indicada a expresar su interés en prestar los servicios solicitados. Para ello deberán solicitar información al sitio web: www.sunat.gob.pe, módulo “SUNAT rinde cuentas”, índice “Contrataciones”, opción “Contrataciones BID” o al correo electrónico: </w:t>
      </w:r>
      <w:hyperlink r:id="rId6" w:history="1">
        <w:r w:rsidR="00766A92" w:rsidRPr="00912BF5">
          <w:rPr>
            <w:rStyle w:val="Hipervnculo"/>
            <w:sz w:val="19"/>
            <w:szCs w:val="19"/>
          </w:rPr>
          <w:t>proyectobid4@sunat.gob.pe</w:t>
        </w:r>
      </w:hyperlink>
      <w:r w:rsidR="00BE1751">
        <w:rPr>
          <w:rStyle w:val="Hipervnculo"/>
          <w:sz w:val="19"/>
          <w:szCs w:val="19"/>
        </w:rPr>
        <w:t xml:space="preserve"> o proyectobid.log2@gmail.com</w:t>
      </w:r>
      <w:r w:rsidRPr="00912BF5">
        <w:rPr>
          <w:sz w:val="19"/>
          <w:szCs w:val="19"/>
        </w:rPr>
        <w:t xml:space="preserve"> como respuesta recibirán electrónicamente los formatos e información a presentar. </w:t>
      </w:r>
    </w:p>
    <w:p w14:paraId="0E9F34E5" w14:textId="77777777" w:rsidR="00B02E83" w:rsidRPr="00912BF5" w:rsidRDefault="00B02E83" w:rsidP="002E171C">
      <w:pPr>
        <w:pStyle w:val="Default"/>
        <w:rPr>
          <w:sz w:val="19"/>
          <w:szCs w:val="19"/>
        </w:rPr>
      </w:pPr>
    </w:p>
    <w:p w14:paraId="0CBD0059" w14:textId="7493C57B" w:rsidR="002E171C" w:rsidRPr="00912BF5" w:rsidRDefault="002E171C" w:rsidP="00B02E83">
      <w:pPr>
        <w:pStyle w:val="Default"/>
        <w:jc w:val="both"/>
        <w:rPr>
          <w:sz w:val="19"/>
          <w:szCs w:val="19"/>
        </w:rPr>
      </w:pPr>
      <w:r w:rsidRPr="00912BF5">
        <w:rPr>
          <w:sz w:val="19"/>
          <w:szCs w:val="19"/>
        </w:rPr>
        <w:t>L</w:t>
      </w:r>
      <w:r w:rsidR="001F2726" w:rsidRPr="00912BF5">
        <w:rPr>
          <w:sz w:val="19"/>
          <w:szCs w:val="19"/>
        </w:rPr>
        <w:t xml:space="preserve">os </w:t>
      </w:r>
      <w:r w:rsidR="00885E4D" w:rsidRPr="00912BF5">
        <w:rPr>
          <w:sz w:val="19"/>
          <w:szCs w:val="19"/>
        </w:rPr>
        <w:t>consultores</w:t>
      </w:r>
      <w:r w:rsidRPr="00912BF5">
        <w:rPr>
          <w:sz w:val="19"/>
          <w:szCs w:val="19"/>
        </w:rPr>
        <w:t xml:space="preserve"> serán </w:t>
      </w:r>
      <w:r w:rsidR="00BE1751" w:rsidRPr="00912BF5">
        <w:rPr>
          <w:sz w:val="19"/>
          <w:szCs w:val="19"/>
        </w:rPr>
        <w:t>seleccionados</w:t>
      </w:r>
      <w:r w:rsidRPr="00912BF5">
        <w:rPr>
          <w:sz w:val="19"/>
          <w:szCs w:val="19"/>
        </w:rPr>
        <w:t xml:space="preserve"> conforme a los procedimientos indicados en las Políticas para la Selección y Contratación de Consultores financiados por el Banco Interamericano de Desarrollo, GN-2350-</w:t>
      </w:r>
      <w:r w:rsidR="006E3E87" w:rsidRPr="00912BF5">
        <w:rPr>
          <w:sz w:val="19"/>
          <w:szCs w:val="19"/>
        </w:rPr>
        <w:t>15</w:t>
      </w:r>
      <w:r w:rsidR="00885E4D" w:rsidRPr="00912BF5">
        <w:rPr>
          <w:sz w:val="19"/>
          <w:szCs w:val="19"/>
        </w:rPr>
        <w:t>.</w:t>
      </w:r>
    </w:p>
    <w:p w14:paraId="49C310ED" w14:textId="77777777" w:rsidR="006E3E87" w:rsidRPr="00912BF5" w:rsidRDefault="006E3E87" w:rsidP="006E3E87">
      <w:pPr>
        <w:pStyle w:val="Default"/>
        <w:jc w:val="both"/>
        <w:rPr>
          <w:sz w:val="19"/>
          <w:szCs w:val="19"/>
        </w:rPr>
      </w:pPr>
    </w:p>
    <w:p w14:paraId="5B6D2F95" w14:textId="0672D4CA" w:rsidR="002E171C" w:rsidRPr="00912BF5" w:rsidRDefault="002E171C" w:rsidP="006E3E87">
      <w:pPr>
        <w:pStyle w:val="Default"/>
        <w:jc w:val="both"/>
        <w:rPr>
          <w:sz w:val="19"/>
          <w:szCs w:val="19"/>
        </w:rPr>
      </w:pPr>
      <w:r w:rsidRPr="00912BF5">
        <w:rPr>
          <w:sz w:val="19"/>
          <w:szCs w:val="19"/>
        </w:rPr>
        <w:t xml:space="preserve">Las expresiones de interés </w:t>
      </w:r>
      <w:r w:rsidR="00A5788D" w:rsidRPr="00912BF5">
        <w:rPr>
          <w:sz w:val="19"/>
          <w:szCs w:val="19"/>
        </w:rPr>
        <w:t xml:space="preserve">con los formularios debidamente </w:t>
      </w:r>
      <w:r w:rsidR="002A4959" w:rsidRPr="00912BF5">
        <w:rPr>
          <w:sz w:val="19"/>
          <w:szCs w:val="19"/>
        </w:rPr>
        <w:t>llenados</w:t>
      </w:r>
      <w:r w:rsidR="00A5788D" w:rsidRPr="00912BF5">
        <w:rPr>
          <w:sz w:val="19"/>
          <w:szCs w:val="19"/>
        </w:rPr>
        <w:t xml:space="preserve"> </w:t>
      </w:r>
      <w:r w:rsidRPr="00912BF5">
        <w:rPr>
          <w:sz w:val="19"/>
          <w:szCs w:val="19"/>
        </w:rPr>
        <w:t xml:space="preserve">deberán ser enviadas vía correo electrónico a la dirección indicada líneas abajo, a más tardar el día </w:t>
      </w:r>
      <w:r w:rsidR="000D1A6B" w:rsidRPr="00912BF5">
        <w:rPr>
          <w:b/>
          <w:sz w:val="19"/>
          <w:szCs w:val="19"/>
        </w:rPr>
        <w:t>1</w:t>
      </w:r>
      <w:r w:rsidR="00BE1751">
        <w:rPr>
          <w:b/>
          <w:sz w:val="19"/>
          <w:szCs w:val="19"/>
        </w:rPr>
        <w:t>6</w:t>
      </w:r>
      <w:r w:rsidR="00610B02" w:rsidRPr="00912BF5">
        <w:rPr>
          <w:b/>
          <w:sz w:val="19"/>
          <w:szCs w:val="19"/>
        </w:rPr>
        <w:t xml:space="preserve"> de </w:t>
      </w:r>
      <w:r w:rsidR="00BE1751">
        <w:rPr>
          <w:b/>
          <w:sz w:val="19"/>
          <w:szCs w:val="19"/>
        </w:rPr>
        <w:t>mayo</w:t>
      </w:r>
      <w:r w:rsidR="00610B02" w:rsidRPr="00912BF5">
        <w:rPr>
          <w:b/>
          <w:sz w:val="19"/>
          <w:szCs w:val="19"/>
        </w:rPr>
        <w:t xml:space="preserve"> de 202</w:t>
      </w:r>
      <w:r w:rsidR="00BE1751">
        <w:rPr>
          <w:b/>
          <w:sz w:val="19"/>
          <w:szCs w:val="19"/>
        </w:rPr>
        <w:t>2</w:t>
      </w:r>
      <w:r w:rsidRPr="00912BF5">
        <w:rPr>
          <w:sz w:val="19"/>
          <w:szCs w:val="19"/>
        </w:rPr>
        <w:t xml:space="preserve">. </w:t>
      </w:r>
    </w:p>
    <w:p w14:paraId="06C75F05" w14:textId="77777777" w:rsidR="006E3E87" w:rsidRPr="00912BF5" w:rsidRDefault="006E3E87" w:rsidP="002E171C">
      <w:pPr>
        <w:pStyle w:val="Default"/>
        <w:rPr>
          <w:sz w:val="19"/>
          <w:szCs w:val="19"/>
        </w:rPr>
      </w:pPr>
    </w:p>
    <w:p w14:paraId="2994E7E8" w14:textId="473235B5" w:rsidR="00AE2AAD" w:rsidRPr="00912BF5" w:rsidRDefault="00AE2AAD" w:rsidP="00AE2AAD">
      <w:pPr>
        <w:pStyle w:val="Default"/>
        <w:jc w:val="both"/>
        <w:rPr>
          <w:sz w:val="19"/>
          <w:szCs w:val="19"/>
        </w:rPr>
      </w:pPr>
      <w:r w:rsidRPr="00912BF5">
        <w:rPr>
          <w:sz w:val="19"/>
          <w:szCs w:val="19"/>
        </w:rPr>
        <w:t xml:space="preserve">Es importante indicar en el asunto del correo </w:t>
      </w:r>
      <w:r w:rsidR="00BE1751">
        <w:rPr>
          <w:sz w:val="19"/>
          <w:szCs w:val="19"/>
        </w:rPr>
        <w:t xml:space="preserve">electrónico </w:t>
      </w:r>
      <w:r w:rsidRPr="00912BF5">
        <w:rPr>
          <w:sz w:val="19"/>
          <w:szCs w:val="19"/>
        </w:rPr>
        <w:t xml:space="preserve">de respuesta lo siguiente: </w:t>
      </w:r>
      <w:r w:rsidRPr="00912BF5">
        <w:rPr>
          <w:b/>
          <w:sz w:val="19"/>
          <w:szCs w:val="19"/>
        </w:rPr>
        <w:t xml:space="preserve">“Consultoría: </w:t>
      </w:r>
      <w:r w:rsidR="00BE1751">
        <w:rPr>
          <w:b/>
          <w:sz w:val="19"/>
          <w:szCs w:val="19"/>
        </w:rPr>
        <w:t>Seis</w:t>
      </w:r>
      <w:r w:rsidR="007338D9" w:rsidRPr="00912BF5">
        <w:rPr>
          <w:b/>
          <w:sz w:val="19"/>
          <w:szCs w:val="19"/>
        </w:rPr>
        <w:t xml:space="preserve"> consultores especializados</w:t>
      </w:r>
      <w:r w:rsidR="00BE1751">
        <w:rPr>
          <w:b/>
          <w:sz w:val="19"/>
          <w:szCs w:val="19"/>
        </w:rPr>
        <w:t xml:space="preserve"> en ciencia de datos</w:t>
      </w:r>
      <w:r w:rsidR="002751C3" w:rsidRPr="00912BF5">
        <w:rPr>
          <w:sz w:val="19"/>
          <w:szCs w:val="19"/>
        </w:rPr>
        <w:t>”</w:t>
      </w:r>
    </w:p>
    <w:p w14:paraId="509185BF" w14:textId="77777777" w:rsidR="006E3E87" w:rsidRPr="00912BF5" w:rsidRDefault="006E3E87" w:rsidP="002E171C">
      <w:pPr>
        <w:pStyle w:val="Default"/>
        <w:rPr>
          <w:b/>
          <w:bCs/>
          <w:sz w:val="19"/>
          <w:szCs w:val="19"/>
        </w:rPr>
      </w:pPr>
    </w:p>
    <w:p w14:paraId="79C4E1C0" w14:textId="77777777" w:rsidR="002E171C" w:rsidRPr="00912BF5" w:rsidRDefault="009F5B78" w:rsidP="002E171C">
      <w:pPr>
        <w:pStyle w:val="Default"/>
        <w:rPr>
          <w:sz w:val="19"/>
          <w:szCs w:val="19"/>
        </w:rPr>
      </w:pPr>
      <w:r w:rsidRPr="00912BF5">
        <w:rPr>
          <w:sz w:val="19"/>
          <w:szCs w:val="19"/>
        </w:rPr>
        <w:t>S</w:t>
      </w:r>
      <w:r w:rsidR="002E171C" w:rsidRPr="00912BF5">
        <w:rPr>
          <w:sz w:val="19"/>
          <w:szCs w:val="19"/>
        </w:rPr>
        <w:t xml:space="preserve">uperintendencia Nacional de Aduanas y de Administración Tributaria – SUNAT </w:t>
      </w:r>
    </w:p>
    <w:p w14:paraId="11157C23" w14:textId="77777777" w:rsidR="006E3E87" w:rsidRPr="00912BF5" w:rsidRDefault="006E3E87" w:rsidP="00A5788D">
      <w:pPr>
        <w:pStyle w:val="Default"/>
        <w:jc w:val="both"/>
        <w:rPr>
          <w:sz w:val="19"/>
          <w:szCs w:val="19"/>
        </w:rPr>
      </w:pPr>
      <w:r w:rsidRPr="00912BF5">
        <w:rPr>
          <w:sz w:val="19"/>
          <w:szCs w:val="19"/>
        </w:rPr>
        <w:t>Proyecto Mejoramiento de los servicios de recaudación tributaria y aduanera a través de la Transformación Digital</w:t>
      </w:r>
    </w:p>
    <w:p w14:paraId="00480816" w14:textId="1FBCA230" w:rsidR="002E171C" w:rsidRPr="00912BF5" w:rsidRDefault="00A5788D" w:rsidP="002E171C">
      <w:pPr>
        <w:pStyle w:val="Default"/>
        <w:rPr>
          <w:sz w:val="19"/>
          <w:szCs w:val="19"/>
        </w:rPr>
      </w:pPr>
      <w:r w:rsidRPr="00912BF5">
        <w:rPr>
          <w:sz w:val="19"/>
          <w:szCs w:val="19"/>
        </w:rPr>
        <w:t xml:space="preserve">Dirección: </w:t>
      </w:r>
      <w:r w:rsidR="002E171C" w:rsidRPr="00912BF5">
        <w:rPr>
          <w:sz w:val="19"/>
          <w:szCs w:val="19"/>
        </w:rPr>
        <w:t xml:space="preserve">Av. Garcilaso de la Vega </w:t>
      </w:r>
      <w:r w:rsidR="00610B02" w:rsidRPr="00912BF5">
        <w:rPr>
          <w:sz w:val="19"/>
          <w:szCs w:val="19"/>
        </w:rPr>
        <w:t>N°</w:t>
      </w:r>
      <w:r w:rsidR="002E171C" w:rsidRPr="00912BF5">
        <w:rPr>
          <w:sz w:val="19"/>
          <w:szCs w:val="19"/>
        </w:rPr>
        <w:t xml:space="preserve">1472 – Lima 1 </w:t>
      </w:r>
    </w:p>
    <w:p w14:paraId="666ADE66" w14:textId="5400C3E0" w:rsidR="00064837" w:rsidRPr="00A5788D" w:rsidRDefault="00A5788D" w:rsidP="00A5788D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912BF5">
        <w:rPr>
          <w:rFonts w:ascii="Arial" w:hAnsi="Arial" w:cs="Arial"/>
          <w:color w:val="000000"/>
          <w:sz w:val="19"/>
          <w:szCs w:val="19"/>
        </w:rPr>
        <w:t xml:space="preserve">Correo electrónico: </w:t>
      </w:r>
      <w:hyperlink r:id="rId7" w:history="1">
        <w:r w:rsidR="004B7EF7" w:rsidRPr="00912BF5">
          <w:rPr>
            <w:rStyle w:val="Hipervnculo"/>
            <w:rFonts w:ascii="Arial" w:hAnsi="Arial" w:cs="Arial"/>
            <w:sz w:val="19"/>
            <w:szCs w:val="19"/>
          </w:rPr>
          <w:t>proyectobid4@sunat.gob.pe</w:t>
        </w:r>
      </w:hyperlink>
      <w:r w:rsidR="00EA301C">
        <w:rPr>
          <w:rFonts w:ascii="Arial" w:hAnsi="Arial" w:cs="Arial"/>
          <w:color w:val="000000"/>
          <w:sz w:val="19"/>
          <w:szCs w:val="19"/>
        </w:rPr>
        <w:t xml:space="preserve"> </w:t>
      </w:r>
      <w:r w:rsidR="00BE1751">
        <w:rPr>
          <w:rFonts w:ascii="Arial" w:hAnsi="Arial" w:cs="Arial"/>
          <w:color w:val="000000"/>
          <w:sz w:val="19"/>
          <w:szCs w:val="19"/>
        </w:rPr>
        <w:t xml:space="preserve"> o </w:t>
      </w:r>
      <w:r w:rsidR="00BE1751" w:rsidRPr="00BE1751">
        <w:rPr>
          <w:rStyle w:val="Hipervnculo"/>
          <w:rFonts w:ascii="Arial" w:hAnsi="Arial" w:cs="Arial"/>
          <w:sz w:val="19"/>
          <w:szCs w:val="19"/>
        </w:rPr>
        <w:t>proyectobid.log2@gmail.com</w:t>
      </w:r>
    </w:p>
    <w:sectPr w:rsidR="00064837" w:rsidRPr="00A5788D" w:rsidSect="0035211C"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923"/>
    <w:multiLevelType w:val="hybridMultilevel"/>
    <w:tmpl w:val="CF9C2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264C"/>
    <w:multiLevelType w:val="hybridMultilevel"/>
    <w:tmpl w:val="85B845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94F9D"/>
    <w:multiLevelType w:val="hybridMultilevel"/>
    <w:tmpl w:val="F8F69CA0"/>
    <w:lvl w:ilvl="0" w:tplc="2B360172">
      <w:numFmt w:val="bullet"/>
      <w:lvlText w:val=""/>
      <w:lvlJc w:val="left"/>
      <w:pPr>
        <w:ind w:left="29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4EB3F6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2" w:tplc="6A48B6E6">
      <w:numFmt w:val="bullet"/>
      <w:lvlText w:val="•"/>
      <w:lvlJc w:val="left"/>
      <w:pPr>
        <w:ind w:left="4385" w:hanging="360"/>
      </w:pPr>
      <w:rPr>
        <w:rFonts w:hint="default"/>
        <w:lang w:val="es-ES" w:eastAsia="en-US" w:bidi="ar-SA"/>
      </w:rPr>
    </w:lvl>
    <w:lvl w:ilvl="3" w:tplc="2E46874A">
      <w:numFmt w:val="bullet"/>
      <w:lvlText w:val="•"/>
      <w:lvlJc w:val="left"/>
      <w:pPr>
        <w:ind w:left="5127" w:hanging="360"/>
      </w:pPr>
      <w:rPr>
        <w:rFonts w:hint="default"/>
        <w:lang w:val="es-ES" w:eastAsia="en-US" w:bidi="ar-SA"/>
      </w:rPr>
    </w:lvl>
    <w:lvl w:ilvl="4" w:tplc="AACCD1D6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5" w:tplc="ADC27EFE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6" w:tplc="6520F706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  <w:lvl w:ilvl="7" w:tplc="4246C4EC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  <w:lvl w:ilvl="8" w:tplc="1128A192">
      <w:numFmt w:val="bullet"/>
      <w:lvlText w:val="•"/>
      <w:lvlJc w:val="left"/>
      <w:pPr>
        <w:ind w:left="8841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6FF0CD8"/>
    <w:multiLevelType w:val="hybridMultilevel"/>
    <w:tmpl w:val="C78A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97D8E"/>
    <w:multiLevelType w:val="hybridMultilevel"/>
    <w:tmpl w:val="672EA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41423"/>
    <w:multiLevelType w:val="hybridMultilevel"/>
    <w:tmpl w:val="8466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D00EC"/>
    <w:multiLevelType w:val="hybridMultilevel"/>
    <w:tmpl w:val="3DBC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846E4"/>
    <w:multiLevelType w:val="hybridMultilevel"/>
    <w:tmpl w:val="98BAB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C142F"/>
    <w:multiLevelType w:val="multilevel"/>
    <w:tmpl w:val="1062D378"/>
    <w:lvl w:ilvl="0">
      <w:start w:val="6"/>
      <w:numFmt w:val="decimal"/>
      <w:lvlText w:val="%1"/>
      <w:lvlJc w:val="left"/>
      <w:pPr>
        <w:ind w:left="2623" w:hanging="43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3" w:hanging="43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161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31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02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73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43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14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85" w:hanging="43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71C"/>
    <w:rsid w:val="00045260"/>
    <w:rsid w:val="00064837"/>
    <w:rsid w:val="00081183"/>
    <w:rsid w:val="000D1A6B"/>
    <w:rsid w:val="0010112F"/>
    <w:rsid w:val="001F2726"/>
    <w:rsid w:val="002725A3"/>
    <w:rsid w:val="002751C3"/>
    <w:rsid w:val="002766E5"/>
    <w:rsid w:val="00276AEC"/>
    <w:rsid w:val="002828EF"/>
    <w:rsid w:val="00285DB2"/>
    <w:rsid w:val="002A4959"/>
    <w:rsid w:val="002B082C"/>
    <w:rsid w:val="002D633D"/>
    <w:rsid w:val="002E171C"/>
    <w:rsid w:val="002E4125"/>
    <w:rsid w:val="0033711C"/>
    <w:rsid w:val="00337C1A"/>
    <w:rsid w:val="0035211C"/>
    <w:rsid w:val="00353623"/>
    <w:rsid w:val="003D6D04"/>
    <w:rsid w:val="003F1CD5"/>
    <w:rsid w:val="004A7064"/>
    <w:rsid w:val="004B7EF7"/>
    <w:rsid w:val="004C1AFE"/>
    <w:rsid w:val="004C7510"/>
    <w:rsid w:val="004D53CD"/>
    <w:rsid w:val="0051742F"/>
    <w:rsid w:val="00570277"/>
    <w:rsid w:val="00593B78"/>
    <w:rsid w:val="00594528"/>
    <w:rsid w:val="00610B02"/>
    <w:rsid w:val="006313FD"/>
    <w:rsid w:val="0067176B"/>
    <w:rsid w:val="006A06AC"/>
    <w:rsid w:val="006C5D19"/>
    <w:rsid w:val="006E0DE7"/>
    <w:rsid w:val="006E3E87"/>
    <w:rsid w:val="007037C9"/>
    <w:rsid w:val="007338D9"/>
    <w:rsid w:val="00741D78"/>
    <w:rsid w:val="00766A92"/>
    <w:rsid w:val="00846D05"/>
    <w:rsid w:val="00885E4D"/>
    <w:rsid w:val="00887FDC"/>
    <w:rsid w:val="008E18CE"/>
    <w:rsid w:val="00912BF5"/>
    <w:rsid w:val="009849A1"/>
    <w:rsid w:val="00992106"/>
    <w:rsid w:val="009A22B4"/>
    <w:rsid w:val="009C70DA"/>
    <w:rsid w:val="009F5B78"/>
    <w:rsid w:val="009F7882"/>
    <w:rsid w:val="00A55A58"/>
    <w:rsid w:val="00A5788D"/>
    <w:rsid w:val="00A8375A"/>
    <w:rsid w:val="00AD4D99"/>
    <w:rsid w:val="00AE2AAD"/>
    <w:rsid w:val="00B02782"/>
    <w:rsid w:val="00B02E83"/>
    <w:rsid w:val="00B23584"/>
    <w:rsid w:val="00B36667"/>
    <w:rsid w:val="00B611EE"/>
    <w:rsid w:val="00BB7259"/>
    <w:rsid w:val="00BD2A3B"/>
    <w:rsid w:val="00BE1751"/>
    <w:rsid w:val="00BE548E"/>
    <w:rsid w:val="00C5579D"/>
    <w:rsid w:val="00C64730"/>
    <w:rsid w:val="00C976E3"/>
    <w:rsid w:val="00CC33E6"/>
    <w:rsid w:val="00D33854"/>
    <w:rsid w:val="00D52213"/>
    <w:rsid w:val="00DA60B5"/>
    <w:rsid w:val="00DB5B16"/>
    <w:rsid w:val="00DE773C"/>
    <w:rsid w:val="00E24341"/>
    <w:rsid w:val="00E46E8A"/>
    <w:rsid w:val="00E545BF"/>
    <w:rsid w:val="00E65A1C"/>
    <w:rsid w:val="00E74142"/>
    <w:rsid w:val="00EA301C"/>
    <w:rsid w:val="00EB2B95"/>
    <w:rsid w:val="00EC5524"/>
    <w:rsid w:val="00EE258A"/>
    <w:rsid w:val="00EE7725"/>
    <w:rsid w:val="00F91365"/>
    <w:rsid w:val="00FD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E3B6"/>
  <w15:docId w15:val="{FB2721D2-A3ED-4151-9D36-56A75E84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1742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6A9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7EF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unhideWhenUsed/>
    <w:rsid w:val="006E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yectobid4@sunat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ABC1D-B32D-41F5-BCC4-3ABB3EE5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856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Morán</dc:creator>
  <cp:keywords/>
  <dc:description/>
  <cp:lastModifiedBy>Javier Gamarra Yumbato</cp:lastModifiedBy>
  <cp:revision>41</cp:revision>
  <dcterms:created xsi:type="dcterms:W3CDTF">2021-09-29T22:45:00Z</dcterms:created>
  <dcterms:modified xsi:type="dcterms:W3CDTF">2022-04-22T17:42:00Z</dcterms:modified>
</cp:coreProperties>
</file>