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5A7A3" w14:textId="77777777" w:rsidR="002E171C" w:rsidRDefault="002E171C" w:rsidP="002E171C">
      <w:pPr>
        <w:pStyle w:val="Default"/>
      </w:pPr>
      <w:bookmarkStart w:id="0" w:name="_GoBack"/>
      <w:bookmarkEnd w:id="0"/>
    </w:p>
    <w:p w14:paraId="670D1A4A" w14:textId="77777777" w:rsidR="002E171C" w:rsidRPr="00ED1BFF" w:rsidRDefault="007037C9" w:rsidP="002E171C">
      <w:pPr>
        <w:pStyle w:val="Default"/>
        <w:jc w:val="center"/>
        <w:rPr>
          <w:b/>
          <w:bCs/>
          <w:sz w:val="19"/>
          <w:szCs w:val="19"/>
          <w:u w:val="single"/>
        </w:rPr>
      </w:pPr>
      <w:r w:rsidRPr="00ED1BFF">
        <w:rPr>
          <w:b/>
          <w:bCs/>
          <w:sz w:val="19"/>
          <w:szCs w:val="19"/>
          <w:u w:val="single"/>
        </w:rPr>
        <w:t>I</w:t>
      </w:r>
      <w:r w:rsidR="002E171C" w:rsidRPr="00ED1BFF">
        <w:rPr>
          <w:b/>
          <w:bCs/>
          <w:sz w:val="19"/>
          <w:szCs w:val="19"/>
          <w:u w:val="single"/>
        </w:rPr>
        <w:t>NVITACIÓN A PRESENTAR EXPRESIONES DE INTERÉS</w:t>
      </w:r>
    </w:p>
    <w:p w14:paraId="7DD90F26" w14:textId="77777777" w:rsidR="002725A3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Proyecto Mejoramiento de </w:t>
      </w:r>
      <w:r w:rsidR="00E24341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>
        <w:rPr>
          <w:b/>
          <w:bCs/>
          <w:sz w:val="19"/>
          <w:szCs w:val="19"/>
        </w:rPr>
        <w:t>i</w:t>
      </w:r>
      <w:r w:rsidR="00E24341">
        <w:rPr>
          <w:b/>
          <w:bCs/>
          <w:sz w:val="19"/>
          <w:szCs w:val="19"/>
        </w:rPr>
        <w:t>tal</w:t>
      </w:r>
    </w:p>
    <w:p w14:paraId="1627D4F2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77777777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El Gobierno del Perú ha suscrito un préstamo con el Banco Interamericano de Desarrollo (BID) y se propone utilizar una parte de los fondos para contratar el siguiente servicio de consultoría de Firma: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4647CB14" w14:textId="45BB8397" w:rsidR="002E171C" w:rsidRDefault="00ED1BFF" w:rsidP="002E171C">
      <w:pPr>
        <w:pStyle w:val="Default"/>
        <w:jc w:val="center"/>
        <w:rPr>
          <w:b/>
          <w:bCs/>
          <w:sz w:val="19"/>
          <w:szCs w:val="19"/>
        </w:rPr>
      </w:pPr>
      <w:r w:rsidRPr="00ED1BFF">
        <w:rPr>
          <w:b/>
          <w:bCs/>
          <w:sz w:val="19"/>
          <w:szCs w:val="19"/>
        </w:rPr>
        <w:t>"Servicio de consultoría especializada para la implementación de requerimientos relacionados al sistema de gestión de saldos de los contribuyentes".</w:t>
      </w:r>
    </w:p>
    <w:p w14:paraId="14359BF0" w14:textId="77777777" w:rsidR="00ED1BFF" w:rsidRDefault="00ED1BFF" w:rsidP="00772EB1">
      <w:pPr>
        <w:widowControl w:val="0"/>
        <w:autoSpaceDE w:val="0"/>
        <w:autoSpaceDN w:val="0"/>
        <w:adjustRightInd w:val="0"/>
        <w:ind w:right="-47"/>
        <w:jc w:val="both"/>
        <w:rPr>
          <w:rFonts w:asciiTheme="minorHAnsi" w:hAnsiTheme="minorHAnsi" w:cstheme="minorHAnsi"/>
          <w:sz w:val="17"/>
          <w:szCs w:val="17"/>
        </w:rPr>
      </w:pPr>
    </w:p>
    <w:p w14:paraId="07ECFF82" w14:textId="3814E22D" w:rsidR="00772EB1" w:rsidRPr="00976EA4" w:rsidRDefault="00772EB1" w:rsidP="00772EB1">
      <w:pPr>
        <w:widowControl w:val="0"/>
        <w:autoSpaceDE w:val="0"/>
        <w:autoSpaceDN w:val="0"/>
        <w:adjustRightInd w:val="0"/>
        <w:ind w:right="-47"/>
        <w:jc w:val="both"/>
        <w:rPr>
          <w:rFonts w:asciiTheme="minorHAnsi" w:hAnsiTheme="minorHAnsi" w:cstheme="minorHAnsi"/>
          <w:sz w:val="17"/>
          <w:szCs w:val="17"/>
        </w:rPr>
      </w:pPr>
      <w:r w:rsidRPr="00976EA4">
        <w:rPr>
          <w:rFonts w:asciiTheme="minorHAnsi" w:hAnsiTheme="minorHAnsi" w:cstheme="minorHAnsi"/>
          <w:sz w:val="17"/>
          <w:szCs w:val="17"/>
        </w:rPr>
        <w:t xml:space="preserve">El plazo estimado de los servicios es de </w:t>
      </w:r>
      <w:r w:rsidR="00ED1BFF" w:rsidRPr="00ED1BFF">
        <w:rPr>
          <w:rFonts w:asciiTheme="minorHAnsi" w:hAnsiTheme="minorHAnsi" w:cstheme="minorHAnsi"/>
          <w:sz w:val="17"/>
          <w:szCs w:val="17"/>
        </w:rPr>
        <w:t>1,070 días calendario</w:t>
      </w:r>
      <w:r w:rsidRPr="00976EA4">
        <w:rPr>
          <w:rFonts w:asciiTheme="minorHAnsi" w:hAnsiTheme="minorHAnsi" w:cstheme="minorHAnsi"/>
          <w:sz w:val="17"/>
          <w:szCs w:val="17"/>
        </w:rPr>
        <w:t>.</w:t>
      </w:r>
    </w:p>
    <w:p w14:paraId="2A12E0D7" w14:textId="77777777" w:rsidR="00772EB1" w:rsidRDefault="00772EB1" w:rsidP="00772EB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31485DF1" w14:textId="0640CDD9" w:rsidR="00772EB1" w:rsidRDefault="00772EB1" w:rsidP="00772EB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</w:t>
      </w:r>
      <w:r>
        <w:rPr>
          <w:rFonts w:asciiTheme="minorHAnsi" w:hAnsiTheme="minorHAnsi" w:cstheme="minorHAnsi"/>
          <w:sz w:val="17"/>
          <w:szCs w:val="17"/>
        </w:rPr>
        <w:t>el servicio antes indicado</w:t>
      </w:r>
      <w:r w:rsidRPr="005B1BB9">
        <w:rPr>
          <w:rFonts w:asciiTheme="minorHAnsi" w:hAnsiTheme="minorHAnsi" w:cstheme="minorHAnsi"/>
          <w:sz w:val="17"/>
          <w:szCs w:val="17"/>
        </w:rPr>
        <w:t xml:space="preserve">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experiencia en condiciones similares, historial de cumplimiento de contratos, etc.).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 xml:space="preserve">los formularios que pueden obtener en el portal </w:t>
      </w:r>
      <w:r w:rsidRPr="0019735C">
        <w:rPr>
          <w:rFonts w:asciiTheme="minorHAnsi" w:hAnsiTheme="minorHAnsi" w:cstheme="minorHAnsi"/>
          <w:sz w:val="17"/>
          <w:szCs w:val="17"/>
        </w:rPr>
        <w:t>web:</w:t>
      </w:r>
      <w:r w:rsidR="005E6A21">
        <w:rPr>
          <w:rFonts w:asciiTheme="minorHAnsi" w:hAnsiTheme="minorHAnsi" w:cstheme="minorHAnsi"/>
          <w:sz w:val="17"/>
          <w:szCs w:val="17"/>
        </w:rPr>
        <w:t xml:space="preserve"> </w:t>
      </w:r>
      <w:hyperlink r:id="rId6" w:history="1">
        <w:r w:rsidR="005E6A21" w:rsidRPr="000F1718">
          <w:rPr>
            <w:rStyle w:val="Hipervnculo"/>
            <w:rFonts w:asciiTheme="minorHAnsi" w:hAnsiTheme="minorHAnsi" w:cstheme="minorHAnsi"/>
            <w:sz w:val="17"/>
            <w:szCs w:val="17"/>
          </w:rPr>
          <w:t>https://www.sunat.gob.pe/cuentassunat/adquisiciones/contratosBID/cprestamo_bid_4725-Solic.htm</w:t>
        </w:r>
      </w:hyperlink>
      <w:r w:rsidR="005E6A21">
        <w:rPr>
          <w:rStyle w:val="Hipervnculo"/>
          <w:rFonts w:asciiTheme="minorHAnsi" w:hAnsiTheme="minorHAnsi" w:cstheme="minorHAnsi"/>
          <w:sz w:val="17"/>
          <w:szCs w:val="17"/>
        </w:rPr>
        <w:t xml:space="preserve"> </w:t>
      </w:r>
      <w:r w:rsidRPr="0019735C">
        <w:rPr>
          <w:rFonts w:asciiTheme="minorHAnsi" w:hAnsiTheme="minorHAnsi" w:cstheme="minorHAnsi"/>
          <w:sz w:val="17"/>
          <w:szCs w:val="17"/>
        </w:rPr>
        <w:t>e</w:t>
      </w:r>
      <w:r w:rsidRPr="00CF2202">
        <w:rPr>
          <w:rFonts w:asciiTheme="minorHAnsi" w:hAnsiTheme="minorHAnsi" w:cstheme="minorHAnsi"/>
          <w:sz w:val="17"/>
          <w:szCs w:val="17"/>
        </w:rPr>
        <w:t>n</w:t>
      </w:r>
      <w:r>
        <w:rPr>
          <w:rFonts w:asciiTheme="minorHAnsi" w:hAnsiTheme="minorHAnsi" w:cstheme="minorHAnsi"/>
          <w:sz w:val="17"/>
          <w:szCs w:val="17"/>
        </w:rPr>
        <w:t xml:space="preserve"> el cual también encontrarán información adicional. </w:t>
      </w:r>
      <w:r w:rsidRPr="00976EA4">
        <w:rPr>
          <w:rFonts w:asciiTheme="minorHAnsi" w:hAnsiTheme="minorHAnsi" w:cstheme="minorHAnsi"/>
          <w:sz w:val="17"/>
          <w:szCs w:val="17"/>
        </w:rPr>
        <w:t>Las firmas se podrán asociar con el fin de mejorar sus calificaciones.</w:t>
      </w:r>
    </w:p>
    <w:p w14:paraId="4048A51E" w14:textId="77777777" w:rsidR="00772EB1" w:rsidRDefault="00772EB1" w:rsidP="00772EB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BA5577A" w14:textId="77A1252A" w:rsidR="005E6A21" w:rsidRPr="005E6A21" w:rsidRDefault="00772EB1" w:rsidP="00772EB1">
      <w:pPr>
        <w:jc w:val="both"/>
        <w:rPr>
          <w:rStyle w:val="Hipervnculo"/>
          <w:rFonts w:asciiTheme="minorHAnsi" w:hAnsiTheme="minorHAnsi" w:cstheme="minorHAnsi"/>
          <w:sz w:val="17"/>
          <w:szCs w:val="17"/>
        </w:rPr>
      </w:pPr>
      <w:r w:rsidRPr="00CF2202">
        <w:rPr>
          <w:rFonts w:asciiTheme="minorHAnsi" w:hAnsiTheme="minorHAnsi" w:cstheme="minorHAnsi"/>
          <w:sz w:val="17"/>
          <w:szCs w:val="17"/>
        </w:rPr>
        <w:t xml:space="preserve">A efectos de informar los alcances de la </w:t>
      </w:r>
      <w:r>
        <w:rPr>
          <w:rFonts w:asciiTheme="minorHAnsi" w:hAnsiTheme="minorHAnsi" w:cstheme="minorHAnsi"/>
          <w:sz w:val="17"/>
          <w:szCs w:val="17"/>
        </w:rPr>
        <w:t>contratación</w:t>
      </w:r>
      <w:r w:rsidRPr="00CF2202">
        <w:rPr>
          <w:rFonts w:asciiTheme="minorHAnsi" w:hAnsiTheme="minorHAnsi" w:cstheme="minorHAnsi"/>
          <w:sz w:val="17"/>
          <w:szCs w:val="17"/>
        </w:rPr>
        <w:t xml:space="preserve">, se realizará una Reunión Informativa el día </w:t>
      </w:r>
      <w:r w:rsidR="005E6A21">
        <w:rPr>
          <w:rStyle w:val="Hipervnculo"/>
          <w:rFonts w:asciiTheme="minorHAnsi" w:hAnsiTheme="minorHAnsi" w:cstheme="minorHAnsi"/>
          <w:color w:val="1155CC"/>
          <w:sz w:val="17"/>
          <w:szCs w:val="17"/>
          <w:shd w:val="clear" w:color="auto" w:fill="FFFFFF"/>
        </w:rPr>
        <w:t>14</w:t>
      </w:r>
      <w:r w:rsidRPr="00D92AB8">
        <w:rPr>
          <w:rFonts w:asciiTheme="minorHAnsi" w:hAnsiTheme="minorHAnsi" w:cstheme="minorHAnsi"/>
          <w:sz w:val="17"/>
          <w:szCs w:val="17"/>
        </w:rPr>
        <w:t xml:space="preserve"> de</w:t>
      </w:r>
      <w:r w:rsidRPr="0019735C">
        <w:rPr>
          <w:rStyle w:val="Hipervnculo"/>
          <w:color w:val="1155CC"/>
          <w:shd w:val="clear" w:color="auto" w:fill="FFFFFF"/>
        </w:rPr>
        <w:t xml:space="preserve"> </w:t>
      </w:r>
      <w:r w:rsidR="0019735C" w:rsidRPr="0019735C">
        <w:rPr>
          <w:rStyle w:val="Hipervnculo"/>
          <w:rFonts w:asciiTheme="minorHAnsi" w:hAnsiTheme="minorHAnsi" w:cstheme="minorHAnsi"/>
          <w:color w:val="1155CC"/>
          <w:sz w:val="17"/>
          <w:szCs w:val="17"/>
          <w:shd w:val="clear" w:color="auto" w:fill="FFFFFF"/>
        </w:rPr>
        <w:t>diciembre</w:t>
      </w:r>
      <w:r w:rsidRPr="0019735C">
        <w:rPr>
          <w:rStyle w:val="Hipervnculo"/>
          <w:color w:val="1155CC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17"/>
          <w:szCs w:val="17"/>
        </w:rPr>
        <w:t>de 2022</w:t>
      </w:r>
      <w:r w:rsidRPr="00CF2202">
        <w:rPr>
          <w:rFonts w:asciiTheme="minorHAnsi" w:hAnsiTheme="minorHAnsi" w:cstheme="minorHAnsi"/>
          <w:sz w:val="17"/>
          <w:szCs w:val="17"/>
        </w:rPr>
        <w:t xml:space="preserve"> a las </w:t>
      </w:r>
      <w:r w:rsidRPr="0019735C">
        <w:rPr>
          <w:rStyle w:val="Hipervnculo"/>
          <w:rFonts w:asciiTheme="minorHAnsi" w:hAnsiTheme="minorHAnsi" w:cstheme="minorHAnsi"/>
          <w:color w:val="1155CC"/>
          <w:sz w:val="17"/>
          <w:szCs w:val="17"/>
          <w:shd w:val="clear" w:color="auto" w:fill="FFFFFF"/>
        </w:rPr>
        <w:t>11:00</w:t>
      </w:r>
      <w:r w:rsidRPr="00CF2202">
        <w:rPr>
          <w:rFonts w:asciiTheme="minorHAnsi" w:hAnsiTheme="minorHAnsi" w:cstheme="minorHAnsi"/>
          <w:sz w:val="17"/>
          <w:szCs w:val="17"/>
        </w:rPr>
        <w:t xml:space="preserve"> horas. L</w:t>
      </w:r>
      <w:r>
        <w:rPr>
          <w:rFonts w:asciiTheme="minorHAnsi" w:hAnsiTheme="minorHAnsi" w:cstheme="minorHAnsi"/>
          <w:sz w:val="17"/>
          <w:szCs w:val="17"/>
        </w:rPr>
        <w:t>as</w:t>
      </w:r>
      <w:r w:rsidRPr="00CF2202">
        <w:rPr>
          <w:rFonts w:asciiTheme="minorHAnsi" w:hAnsiTheme="minorHAnsi" w:cstheme="minorHAnsi"/>
          <w:sz w:val="17"/>
          <w:szCs w:val="17"/>
        </w:rPr>
        <w:t xml:space="preserve"> </w:t>
      </w:r>
      <w:r>
        <w:rPr>
          <w:rFonts w:asciiTheme="minorHAnsi" w:hAnsiTheme="minorHAnsi" w:cstheme="minorHAnsi"/>
          <w:sz w:val="17"/>
          <w:szCs w:val="17"/>
        </w:rPr>
        <w:t xml:space="preserve">firmas consultoras </w:t>
      </w:r>
      <w:r w:rsidRPr="00CF2202">
        <w:rPr>
          <w:rFonts w:asciiTheme="minorHAnsi" w:hAnsiTheme="minorHAnsi" w:cstheme="minorHAnsi"/>
          <w:sz w:val="17"/>
          <w:szCs w:val="17"/>
        </w:rPr>
        <w:t>interesad</w:t>
      </w:r>
      <w:r>
        <w:rPr>
          <w:rFonts w:asciiTheme="minorHAnsi" w:hAnsiTheme="minorHAnsi" w:cstheme="minorHAnsi"/>
          <w:sz w:val="17"/>
          <w:szCs w:val="17"/>
        </w:rPr>
        <w:t>a</w:t>
      </w:r>
      <w:r w:rsidRPr="00CF2202">
        <w:rPr>
          <w:rFonts w:asciiTheme="minorHAnsi" w:hAnsiTheme="minorHAnsi" w:cstheme="minorHAnsi"/>
          <w:sz w:val="17"/>
          <w:szCs w:val="17"/>
        </w:rPr>
        <w:t xml:space="preserve">s en asistir a la reunión informativa </w:t>
      </w:r>
      <w:r>
        <w:rPr>
          <w:rFonts w:asciiTheme="minorHAnsi" w:hAnsiTheme="minorHAnsi" w:cstheme="minorHAnsi"/>
          <w:sz w:val="17"/>
          <w:szCs w:val="17"/>
        </w:rPr>
        <w:t xml:space="preserve">pueden </w:t>
      </w:r>
      <w:r w:rsidR="005E6A21">
        <w:rPr>
          <w:rFonts w:asciiTheme="minorHAnsi" w:hAnsiTheme="minorHAnsi" w:cstheme="minorHAnsi"/>
          <w:sz w:val="17"/>
          <w:szCs w:val="17"/>
        </w:rPr>
        <w:t xml:space="preserve">solicitar el link a los correos electrónicos </w:t>
      </w:r>
      <w:r w:rsidR="005E6A21" w:rsidRPr="005E6A21">
        <w:rPr>
          <w:rStyle w:val="Hipervnculo"/>
          <w:rFonts w:asciiTheme="minorHAnsi" w:hAnsiTheme="minorHAnsi" w:cstheme="minorHAnsi"/>
          <w:sz w:val="17"/>
          <w:szCs w:val="17"/>
        </w:rPr>
        <w:t xml:space="preserve">proyectobid4@sunat.gob.pe </w:t>
      </w:r>
      <w:r w:rsidR="005E6A21" w:rsidRPr="005E6A21">
        <w:rPr>
          <w:rFonts w:asciiTheme="minorHAnsi" w:hAnsiTheme="minorHAnsi" w:cstheme="minorHAnsi"/>
          <w:sz w:val="17"/>
          <w:szCs w:val="17"/>
        </w:rPr>
        <w:t>o al correo electrónico</w:t>
      </w:r>
      <w:r w:rsidR="005E6A21" w:rsidRPr="005E6A21">
        <w:rPr>
          <w:rStyle w:val="Hipervnculo"/>
          <w:rFonts w:asciiTheme="minorHAnsi" w:hAnsiTheme="minorHAnsi" w:cstheme="minorHAnsi"/>
          <w:sz w:val="17"/>
          <w:szCs w:val="17"/>
        </w:rPr>
        <w:t xml:space="preserve"> jespinoza@proyectobid3.com</w:t>
      </w:r>
    </w:p>
    <w:p w14:paraId="2EEE8AF0" w14:textId="77777777" w:rsidR="005E6A21" w:rsidRDefault="005E6A21" w:rsidP="00772EB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FD113BE" w14:textId="742C329E" w:rsidR="00772EB1" w:rsidRDefault="00772EB1" w:rsidP="00772EB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7" w:history="1">
        <w:r w:rsidRPr="005B1BB9">
          <w:rPr>
            <w:rStyle w:val="Hipervnculo"/>
            <w:rFonts w:asciiTheme="minorHAnsi" w:hAnsiTheme="minorHAnsi" w:cstheme="minorHAnsi"/>
            <w:i/>
            <w:iCs/>
            <w:sz w:val="17"/>
            <w:szCs w:val="17"/>
          </w:rPr>
          <w:t>GN-2350-</w:t>
        </w:r>
        <w:r>
          <w:rPr>
            <w:rStyle w:val="Hipervnculo"/>
            <w:rFonts w:asciiTheme="minorHAnsi" w:hAnsiTheme="minorHAnsi" w:cstheme="minorHAnsi"/>
            <w:i/>
            <w:iCs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sz w:val="17"/>
            <w:szCs w:val="17"/>
          </w:rPr>
          <w:t xml:space="preserve"> Políticas para la Selección y Contratación de Consultores financiados por el Banco</w:t>
        </w:r>
        <w:r>
          <w:rPr>
            <w:rStyle w:val="Hipervnculo"/>
            <w:rFonts w:asciiTheme="minorHAnsi" w:hAnsiTheme="minorHAnsi" w:cstheme="minorHAnsi"/>
            <w:i/>
            <w:iCs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3878FE" w:rsidRPr="003878FE">
        <w:rPr>
          <w:rStyle w:val="Hipervnculo"/>
          <w:rFonts w:asciiTheme="minorHAnsi" w:hAnsiTheme="minorHAnsi" w:cstheme="minorHAnsi"/>
          <w:sz w:val="17"/>
          <w:szCs w:val="17"/>
        </w:rPr>
        <w:t>https://projectprocurement.iadb.org/en/policies</w:t>
      </w:r>
      <w:r>
        <w:rPr>
          <w:rFonts w:asciiTheme="minorHAnsi" w:hAnsiTheme="minorHAnsi" w:cstheme="minorHAnsi"/>
          <w:sz w:val="17"/>
          <w:szCs w:val="17"/>
        </w:rPr>
        <w:t>).</w:t>
      </w:r>
    </w:p>
    <w:p w14:paraId="12EF6207" w14:textId="77777777" w:rsidR="00772EB1" w:rsidRDefault="00772EB1" w:rsidP="00772EB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4905FB8" w14:textId="3987DA46" w:rsidR="00772EB1" w:rsidRDefault="00772EB1" w:rsidP="00772EB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</w:t>
      </w:r>
      <w:r>
        <w:rPr>
          <w:rFonts w:asciiTheme="minorHAnsi" w:hAnsiTheme="minorHAnsi" w:cstheme="minorHAnsi"/>
          <w:sz w:val="17"/>
          <w:szCs w:val="17"/>
        </w:rPr>
        <w:t xml:space="preserve">vía </w:t>
      </w:r>
      <w:r w:rsidRPr="005B1BB9">
        <w:rPr>
          <w:rFonts w:asciiTheme="minorHAnsi" w:hAnsiTheme="minorHAnsi" w:cstheme="minorHAnsi"/>
          <w:sz w:val="17"/>
          <w:szCs w:val="17"/>
        </w:rPr>
        <w:t xml:space="preserve">correo electrónico </w:t>
      </w:r>
      <w:r>
        <w:rPr>
          <w:rFonts w:asciiTheme="minorHAnsi" w:hAnsiTheme="minorHAnsi" w:cstheme="minorHAnsi"/>
          <w:sz w:val="17"/>
          <w:szCs w:val="17"/>
        </w:rPr>
        <w:t xml:space="preserve">a la dirección </w:t>
      </w:r>
      <w:r w:rsidRPr="005B1BB9">
        <w:rPr>
          <w:rFonts w:asciiTheme="minorHAnsi" w:hAnsiTheme="minorHAnsi" w:cstheme="minorHAnsi"/>
          <w:sz w:val="17"/>
          <w:szCs w:val="17"/>
        </w:rPr>
        <w:t>indicad</w:t>
      </w:r>
      <w:r>
        <w:rPr>
          <w:rFonts w:asciiTheme="minorHAnsi" w:hAnsiTheme="minorHAnsi" w:cstheme="minorHAnsi"/>
          <w:sz w:val="17"/>
          <w:szCs w:val="17"/>
        </w:rPr>
        <w:t>a</w:t>
      </w:r>
      <w:r w:rsidRPr="005B1BB9">
        <w:rPr>
          <w:rFonts w:asciiTheme="minorHAnsi" w:hAnsiTheme="minorHAnsi" w:cstheme="minorHAnsi"/>
          <w:sz w:val="17"/>
          <w:szCs w:val="17"/>
        </w:rPr>
        <w:t xml:space="preserve"> líneas abajo a más tardar a </w:t>
      </w:r>
      <w:r>
        <w:rPr>
          <w:rFonts w:asciiTheme="minorHAnsi" w:hAnsiTheme="minorHAnsi" w:cstheme="minorHAnsi"/>
          <w:sz w:val="17"/>
          <w:szCs w:val="17"/>
        </w:rPr>
        <w:t>las</w:t>
      </w:r>
      <w:r w:rsidRPr="005B1BB9">
        <w:rPr>
          <w:rFonts w:asciiTheme="minorHAnsi" w:hAnsiTheme="minorHAnsi" w:cstheme="minorHAnsi"/>
          <w:sz w:val="17"/>
          <w:szCs w:val="17"/>
        </w:rPr>
        <w:t xml:space="preserve"> </w:t>
      </w:r>
      <w:r>
        <w:rPr>
          <w:rFonts w:asciiTheme="minorHAnsi" w:hAnsiTheme="minorHAnsi" w:cstheme="minorHAnsi"/>
          <w:b/>
          <w:sz w:val="17"/>
          <w:szCs w:val="17"/>
          <w:u w:val="single"/>
        </w:rPr>
        <w:t>00</w:t>
      </w:r>
      <w:r w:rsidRPr="006229EB">
        <w:rPr>
          <w:rFonts w:asciiTheme="minorHAnsi" w:hAnsiTheme="minorHAnsi" w:cstheme="minorHAnsi"/>
          <w:b/>
          <w:sz w:val="17"/>
          <w:szCs w:val="17"/>
          <w:u w:val="single"/>
        </w:rPr>
        <w:t xml:space="preserve">:00 horas del día </w:t>
      </w:r>
      <w:r w:rsidR="00B7222A">
        <w:rPr>
          <w:rFonts w:asciiTheme="minorHAnsi" w:hAnsiTheme="minorHAnsi" w:cstheme="minorHAnsi"/>
          <w:b/>
          <w:sz w:val="17"/>
          <w:szCs w:val="17"/>
          <w:u w:val="single"/>
        </w:rPr>
        <w:t>27</w:t>
      </w:r>
      <w:r w:rsidRPr="001D6ED9">
        <w:rPr>
          <w:rFonts w:asciiTheme="minorHAnsi" w:hAnsiTheme="minorHAnsi" w:cstheme="minorHAnsi"/>
          <w:b/>
          <w:sz w:val="17"/>
          <w:szCs w:val="17"/>
          <w:u w:val="single"/>
        </w:rPr>
        <w:t xml:space="preserve"> de </w:t>
      </w:r>
      <w:r w:rsidR="0019735C">
        <w:rPr>
          <w:rFonts w:asciiTheme="minorHAnsi" w:hAnsiTheme="minorHAnsi" w:cstheme="minorHAnsi"/>
          <w:b/>
          <w:sz w:val="17"/>
          <w:szCs w:val="17"/>
          <w:u w:val="single"/>
        </w:rPr>
        <w:t>diciembre</w:t>
      </w:r>
      <w:r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Pr="001D6ED9">
        <w:rPr>
          <w:rFonts w:asciiTheme="minorHAnsi" w:hAnsiTheme="minorHAnsi" w:cstheme="minorHAnsi"/>
          <w:b/>
          <w:sz w:val="17"/>
          <w:szCs w:val="17"/>
          <w:u w:val="single"/>
        </w:rPr>
        <w:t>de 202</w:t>
      </w:r>
      <w:r>
        <w:rPr>
          <w:rFonts w:asciiTheme="minorHAnsi" w:hAnsiTheme="minorHAnsi" w:cstheme="minorHAnsi"/>
          <w:b/>
          <w:sz w:val="17"/>
          <w:szCs w:val="17"/>
          <w:u w:val="single"/>
        </w:rPr>
        <w:t>2</w:t>
      </w:r>
      <w:r w:rsidRPr="001D6ED9">
        <w:rPr>
          <w:rFonts w:asciiTheme="minorHAnsi" w:hAnsiTheme="minorHAnsi" w:cstheme="minorHAnsi"/>
          <w:b/>
          <w:sz w:val="17"/>
          <w:szCs w:val="17"/>
        </w:rPr>
        <w:t>.</w:t>
      </w:r>
    </w:p>
    <w:p w14:paraId="31B4B9A9" w14:textId="77777777" w:rsidR="00772EB1" w:rsidRPr="005B1BB9" w:rsidRDefault="00772EB1" w:rsidP="00772EB1">
      <w:pPr>
        <w:jc w:val="both"/>
        <w:rPr>
          <w:rFonts w:asciiTheme="minorHAnsi" w:hAnsiTheme="minorHAnsi" w:cstheme="minorHAnsi"/>
          <w:sz w:val="17"/>
          <w:szCs w:val="17"/>
        </w:rPr>
      </w:pPr>
      <w:r w:rsidRPr="005E011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73D236" wp14:editId="01540A15">
                <wp:simplePos x="0" y="0"/>
                <wp:positionH relativeFrom="margin">
                  <wp:posOffset>3147695</wp:posOffset>
                </wp:positionH>
                <wp:positionV relativeFrom="paragraph">
                  <wp:posOffset>76</wp:posOffset>
                </wp:positionV>
                <wp:extent cx="2172335" cy="350520"/>
                <wp:effectExtent l="0" t="0" r="1841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5F304" w14:textId="77777777" w:rsidR="00772EB1" w:rsidRDefault="00772EB1" w:rsidP="00772E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5B1BB9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14:paraId="0568DFFC" w14:textId="77777777" w:rsidR="00772EB1" w:rsidRPr="005E011E" w:rsidRDefault="00772EB1" w:rsidP="00772E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[Nombre del servicio a la que se presenta]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73D2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7.85pt;margin-top:0;width:171.0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">
                <v:textbox>
                  <w:txbxContent>
                    <w:p w14:paraId="7CA5F304" w14:textId="77777777" w:rsidR="00772EB1" w:rsidRDefault="00772EB1" w:rsidP="00772EB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5B1BB9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:</w:t>
                      </w:r>
                    </w:p>
                    <w:p w14:paraId="0568DFFC" w14:textId="77777777" w:rsidR="00772EB1" w:rsidRPr="005E011E" w:rsidRDefault="00772EB1" w:rsidP="00772EB1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[Nombre del servicio a la que se presenta]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435B7D" w14:textId="77777777" w:rsidR="00772EB1" w:rsidRDefault="00772EB1" w:rsidP="00772EB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14:paraId="1C19B51C" w14:textId="77777777" w:rsidR="00772EB1" w:rsidRDefault="00772EB1" w:rsidP="00772EB1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14:paraId="2145BFD3" w14:textId="77777777" w:rsidR="00772EB1" w:rsidRPr="000D35F2" w:rsidRDefault="00772EB1" w:rsidP="00772EB1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p w14:paraId="509185BF" w14:textId="77777777" w:rsidR="006E3E87" w:rsidRPr="005E6A21" w:rsidRDefault="006E3E87" w:rsidP="002E171C">
      <w:pPr>
        <w:pStyle w:val="Default"/>
        <w:rPr>
          <w:b/>
          <w:bCs/>
          <w:sz w:val="16"/>
          <w:szCs w:val="16"/>
        </w:rPr>
      </w:pPr>
    </w:p>
    <w:p w14:paraId="79C4E1C0" w14:textId="77777777" w:rsidR="002E171C" w:rsidRPr="00285ED9" w:rsidRDefault="009F5B78" w:rsidP="002E171C">
      <w:pPr>
        <w:pStyle w:val="Default"/>
        <w:rPr>
          <w:rFonts w:asciiTheme="minorHAnsi" w:eastAsia="Times New Roman" w:hAnsiTheme="minorHAnsi" w:cstheme="minorHAnsi"/>
          <w:color w:val="auto"/>
          <w:sz w:val="14"/>
          <w:szCs w:val="14"/>
          <w:lang w:val="es-ES_tradnl"/>
        </w:rPr>
      </w:pPr>
      <w:r w:rsidRPr="00285ED9">
        <w:rPr>
          <w:rFonts w:asciiTheme="minorHAnsi" w:eastAsia="Times New Roman" w:hAnsiTheme="minorHAnsi" w:cstheme="minorHAnsi"/>
          <w:color w:val="auto"/>
          <w:sz w:val="14"/>
          <w:szCs w:val="14"/>
          <w:lang w:val="es-ES_tradnl"/>
        </w:rPr>
        <w:t>S</w:t>
      </w:r>
      <w:r w:rsidR="002E171C" w:rsidRPr="00285ED9">
        <w:rPr>
          <w:rFonts w:asciiTheme="minorHAnsi" w:eastAsia="Times New Roman" w:hAnsiTheme="minorHAnsi" w:cstheme="minorHAnsi"/>
          <w:color w:val="auto"/>
          <w:sz w:val="14"/>
          <w:szCs w:val="14"/>
          <w:lang w:val="es-ES_tradnl"/>
        </w:rPr>
        <w:t xml:space="preserve">uperintendencia Nacional de Aduanas y de Administración Tributaria – SUNAT </w:t>
      </w:r>
    </w:p>
    <w:p w14:paraId="11157C23" w14:textId="77777777" w:rsidR="006E3E87" w:rsidRPr="00285ED9" w:rsidRDefault="006E3E87" w:rsidP="00A5788D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14"/>
          <w:szCs w:val="14"/>
          <w:lang w:val="es-ES_tradnl"/>
        </w:rPr>
      </w:pPr>
      <w:r w:rsidRPr="00285ED9">
        <w:rPr>
          <w:rFonts w:asciiTheme="minorHAnsi" w:eastAsia="Times New Roman" w:hAnsiTheme="minorHAnsi" w:cstheme="minorHAnsi"/>
          <w:color w:val="auto"/>
          <w:sz w:val="14"/>
          <w:szCs w:val="14"/>
          <w:lang w:val="es-ES_tradnl"/>
        </w:rPr>
        <w:t>Proyecto Mejoramiento de los servicios de recaudación tributaria y aduanera a través de la Transformación Digital</w:t>
      </w:r>
    </w:p>
    <w:p w14:paraId="00480816" w14:textId="77777777" w:rsidR="002E171C" w:rsidRPr="00285ED9" w:rsidRDefault="00A5788D" w:rsidP="002E171C">
      <w:pPr>
        <w:pStyle w:val="Default"/>
        <w:rPr>
          <w:rFonts w:asciiTheme="minorHAnsi" w:eastAsia="Times New Roman" w:hAnsiTheme="minorHAnsi" w:cstheme="minorHAnsi"/>
          <w:color w:val="auto"/>
          <w:sz w:val="14"/>
          <w:szCs w:val="14"/>
          <w:lang w:val="es-ES_tradnl"/>
        </w:rPr>
      </w:pPr>
      <w:r w:rsidRPr="00285ED9">
        <w:rPr>
          <w:rFonts w:asciiTheme="minorHAnsi" w:eastAsia="Times New Roman" w:hAnsiTheme="minorHAnsi" w:cstheme="minorHAnsi"/>
          <w:color w:val="auto"/>
          <w:sz w:val="14"/>
          <w:szCs w:val="14"/>
          <w:lang w:val="es-ES_tradnl"/>
        </w:rPr>
        <w:t xml:space="preserve">Dirección: </w:t>
      </w:r>
      <w:r w:rsidR="002E171C" w:rsidRPr="00285ED9">
        <w:rPr>
          <w:rFonts w:asciiTheme="minorHAnsi" w:eastAsia="Times New Roman" w:hAnsiTheme="minorHAnsi" w:cstheme="minorHAnsi"/>
          <w:color w:val="auto"/>
          <w:sz w:val="14"/>
          <w:szCs w:val="14"/>
          <w:lang w:val="es-ES_tradnl"/>
        </w:rPr>
        <w:t xml:space="preserve">Av. Garcilaso de la Vega 1472 – Lima 1 </w:t>
      </w:r>
    </w:p>
    <w:p w14:paraId="666ADE66" w14:textId="0931BE36" w:rsidR="00064837" w:rsidRPr="00285ED9" w:rsidRDefault="00A5788D" w:rsidP="00A5788D">
      <w:pPr>
        <w:jc w:val="both"/>
        <w:rPr>
          <w:rStyle w:val="Hipervnculo"/>
          <w:rFonts w:asciiTheme="minorHAnsi" w:eastAsiaTheme="majorEastAsia" w:hAnsiTheme="minorHAnsi" w:cstheme="minorHAnsi"/>
          <w:b/>
          <w:sz w:val="14"/>
          <w:szCs w:val="14"/>
        </w:rPr>
      </w:pPr>
      <w:r w:rsidRPr="00285ED9">
        <w:rPr>
          <w:rFonts w:asciiTheme="minorHAnsi" w:hAnsiTheme="minorHAnsi" w:cstheme="minorHAnsi"/>
          <w:sz w:val="14"/>
          <w:szCs w:val="14"/>
        </w:rPr>
        <w:t xml:space="preserve">Correo electrónico: </w:t>
      </w:r>
      <w:hyperlink r:id="rId8" w:history="1">
        <w:r w:rsidRPr="00285ED9">
          <w:rPr>
            <w:rStyle w:val="Hipervnculo"/>
            <w:rFonts w:asciiTheme="minorHAnsi" w:eastAsiaTheme="majorEastAsia" w:hAnsiTheme="minorHAnsi" w:cstheme="minorHAnsi"/>
            <w:b/>
            <w:sz w:val="14"/>
            <w:szCs w:val="14"/>
          </w:rPr>
          <w:t>proyectobid4@sunat.gob.pe</w:t>
        </w:r>
      </w:hyperlink>
      <w:r w:rsidR="00AE2AAD" w:rsidRPr="00285ED9">
        <w:rPr>
          <w:rStyle w:val="Hipervnculo"/>
          <w:rFonts w:asciiTheme="minorHAnsi" w:eastAsiaTheme="majorEastAsia" w:hAnsiTheme="minorHAnsi" w:cstheme="minorHAnsi"/>
          <w:b/>
          <w:sz w:val="14"/>
          <w:szCs w:val="14"/>
        </w:rPr>
        <w:t xml:space="preserve"> </w:t>
      </w:r>
      <w:r w:rsidR="008073CA" w:rsidRPr="00285ED9">
        <w:rPr>
          <w:rStyle w:val="Hipervnculo"/>
          <w:rFonts w:asciiTheme="minorHAnsi" w:eastAsiaTheme="majorEastAsia" w:hAnsiTheme="minorHAnsi" w:cstheme="minorHAnsi"/>
          <w:b/>
          <w:sz w:val="14"/>
          <w:szCs w:val="14"/>
        </w:rPr>
        <w:t xml:space="preserve">y </w:t>
      </w:r>
      <w:r w:rsidR="003C2984" w:rsidRPr="00285ED9">
        <w:rPr>
          <w:rStyle w:val="Hipervnculo"/>
          <w:rFonts w:asciiTheme="minorHAnsi" w:eastAsiaTheme="majorEastAsia" w:hAnsiTheme="minorHAnsi" w:cstheme="minorHAnsi"/>
          <w:b/>
          <w:sz w:val="14"/>
          <w:szCs w:val="14"/>
        </w:rPr>
        <w:t>jespinoza</w:t>
      </w:r>
      <w:r w:rsidR="008073CA" w:rsidRPr="00285ED9">
        <w:rPr>
          <w:rStyle w:val="Hipervnculo"/>
          <w:rFonts w:asciiTheme="minorHAnsi" w:eastAsiaTheme="majorEastAsia" w:hAnsiTheme="minorHAnsi" w:cstheme="minorHAnsi"/>
          <w:b/>
          <w:sz w:val="14"/>
          <w:szCs w:val="14"/>
        </w:rPr>
        <w:t>@proyectobid3.com</w:t>
      </w:r>
    </w:p>
    <w:sectPr w:rsidR="00064837" w:rsidRPr="00285ED9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1C"/>
    <w:rsid w:val="00064837"/>
    <w:rsid w:val="000F5FD6"/>
    <w:rsid w:val="0010112F"/>
    <w:rsid w:val="0019735C"/>
    <w:rsid w:val="002725A3"/>
    <w:rsid w:val="00276AEC"/>
    <w:rsid w:val="00285ED9"/>
    <w:rsid w:val="002B2E96"/>
    <w:rsid w:val="002E171C"/>
    <w:rsid w:val="002E4125"/>
    <w:rsid w:val="002E443C"/>
    <w:rsid w:val="00337C1A"/>
    <w:rsid w:val="003878FE"/>
    <w:rsid w:val="00387CBD"/>
    <w:rsid w:val="003C2984"/>
    <w:rsid w:val="003F1CD5"/>
    <w:rsid w:val="004C7510"/>
    <w:rsid w:val="004D3434"/>
    <w:rsid w:val="004E61DD"/>
    <w:rsid w:val="00547DD1"/>
    <w:rsid w:val="00593B78"/>
    <w:rsid w:val="005E6A21"/>
    <w:rsid w:val="005E77A3"/>
    <w:rsid w:val="0067176B"/>
    <w:rsid w:val="006E3E87"/>
    <w:rsid w:val="007037C9"/>
    <w:rsid w:val="00772EB1"/>
    <w:rsid w:val="00795C79"/>
    <w:rsid w:val="008073CA"/>
    <w:rsid w:val="00810342"/>
    <w:rsid w:val="0084487D"/>
    <w:rsid w:val="009F5B78"/>
    <w:rsid w:val="009F7882"/>
    <w:rsid w:val="00A23CEB"/>
    <w:rsid w:val="00A5788D"/>
    <w:rsid w:val="00A8375A"/>
    <w:rsid w:val="00AA6A27"/>
    <w:rsid w:val="00AE2AAD"/>
    <w:rsid w:val="00B02782"/>
    <w:rsid w:val="00B02E83"/>
    <w:rsid w:val="00B7222A"/>
    <w:rsid w:val="00B97D2D"/>
    <w:rsid w:val="00BD2A3B"/>
    <w:rsid w:val="00C976E3"/>
    <w:rsid w:val="00D32C84"/>
    <w:rsid w:val="00D80F8F"/>
    <w:rsid w:val="00E107D1"/>
    <w:rsid w:val="00E24341"/>
    <w:rsid w:val="00E46E8A"/>
    <w:rsid w:val="00EC5524"/>
    <w:rsid w:val="00ED1BFF"/>
    <w:rsid w:val="00EE258A"/>
    <w:rsid w:val="00EE7725"/>
    <w:rsid w:val="00FA3EFC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7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73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7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7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bid4@sunat.gob.p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ndc05.iadb.org/idbppis?pLanguage=SPANISH&amp;pMenuOption=oMenu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nat.gob.pe/cuentassunat/adquisiciones/contratosBID/cprestamo_bid_4725-Solic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Zavala Chacon Patricia Pilar</cp:lastModifiedBy>
  <cp:revision>2</cp:revision>
  <dcterms:created xsi:type="dcterms:W3CDTF">2022-12-12T21:59:00Z</dcterms:created>
  <dcterms:modified xsi:type="dcterms:W3CDTF">2022-12-12T21:59:00Z</dcterms:modified>
</cp:coreProperties>
</file>