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56D6" w14:textId="77777777" w:rsidR="003B2F62" w:rsidRPr="00CD5986" w:rsidRDefault="003B2F62" w:rsidP="003B2F62">
      <w:pPr>
        <w:pStyle w:val="Default"/>
        <w:jc w:val="center"/>
        <w:rPr>
          <w:b/>
          <w:sz w:val="20"/>
          <w:szCs w:val="20"/>
        </w:rPr>
      </w:pPr>
      <w:r w:rsidRPr="00CD5986">
        <w:rPr>
          <w:b/>
          <w:sz w:val="20"/>
          <w:szCs w:val="20"/>
        </w:rPr>
        <w:t>REPÚBLICA DEL PERÚ</w:t>
      </w:r>
    </w:p>
    <w:p w14:paraId="4CBF10A1" w14:textId="77777777" w:rsidR="003B2F62" w:rsidRPr="00CD5986" w:rsidRDefault="003B2F62" w:rsidP="003B2F62">
      <w:pPr>
        <w:pStyle w:val="Default"/>
        <w:jc w:val="center"/>
        <w:rPr>
          <w:sz w:val="20"/>
          <w:szCs w:val="20"/>
        </w:rPr>
      </w:pPr>
      <w:r w:rsidRPr="00CD5986">
        <w:rPr>
          <w:b/>
          <w:bCs/>
          <w:sz w:val="20"/>
          <w:szCs w:val="20"/>
        </w:rPr>
        <w:t>SUPERINTENDENCIA NACIONAL DE ADUANAS Y DE ADMINISTRACIÓN TRIBUTARIA (SUNAT)</w:t>
      </w:r>
    </w:p>
    <w:p w14:paraId="58EDD5DD" w14:textId="77777777" w:rsidR="003B2F62" w:rsidRPr="00CD5986" w:rsidRDefault="003B2F62" w:rsidP="003B2F62">
      <w:pPr>
        <w:pStyle w:val="Default"/>
        <w:jc w:val="center"/>
        <w:rPr>
          <w:sz w:val="20"/>
          <w:szCs w:val="20"/>
        </w:rPr>
      </w:pPr>
      <w:r w:rsidRPr="00CD5986">
        <w:rPr>
          <w:b/>
          <w:bCs/>
          <w:sz w:val="20"/>
          <w:szCs w:val="20"/>
        </w:rPr>
        <w:t>Proyecto Mejoramiento de los servicios de recaudación tributaria y aduanera a través de la Transformación Digital</w:t>
      </w:r>
    </w:p>
    <w:p w14:paraId="37327646" w14:textId="77777777" w:rsidR="003B2F62" w:rsidRPr="00CD5986" w:rsidRDefault="003B2F62" w:rsidP="003B2F62">
      <w:pPr>
        <w:pStyle w:val="Default"/>
        <w:jc w:val="center"/>
        <w:rPr>
          <w:sz w:val="20"/>
          <w:szCs w:val="20"/>
        </w:rPr>
      </w:pPr>
      <w:r w:rsidRPr="00CD5986">
        <w:rPr>
          <w:b/>
          <w:bCs/>
          <w:sz w:val="20"/>
          <w:szCs w:val="20"/>
        </w:rPr>
        <w:t>Contrato de Préstamo BID Nº 4725/OC-PE</w:t>
      </w:r>
    </w:p>
    <w:p w14:paraId="366F6B70" w14:textId="04794B16" w:rsidR="001166CA" w:rsidRDefault="001166CA">
      <w:pPr>
        <w:spacing w:before="157"/>
        <w:ind w:left="200" w:right="200"/>
        <w:jc w:val="center"/>
        <w:rPr>
          <w:rFonts w:ascii="Arial" w:hAnsi="Arial"/>
          <w:b/>
          <w:sz w:val="20"/>
        </w:rPr>
      </w:pPr>
    </w:p>
    <w:tbl>
      <w:tblPr>
        <w:tblW w:w="10458" w:type="dxa"/>
        <w:jc w:val="center"/>
        <w:tblLook w:val="04A0" w:firstRow="1" w:lastRow="0" w:firstColumn="1" w:lastColumn="0" w:noHBand="0" w:noVBand="1"/>
      </w:tblPr>
      <w:tblGrid>
        <w:gridCol w:w="1526"/>
        <w:gridCol w:w="947"/>
        <w:gridCol w:w="1170"/>
        <w:gridCol w:w="6798"/>
        <w:gridCol w:w="17"/>
      </w:tblGrid>
      <w:tr w:rsidR="00A56749" w14:paraId="28B5D6FD" w14:textId="77777777" w:rsidTr="00A56749">
        <w:trPr>
          <w:trHeight w:val="298"/>
          <w:jc w:val="center"/>
        </w:trPr>
        <w:tc>
          <w:tcPr>
            <w:tcW w:w="1526" w:type="dxa"/>
            <w:tcBorders>
              <w:top w:val="single" w:sz="4" w:space="0" w:color="auto"/>
              <w:left w:val="single" w:sz="4" w:space="0" w:color="auto"/>
              <w:bottom w:val="single" w:sz="4" w:space="0" w:color="auto"/>
              <w:right w:val="single" w:sz="4" w:space="0" w:color="auto"/>
            </w:tcBorders>
            <w:shd w:val="clear" w:color="000000" w:fill="2F75B5"/>
            <w:vAlign w:val="center"/>
          </w:tcPr>
          <w:p w14:paraId="0453D5C7" w14:textId="5189647E" w:rsidR="00A56749" w:rsidRDefault="00A56749" w:rsidP="00A56749">
            <w:pPr>
              <w:jc w:val="center"/>
              <w:rPr>
                <w:rFonts w:ascii="Arial" w:hAnsi="Arial" w:cs="Arial"/>
                <w:b/>
                <w:bCs/>
                <w:color w:val="FFFFFF"/>
                <w:sz w:val="18"/>
                <w:szCs w:val="18"/>
              </w:rPr>
            </w:pPr>
            <w:r>
              <w:rPr>
                <w:rFonts w:ascii="Arial" w:hAnsi="Arial" w:cs="Arial"/>
                <w:b/>
                <w:bCs/>
                <w:color w:val="FFFFFF"/>
                <w:sz w:val="18"/>
                <w:szCs w:val="18"/>
              </w:rPr>
              <w:t>PROCESO</w:t>
            </w:r>
          </w:p>
        </w:tc>
        <w:tc>
          <w:tcPr>
            <w:tcW w:w="947" w:type="dxa"/>
            <w:tcBorders>
              <w:top w:val="single" w:sz="4" w:space="0" w:color="auto"/>
              <w:left w:val="single" w:sz="4" w:space="0" w:color="auto"/>
              <w:bottom w:val="single" w:sz="4" w:space="0" w:color="auto"/>
              <w:right w:val="single" w:sz="4" w:space="0" w:color="auto"/>
            </w:tcBorders>
            <w:shd w:val="clear" w:color="000000" w:fill="2F75B5"/>
            <w:vAlign w:val="center"/>
          </w:tcPr>
          <w:p w14:paraId="5263AA49" w14:textId="192BA1E1" w:rsidR="00A56749" w:rsidRDefault="00A56749" w:rsidP="00A56749">
            <w:pPr>
              <w:jc w:val="center"/>
              <w:rPr>
                <w:rFonts w:ascii="Arial" w:hAnsi="Arial" w:cs="Arial"/>
                <w:b/>
                <w:bCs/>
                <w:color w:val="FFFFFF"/>
                <w:sz w:val="18"/>
                <w:szCs w:val="18"/>
              </w:rPr>
            </w:pPr>
            <w:r>
              <w:rPr>
                <w:rFonts w:ascii="Arial" w:hAnsi="Arial" w:cs="Arial"/>
                <w:b/>
                <w:bCs/>
                <w:color w:val="FFFFFF"/>
                <w:sz w:val="18"/>
                <w:szCs w:val="18"/>
              </w:rPr>
              <w:t>CODIGO</w:t>
            </w:r>
          </w:p>
        </w:tc>
        <w:tc>
          <w:tcPr>
            <w:tcW w:w="117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5488908E" w14:textId="77777777" w:rsidR="00A56749" w:rsidRDefault="00A56749" w:rsidP="00A56749">
            <w:pPr>
              <w:jc w:val="center"/>
              <w:rPr>
                <w:rFonts w:ascii="Arial" w:hAnsi="Arial" w:cs="Arial"/>
                <w:b/>
                <w:bCs/>
                <w:color w:val="FFFFFF"/>
                <w:sz w:val="18"/>
                <w:szCs w:val="18"/>
                <w:lang w:val="en-US"/>
              </w:rPr>
            </w:pPr>
            <w:r>
              <w:rPr>
                <w:rFonts w:ascii="Arial" w:hAnsi="Arial" w:cs="Arial"/>
                <w:b/>
                <w:bCs/>
                <w:color w:val="FFFFFF"/>
                <w:sz w:val="18"/>
                <w:szCs w:val="18"/>
              </w:rPr>
              <w:t>CANTIDAD</w:t>
            </w:r>
          </w:p>
        </w:tc>
        <w:tc>
          <w:tcPr>
            <w:tcW w:w="6815" w:type="dxa"/>
            <w:gridSpan w:val="2"/>
            <w:tcBorders>
              <w:top w:val="single" w:sz="4" w:space="0" w:color="auto"/>
              <w:left w:val="nil"/>
              <w:bottom w:val="single" w:sz="4" w:space="0" w:color="auto"/>
              <w:right w:val="single" w:sz="4" w:space="0" w:color="auto"/>
            </w:tcBorders>
            <w:shd w:val="clear" w:color="000000" w:fill="2F75B5"/>
            <w:vAlign w:val="center"/>
            <w:hideMark/>
          </w:tcPr>
          <w:p w14:paraId="161E6FDB" w14:textId="77777777" w:rsidR="00A56749" w:rsidRDefault="00A56749" w:rsidP="00A56749">
            <w:pPr>
              <w:jc w:val="center"/>
              <w:rPr>
                <w:rFonts w:ascii="Arial" w:hAnsi="Arial" w:cs="Arial"/>
                <w:b/>
                <w:bCs/>
                <w:color w:val="FFFFFF"/>
                <w:sz w:val="18"/>
                <w:szCs w:val="18"/>
              </w:rPr>
            </w:pPr>
            <w:r>
              <w:rPr>
                <w:rFonts w:ascii="Arial" w:hAnsi="Arial" w:cs="Arial"/>
                <w:b/>
                <w:bCs/>
                <w:color w:val="FFFFFF"/>
                <w:sz w:val="18"/>
                <w:szCs w:val="18"/>
              </w:rPr>
              <w:t xml:space="preserve">DENOMINACION </w:t>
            </w:r>
          </w:p>
        </w:tc>
      </w:tr>
      <w:tr w:rsidR="00A56749" w14:paraId="078985E2" w14:textId="77777777" w:rsidTr="00A56749">
        <w:trPr>
          <w:gridAfter w:val="1"/>
          <w:wAfter w:w="17" w:type="dxa"/>
          <w:trHeight w:val="433"/>
          <w:jc w:val="center"/>
        </w:trPr>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tcPr>
          <w:p w14:paraId="7C1DBFE0" w14:textId="1EE10A25"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CCI-24-2022-SUNAT/BID-3</w:t>
            </w:r>
          </w:p>
        </w:tc>
        <w:tc>
          <w:tcPr>
            <w:tcW w:w="947" w:type="dxa"/>
            <w:tcBorders>
              <w:top w:val="single" w:sz="4" w:space="0" w:color="auto"/>
              <w:left w:val="single" w:sz="4" w:space="0" w:color="auto"/>
              <w:bottom w:val="single" w:sz="4" w:space="0" w:color="auto"/>
              <w:right w:val="single" w:sz="4" w:space="0" w:color="auto"/>
            </w:tcBorders>
            <w:shd w:val="clear" w:color="000000" w:fill="FFFFFF"/>
            <w:vAlign w:val="center"/>
          </w:tcPr>
          <w:p w14:paraId="630564C0" w14:textId="78F7C05F"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UEMSI CCI-24</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F70678" w14:textId="77777777"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1</w:t>
            </w:r>
          </w:p>
        </w:tc>
        <w:tc>
          <w:tcPr>
            <w:tcW w:w="6798" w:type="dxa"/>
            <w:tcBorders>
              <w:top w:val="single" w:sz="4" w:space="0" w:color="auto"/>
              <w:left w:val="nil"/>
              <w:bottom w:val="single" w:sz="4" w:space="0" w:color="auto"/>
              <w:right w:val="single" w:sz="4" w:space="0" w:color="auto"/>
            </w:tcBorders>
            <w:shd w:val="clear" w:color="000000" w:fill="FFFFFF"/>
            <w:vAlign w:val="bottom"/>
            <w:hideMark/>
          </w:tcPr>
          <w:p w14:paraId="7FC018EF" w14:textId="77777777" w:rsidR="00A56749" w:rsidRPr="00A56749" w:rsidRDefault="00A56749" w:rsidP="00A56749">
            <w:pPr>
              <w:rPr>
                <w:rFonts w:asciiTheme="majorHAnsi" w:hAnsiTheme="majorHAnsi" w:cstheme="majorHAnsi"/>
                <w:color w:val="375623"/>
                <w:sz w:val="20"/>
                <w:szCs w:val="20"/>
              </w:rPr>
            </w:pPr>
            <w:r w:rsidRPr="00A56749">
              <w:rPr>
                <w:rFonts w:asciiTheme="majorHAnsi" w:eastAsiaTheme="minorHAnsi" w:hAnsiTheme="majorHAnsi" w:cstheme="majorHAnsi"/>
                <w:b/>
                <w:bCs/>
                <w:color w:val="000000"/>
                <w:sz w:val="20"/>
                <w:szCs w:val="20"/>
                <w:lang w:val="es-PE"/>
              </w:rPr>
              <w:t>Contratación de un (01) Consultor Especializado como Coordinador de Componente, para la Gestión de los Requerimientos del Sistema de Gestión de Saldos de los Contribuyentes</w:t>
            </w:r>
          </w:p>
        </w:tc>
      </w:tr>
      <w:tr w:rsidR="00A56749" w14:paraId="5707F91E" w14:textId="77777777" w:rsidTr="00A56749">
        <w:trPr>
          <w:gridAfter w:val="1"/>
          <w:wAfter w:w="17" w:type="dxa"/>
          <w:trHeight w:val="550"/>
          <w:jc w:val="center"/>
        </w:trPr>
        <w:tc>
          <w:tcPr>
            <w:tcW w:w="1526" w:type="dxa"/>
            <w:tcBorders>
              <w:top w:val="nil"/>
              <w:left w:val="single" w:sz="4" w:space="0" w:color="auto"/>
              <w:bottom w:val="single" w:sz="4" w:space="0" w:color="auto"/>
              <w:right w:val="single" w:sz="4" w:space="0" w:color="auto"/>
            </w:tcBorders>
            <w:shd w:val="clear" w:color="000000" w:fill="D9D9D9"/>
            <w:vAlign w:val="center"/>
          </w:tcPr>
          <w:p w14:paraId="4F9E1BC1" w14:textId="3A4EF526"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CCI-25-2022-SUNAT/BID-3</w:t>
            </w:r>
          </w:p>
        </w:tc>
        <w:tc>
          <w:tcPr>
            <w:tcW w:w="947" w:type="dxa"/>
            <w:tcBorders>
              <w:top w:val="nil"/>
              <w:left w:val="single" w:sz="4" w:space="0" w:color="auto"/>
              <w:bottom w:val="single" w:sz="4" w:space="0" w:color="auto"/>
              <w:right w:val="single" w:sz="4" w:space="0" w:color="auto"/>
            </w:tcBorders>
            <w:shd w:val="clear" w:color="000000" w:fill="D9D9D9"/>
            <w:vAlign w:val="center"/>
          </w:tcPr>
          <w:p w14:paraId="41E1E8B9" w14:textId="203B2140"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UEMSI CCI-25</w:t>
            </w:r>
          </w:p>
        </w:tc>
        <w:tc>
          <w:tcPr>
            <w:tcW w:w="1170" w:type="dxa"/>
            <w:tcBorders>
              <w:top w:val="nil"/>
              <w:left w:val="single" w:sz="4" w:space="0" w:color="auto"/>
              <w:bottom w:val="single" w:sz="4" w:space="0" w:color="auto"/>
              <w:right w:val="single" w:sz="4" w:space="0" w:color="auto"/>
            </w:tcBorders>
            <w:shd w:val="clear" w:color="000000" w:fill="D9D9D9"/>
            <w:noWrap/>
            <w:vAlign w:val="center"/>
            <w:hideMark/>
          </w:tcPr>
          <w:p w14:paraId="12A9CED6" w14:textId="77777777"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5</w:t>
            </w:r>
          </w:p>
        </w:tc>
        <w:tc>
          <w:tcPr>
            <w:tcW w:w="6798" w:type="dxa"/>
            <w:tcBorders>
              <w:top w:val="nil"/>
              <w:left w:val="nil"/>
              <w:bottom w:val="single" w:sz="4" w:space="0" w:color="auto"/>
              <w:right w:val="single" w:sz="4" w:space="0" w:color="auto"/>
            </w:tcBorders>
            <w:shd w:val="clear" w:color="000000" w:fill="D9D9D9"/>
            <w:vAlign w:val="bottom"/>
            <w:hideMark/>
          </w:tcPr>
          <w:p w14:paraId="1770A21D" w14:textId="77777777" w:rsidR="00A56749" w:rsidRPr="00A56749" w:rsidRDefault="00A56749" w:rsidP="00A56749">
            <w:pPr>
              <w:rPr>
                <w:rFonts w:asciiTheme="majorHAnsi" w:hAnsiTheme="majorHAnsi" w:cstheme="majorHAnsi"/>
                <w:color w:val="375623"/>
                <w:sz w:val="20"/>
                <w:szCs w:val="20"/>
              </w:rPr>
            </w:pPr>
            <w:r w:rsidRPr="00A56749">
              <w:rPr>
                <w:rFonts w:asciiTheme="majorHAnsi" w:eastAsiaTheme="minorHAnsi" w:hAnsiTheme="majorHAnsi" w:cstheme="majorHAnsi"/>
                <w:b/>
                <w:bCs/>
                <w:color w:val="000000"/>
                <w:sz w:val="20"/>
                <w:szCs w:val="20"/>
                <w:lang w:val="es-PE"/>
              </w:rPr>
              <w:t>Contratación de Consultores Especializados como Analista de Sistemas Especializado Senior para los Requerimientos Relacionados al Sistema de Gestión de Saldos de los Contribuyentes de la Superintendencia Nacional Adjunto de Tributos Internos (SNATI) de la SUNAT</w:t>
            </w:r>
          </w:p>
        </w:tc>
      </w:tr>
      <w:tr w:rsidR="00A56749" w14:paraId="7F68D33D" w14:textId="77777777" w:rsidTr="00A56749">
        <w:trPr>
          <w:gridAfter w:val="1"/>
          <w:wAfter w:w="17" w:type="dxa"/>
          <w:trHeight w:val="253"/>
          <w:jc w:val="center"/>
        </w:trPr>
        <w:tc>
          <w:tcPr>
            <w:tcW w:w="1526" w:type="dxa"/>
            <w:tcBorders>
              <w:top w:val="nil"/>
              <w:left w:val="single" w:sz="4" w:space="0" w:color="auto"/>
              <w:bottom w:val="single" w:sz="4" w:space="0" w:color="auto"/>
              <w:right w:val="single" w:sz="4" w:space="0" w:color="auto"/>
            </w:tcBorders>
            <w:shd w:val="clear" w:color="000000" w:fill="FFFFFF"/>
            <w:vAlign w:val="center"/>
          </w:tcPr>
          <w:p w14:paraId="0D18D88D" w14:textId="021F8621"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CCI-26-2022-SUNAT/BID-3</w:t>
            </w:r>
          </w:p>
        </w:tc>
        <w:tc>
          <w:tcPr>
            <w:tcW w:w="947" w:type="dxa"/>
            <w:tcBorders>
              <w:top w:val="nil"/>
              <w:left w:val="single" w:sz="4" w:space="0" w:color="auto"/>
              <w:bottom w:val="single" w:sz="4" w:space="0" w:color="auto"/>
              <w:right w:val="single" w:sz="4" w:space="0" w:color="auto"/>
            </w:tcBorders>
            <w:shd w:val="clear" w:color="000000" w:fill="FFFFFF"/>
            <w:vAlign w:val="center"/>
          </w:tcPr>
          <w:p w14:paraId="67ECD1C8" w14:textId="57B3C8F9"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UEMSI CCI-26</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0338D65A" w14:textId="77777777"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2</w:t>
            </w:r>
          </w:p>
        </w:tc>
        <w:tc>
          <w:tcPr>
            <w:tcW w:w="6798" w:type="dxa"/>
            <w:tcBorders>
              <w:top w:val="nil"/>
              <w:left w:val="nil"/>
              <w:bottom w:val="single" w:sz="4" w:space="0" w:color="auto"/>
              <w:right w:val="single" w:sz="4" w:space="0" w:color="auto"/>
            </w:tcBorders>
            <w:shd w:val="clear" w:color="000000" w:fill="FFFFFF"/>
            <w:vAlign w:val="bottom"/>
            <w:hideMark/>
          </w:tcPr>
          <w:p w14:paraId="3683F55D" w14:textId="77777777" w:rsidR="00A56749" w:rsidRPr="00A56749" w:rsidRDefault="00A56749" w:rsidP="00A56749">
            <w:pPr>
              <w:rPr>
                <w:rFonts w:asciiTheme="majorHAnsi" w:hAnsiTheme="majorHAnsi" w:cstheme="majorHAnsi"/>
                <w:color w:val="375623"/>
                <w:sz w:val="20"/>
                <w:szCs w:val="20"/>
              </w:rPr>
            </w:pPr>
            <w:r w:rsidRPr="00A56749">
              <w:rPr>
                <w:rFonts w:asciiTheme="majorHAnsi" w:eastAsiaTheme="minorHAnsi" w:hAnsiTheme="majorHAnsi" w:cstheme="majorHAnsi"/>
                <w:b/>
                <w:bCs/>
                <w:color w:val="000000"/>
                <w:sz w:val="20"/>
                <w:szCs w:val="20"/>
                <w:lang w:val="es-PE"/>
              </w:rPr>
              <w:t>Contratación de Consultores Especializados como Agile Coach, para la Gestión Ágil de los Requerimientos Relacionados al Sistema de Gestión de Saldos de los Contribuyentes</w:t>
            </w:r>
          </w:p>
        </w:tc>
      </w:tr>
      <w:tr w:rsidR="00A56749" w14:paraId="612FE8E0" w14:textId="77777777" w:rsidTr="00A56749">
        <w:trPr>
          <w:gridAfter w:val="1"/>
          <w:wAfter w:w="17" w:type="dxa"/>
          <w:trHeight w:val="442"/>
          <w:jc w:val="center"/>
        </w:trPr>
        <w:tc>
          <w:tcPr>
            <w:tcW w:w="1526" w:type="dxa"/>
            <w:tcBorders>
              <w:top w:val="nil"/>
              <w:left w:val="single" w:sz="4" w:space="0" w:color="auto"/>
              <w:bottom w:val="single" w:sz="4" w:space="0" w:color="auto"/>
              <w:right w:val="single" w:sz="4" w:space="0" w:color="auto"/>
            </w:tcBorders>
            <w:shd w:val="clear" w:color="000000" w:fill="D9D9D9"/>
            <w:vAlign w:val="center"/>
          </w:tcPr>
          <w:p w14:paraId="44AC77A5" w14:textId="0E6952DE"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CCI-27-2022-SUNAT/BID-3</w:t>
            </w:r>
          </w:p>
        </w:tc>
        <w:tc>
          <w:tcPr>
            <w:tcW w:w="947" w:type="dxa"/>
            <w:tcBorders>
              <w:top w:val="nil"/>
              <w:left w:val="single" w:sz="4" w:space="0" w:color="auto"/>
              <w:bottom w:val="single" w:sz="4" w:space="0" w:color="auto"/>
              <w:right w:val="single" w:sz="4" w:space="0" w:color="auto"/>
            </w:tcBorders>
            <w:shd w:val="clear" w:color="000000" w:fill="D9D9D9"/>
            <w:vAlign w:val="center"/>
          </w:tcPr>
          <w:p w14:paraId="737CD5ED" w14:textId="3D43A072"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UEMSI CCI-27</w:t>
            </w:r>
          </w:p>
        </w:tc>
        <w:tc>
          <w:tcPr>
            <w:tcW w:w="1170" w:type="dxa"/>
            <w:tcBorders>
              <w:top w:val="nil"/>
              <w:left w:val="single" w:sz="4" w:space="0" w:color="auto"/>
              <w:bottom w:val="single" w:sz="4" w:space="0" w:color="auto"/>
              <w:right w:val="single" w:sz="4" w:space="0" w:color="auto"/>
            </w:tcBorders>
            <w:shd w:val="clear" w:color="000000" w:fill="D9D9D9"/>
            <w:noWrap/>
            <w:vAlign w:val="center"/>
            <w:hideMark/>
          </w:tcPr>
          <w:p w14:paraId="1727CE3A" w14:textId="77777777"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15</w:t>
            </w:r>
          </w:p>
        </w:tc>
        <w:tc>
          <w:tcPr>
            <w:tcW w:w="6798" w:type="dxa"/>
            <w:tcBorders>
              <w:top w:val="nil"/>
              <w:left w:val="nil"/>
              <w:bottom w:val="single" w:sz="4" w:space="0" w:color="auto"/>
              <w:right w:val="single" w:sz="4" w:space="0" w:color="auto"/>
            </w:tcBorders>
            <w:shd w:val="clear" w:color="000000" w:fill="D9D9D9"/>
            <w:vAlign w:val="bottom"/>
            <w:hideMark/>
          </w:tcPr>
          <w:p w14:paraId="6D1F348D" w14:textId="77777777" w:rsidR="00A56749" w:rsidRPr="00A56749" w:rsidRDefault="00A56749" w:rsidP="00A56749">
            <w:pPr>
              <w:rPr>
                <w:rFonts w:asciiTheme="majorHAnsi" w:hAnsiTheme="majorHAnsi" w:cstheme="majorHAnsi"/>
                <w:color w:val="375623"/>
                <w:sz w:val="20"/>
                <w:szCs w:val="20"/>
              </w:rPr>
            </w:pPr>
            <w:r w:rsidRPr="00A56749">
              <w:rPr>
                <w:rFonts w:asciiTheme="majorHAnsi" w:eastAsiaTheme="minorHAnsi" w:hAnsiTheme="majorHAnsi" w:cstheme="majorHAnsi"/>
                <w:b/>
                <w:bCs/>
                <w:color w:val="000000"/>
                <w:sz w:val="20"/>
                <w:szCs w:val="20"/>
                <w:lang w:val="es-PE"/>
              </w:rPr>
              <w:t>Contratación de Consultores Especializados como Arquitecto de Soluciones para los Requerimientos Relacionados al Sistema de Gestión de Saldos y a la Rearquitectura de los Sistemas Legados de la SUNAT</w:t>
            </w:r>
          </w:p>
        </w:tc>
      </w:tr>
      <w:tr w:rsidR="00A56749" w14:paraId="100FB082" w14:textId="77777777" w:rsidTr="00A56749">
        <w:trPr>
          <w:gridAfter w:val="1"/>
          <w:wAfter w:w="17" w:type="dxa"/>
          <w:trHeight w:val="70"/>
          <w:jc w:val="center"/>
        </w:trPr>
        <w:tc>
          <w:tcPr>
            <w:tcW w:w="1526" w:type="dxa"/>
            <w:tcBorders>
              <w:top w:val="nil"/>
              <w:left w:val="single" w:sz="4" w:space="0" w:color="auto"/>
              <w:bottom w:val="single" w:sz="4" w:space="0" w:color="auto"/>
              <w:right w:val="single" w:sz="4" w:space="0" w:color="auto"/>
            </w:tcBorders>
            <w:shd w:val="clear" w:color="000000" w:fill="FFFFFF"/>
            <w:vAlign w:val="center"/>
          </w:tcPr>
          <w:p w14:paraId="1699814B" w14:textId="799CCEF0"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CCI-28-2022-SUNAT/BID-3</w:t>
            </w:r>
          </w:p>
        </w:tc>
        <w:tc>
          <w:tcPr>
            <w:tcW w:w="947" w:type="dxa"/>
            <w:tcBorders>
              <w:top w:val="nil"/>
              <w:left w:val="single" w:sz="4" w:space="0" w:color="auto"/>
              <w:bottom w:val="single" w:sz="4" w:space="0" w:color="auto"/>
              <w:right w:val="single" w:sz="4" w:space="0" w:color="auto"/>
            </w:tcBorders>
            <w:shd w:val="clear" w:color="000000" w:fill="FFFFFF"/>
            <w:vAlign w:val="center"/>
          </w:tcPr>
          <w:p w14:paraId="0605C9B2" w14:textId="4D66E542"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UEMSI CCI-28</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27176FDB" w14:textId="77777777"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19</w:t>
            </w:r>
          </w:p>
        </w:tc>
        <w:tc>
          <w:tcPr>
            <w:tcW w:w="6798" w:type="dxa"/>
            <w:tcBorders>
              <w:top w:val="nil"/>
              <w:left w:val="nil"/>
              <w:bottom w:val="single" w:sz="4" w:space="0" w:color="auto"/>
              <w:right w:val="single" w:sz="4" w:space="0" w:color="auto"/>
            </w:tcBorders>
            <w:shd w:val="clear" w:color="000000" w:fill="FFFFFF"/>
            <w:vAlign w:val="bottom"/>
            <w:hideMark/>
          </w:tcPr>
          <w:p w14:paraId="492AF542" w14:textId="77777777" w:rsidR="00A56749" w:rsidRPr="00A56749" w:rsidRDefault="00A56749" w:rsidP="00A56749">
            <w:pPr>
              <w:rPr>
                <w:rFonts w:asciiTheme="majorHAnsi" w:hAnsiTheme="majorHAnsi" w:cstheme="majorHAnsi"/>
                <w:color w:val="375623"/>
                <w:sz w:val="20"/>
                <w:szCs w:val="20"/>
              </w:rPr>
            </w:pPr>
            <w:r w:rsidRPr="00A56749">
              <w:rPr>
                <w:rFonts w:asciiTheme="majorHAnsi" w:eastAsiaTheme="minorHAnsi" w:hAnsiTheme="majorHAnsi" w:cstheme="majorHAnsi"/>
                <w:b/>
                <w:bCs/>
                <w:color w:val="000000"/>
                <w:sz w:val="20"/>
                <w:szCs w:val="20"/>
                <w:lang w:val="es-PE"/>
              </w:rPr>
              <w:t>Contratación de Consultores Especializados como Analistas de Sistemas Especializados para los Requerimientos Relacionados al Sistema de Gestión de Saldos y a la Rearquitectura de los Sistemas Legados de la SUNAT</w:t>
            </w:r>
          </w:p>
        </w:tc>
      </w:tr>
      <w:tr w:rsidR="00A56749" w14:paraId="7B947ED8" w14:textId="77777777" w:rsidTr="00A56749">
        <w:trPr>
          <w:gridAfter w:val="1"/>
          <w:wAfter w:w="17" w:type="dxa"/>
          <w:trHeight w:val="70"/>
          <w:jc w:val="center"/>
        </w:trPr>
        <w:tc>
          <w:tcPr>
            <w:tcW w:w="1526" w:type="dxa"/>
            <w:tcBorders>
              <w:top w:val="nil"/>
              <w:left w:val="single" w:sz="4" w:space="0" w:color="auto"/>
              <w:bottom w:val="single" w:sz="4" w:space="0" w:color="auto"/>
              <w:right w:val="single" w:sz="4" w:space="0" w:color="auto"/>
            </w:tcBorders>
            <w:shd w:val="clear" w:color="000000" w:fill="D9D9D9"/>
            <w:vAlign w:val="center"/>
          </w:tcPr>
          <w:p w14:paraId="536EB62B" w14:textId="0FBBB830"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CCI-29-2022-SUNAT/BID-3</w:t>
            </w:r>
          </w:p>
        </w:tc>
        <w:tc>
          <w:tcPr>
            <w:tcW w:w="947" w:type="dxa"/>
            <w:tcBorders>
              <w:top w:val="nil"/>
              <w:left w:val="single" w:sz="4" w:space="0" w:color="auto"/>
              <w:bottom w:val="single" w:sz="4" w:space="0" w:color="auto"/>
              <w:right w:val="single" w:sz="4" w:space="0" w:color="auto"/>
            </w:tcBorders>
            <w:shd w:val="clear" w:color="000000" w:fill="D9D9D9"/>
            <w:vAlign w:val="center"/>
          </w:tcPr>
          <w:p w14:paraId="44F3224D" w14:textId="6CFB1B34"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UEMSI CCI-29</w:t>
            </w:r>
          </w:p>
        </w:tc>
        <w:tc>
          <w:tcPr>
            <w:tcW w:w="1170" w:type="dxa"/>
            <w:tcBorders>
              <w:top w:val="nil"/>
              <w:left w:val="single" w:sz="4" w:space="0" w:color="auto"/>
              <w:bottom w:val="single" w:sz="4" w:space="0" w:color="auto"/>
              <w:right w:val="single" w:sz="4" w:space="0" w:color="auto"/>
            </w:tcBorders>
            <w:shd w:val="clear" w:color="000000" w:fill="D9D9D9"/>
            <w:noWrap/>
            <w:vAlign w:val="center"/>
            <w:hideMark/>
          </w:tcPr>
          <w:p w14:paraId="3E77AADB" w14:textId="77777777"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5</w:t>
            </w:r>
          </w:p>
        </w:tc>
        <w:tc>
          <w:tcPr>
            <w:tcW w:w="6798" w:type="dxa"/>
            <w:tcBorders>
              <w:top w:val="nil"/>
              <w:left w:val="nil"/>
              <w:bottom w:val="single" w:sz="4" w:space="0" w:color="auto"/>
              <w:right w:val="single" w:sz="4" w:space="0" w:color="auto"/>
            </w:tcBorders>
            <w:shd w:val="clear" w:color="000000" w:fill="D9D9D9"/>
            <w:vAlign w:val="bottom"/>
            <w:hideMark/>
          </w:tcPr>
          <w:p w14:paraId="0FE266F5" w14:textId="77777777" w:rsidR="00A56749" w:rsidRPr="00A56749" w:rsidRDefault="00A56749" w:rsidP="00A56749">
            <w:pPr>
              <w:rPr>
                <w:rFonts w:asciiTheme="majorHAnsi" w:hAnsiTheme="majorHAnsi" w:cstheme="majorHAnsi"/>
                <w:color w:val="375623"/>
                <w:sz w:val="20"/>
                <w:szCs w:val="20"/>
              </w:rPr>
            </w:pPr>
            <w:r w:rsidRPr="00A56749">
              <w:rPr>
                <w:rFonts w:asciiTheme="majorHAnsi" w:eastAsiaTheme="minorHAnsi" w:hAnsiTheme="majorHAnsi" w:cstheme="majorHAnsi"/>
                <w:b/>
                <w:bCs/>
                <w:color w:val="000000"/>
                <w:sz w:val="20"/>
                <w:szCs w:val="20"/>
                <w:lang w:val="es-PE"/>
              </w:rPr>
              <w:t>Contratación de Consultores Especializados como Gestores de Proyectos de los Requerimientos relacionados al sistema de Gestión de Saldos de los Contribuyentes</w:t>
            </w:r>
          </w:p>
        </w:tc>
      </w:tr>
      <w:tr w:rsidR="00A56749" w14:paraId="3792145F" w14:textId="77777777" w:rsidTr="00A56749">
        <w:trPr>
          <w:gridAfter w:val="1"/>
          <w:wAfter w:w="17" w:type="dxa"/>
          <w:trHeight w:val="460"/>
          <w:jc w:val="center"/>
        </w:trPr>
        <w:tc>
          <w:tcPr>
            <w:tcW w:w="1526" w:type="dxa"/>
            <w:tcBorders>
              <w:top w:val="nil"/>
              <w:left w:val="single" w:sz="4" w:space="0" w:color="auto"/>
              <w:bottom w:val="single" w:sz="4" w:space="0" w:color="auto"/>
              <w:right w:val="single" w:sz="4" w:space="0" w:color="auto"/>
            </w:tcBorders>
            <w:shd w:val="clear" w:color="000000" w:fill="FFFFFF"/>
            <w:vAlign w:val="center"/>
          </w:tcPr>
          <w:p w14:paraId="5A02FDB5" w14:textId="2F95CB9A"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CCI-30-2022-SUNAT/BID-3</w:t>
            </w:r>
          </w:p>
        </w:tc>
        <w:tc>
          <w:tcPr>
            <w:tcW w:w="947" w:type="dxa"/>
            <w:tcBorders>
              <w:top w:val="nil"/>
              <w:left w:val="single" w:sz="4" w:space="0" w:color="auto"/>
              <w:bottom w:val="single" w:sz="4" w:space="0" w:color="auto"/>
              <w:right w:val="single" w:sz="4" w:space="0" w:color="auto"/>
            </w:tcBorders>
            <w:shd w:val="clear" w:color="000000" w:fill="FFFFFF"/>
            <w:vAlign w:val="center"/>
          </w:tcPr>
          <w:p w14:paraId="0AD32D5E" w14:textId="1F61AD48"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UEMSI CCI-30</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62801D3A" w14:textId="77777777" w:rsidR="00A56749" w:rsidRPr="00A56749" w:rsidRDefault="00A56749" w:rsidP="00A56749">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5</w:t>
            </w:r>
          </w:p>
        </w:tc>
        <w:tc>
          <w:tcPr>
            <w:tcW w:w="6798" w:type="dxa"/>
            <w:tcBorders>
              <w:top w:val="nil"/>
              <w:left w:val="nil"/>
              <w:bottom w:val="single" w:sz="4" w:space="0" w:color="auto"/>
              <w:right w:val="single" w:sz="4" w:space="0" w:color="auto"/>
            </w:tcBorders>
            <w:shd w:val="clear" w:color="000000" w:fill="FFFFFF"/>
            <w:vAlign w:val="bottom"/>
            <w:hideMark/>
          </w:tcPr>
          <w:p w14:paraId="67EE2F1B" w14:textId="77777777" w:rsidR="00A56749" w:rsidRPr="00A56749" w:rsidRDefault="00A56749" w:rsidP="00A56749">
            <w:pPr>
              <w:rPr>
                <w:rFonts w:asciiTheme="majorHAnsi" w:hAnsiTheme="majorHAnsi" w:cstheme="majorHAnsi"/>
                <w:color w:val="375623"/>
                <w:sz w:val="20"/>
                <w:szCs w:val="20"/>
              </w:rPr>
            </w:pPr>
            <w:r w:rsidRPr="00A56749">
              <w:rPr>
                <w:rFonts w:asciiTheme="majorHAnsi" w:eastAsiaTheme="minorHAnsi" w:hAnsiTheme="majorHAnsi" w:cstheme="majorHAnsi"/>
                <w:b/>
                <w:bCs/>
                <w:color w:val="000000"/>
                <w:sz w:val="20"/>
                <w:szCs w:val="20"/>
                <w:lang w:val="es-PE"/>
              </w:rPr>
              <w:t>Contratación de Consultores Especializados como SCRUM MASTER para la Gestión de los Requerimientos Relacionados al Sistema de Gestión de Saldos de los Contribuyentes</w:t>
            </w:r>
          </w:p>
        </w:tc>
      </w:tr>
      <w:tr w:rsidR="00301824" w:rsidRPr="00A56749" w14:paraId="32D00C16" w14:textId="77777777" w:rsidTr="00301824">
        <w:trPr>
          <w:gridAfter w:val="1"/>
          <w:wAfter w:w="17" w:type="dxa"/>
          <w:trHeight w:val="460"/>
          <w:jc w:val="center"/>
        </w:trPr>
        <w:tc>
          <w:tcPr>
            <w:tcW w:w="152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2D003FB" w14:textId="71B55DA9" w:rsidR="00301824" w:rsidRPr="00A56749" w:rsidRDefault="00301824" w:rsidP="00994EFA">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CCI-</w:t>
            </w:r>
            <w:r>
              <w:rPr>
                <w:rFonts w:asciiTheme="majorHAnsi" w:eastAsiaTheme="minorHAnsi" w:hAnsiTheme="majorHAnsi" w:cstheme="majorHAnsi"/>
                <w:b/>
                <w:bCs/>
                <w:color w:val="000000"/>
                <w:sz w:val="20"/>
                <w:szCs w:val="20"/>
                <w:lang w:val="es-PE"/>
              </w:rPr>
              <w:t>31</w:t>
            </w:r>
            <w:r w:rsidRPr="00A56749">
              <w:rPr>
                <w:rFonts w:asciiTheme="majorHAnsi" w:eastAsiaTheme="minorHAnsi" w:hAnsiTheme="majorHAnsi" w:cstheme="majorHAnsi"/>
                <w:b/>
                <w:bCs/>
                <w:color w:val="000000"/>
                <w:sz w:val="20"/>
                <w:szCs w:val="20"/>
                <w:lang w:val="es-PE"/>
              </w:rPr>
              <w:t>-2022-SUNAT/BID-3</w:t>
            </w:r>
          </w:p>
        </w:tc>
        <w:tc>
          <w:tcPr>
            <w:tcW w:w="94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13574B3" w14:textId="037A7EEE" w:rsidR="00301824" w:rsidRPr="00A56749" w:rsidRDefault="00301824" w:rsidP="00994EFA">
            <w:pPr>
              <w:jc w:val="center"/>
              <w:rPr>
                <w:rFonts w:asciiTheme="majorHAnsi" w:eastAsiaTheme="minorHAnsi" w:hAnsiTheme="majorHAnsi" w:cstheme="majorHAnsi"/>
                <w:b/>
                <w:bCs/>
                <w:color w:val="000000"/>
                <w:sz w:val="20"/>
                <w:szCs w:val="20"/>
                <w:lang w:val="es-PE"/>
              </w:rPr>
            </w:pPr>
            <w:r w:rsidRPr="00A56749">
              <w:rPr>
                <w:rFonts w:asciiTheme="majorHAnsi" w:eastAsiaTheme="minorHAnsi" w:hAnsiTheme="majorHAnsi" w:cstheme="majorHAnsi"/>
                <w:b/>
                <w:bCs/>
                <w:color w:val="000000"/>
                <w:sz w:val="20"/>
                <w:szCs w:val="20"/>
                <w:lang w:val="es-PE"/>
              </w:rPr>
              <w:t>UEMSI CCI-</w:t>
            </w:r>
            <w:r w:rsidR="00095E30">
              <w:rPr>
                <w:rFonts w:asciiTheme="majorHAnsi" w:eastAsiaTheme="minorHAnsi" w:hAnsiTheme="majorHAnsi" w:cstheme="majorHAnsi"/>
                <w:b/>
                <w:bCs/>
                <w:color w:val="000000"/>
                <w:sz w:val="20"/>
                <w:szCs w:val="20"/>
                <w:lang w:val="es-PE"/>
              </w:rPr>
              <w:t>31</w:t>
            </w:r>
          </w:p>
        </w:tc>
        <w:tc>
          <w:tcPr>
            <w:tcW w:w="11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CAB990" w14:textId="3BC9201B" w:rsidR="00301824" w:rsidRPr="00A56749" w:rsidRDefault="00535D93" w:rsidP="00994EFA">
            <w:pPr>
              <w:jc w:val="center"/>
              <w:rPr>
                <w:rFonts w:asciiTheme="majorHAnsi" w:eastAsiaTheme="minorHAnsi" w:hAnsiTheme="majorHAnsi" w:cstheme="majorHAnsi"/>
                <w:b/>
                <w:bCs/>
                <w:color w:val="000000"/>
                <w:sz w:val="20"/>
                <w:szCs w:val="20"/>
                <w:lang w:val="es-PE"/>
              </w:rPr>
            </w:pPr>
            <w:r>
              <w:rPr>
                <w:rFonts w:asciiTheme="majorHAnsi" w:eastAsiaTheme="minorHAnsi" w:hAnsiTheme="majorHAnsi" w:cstheme="majorHAnsi"/>
                <w:b/>
                <w:bCs/>
                <w:color w:val="000000"/>
                <w:sz w:val="20"/>
                <w:szCs w:val="20"/>
                <w:lang w:val="es-PE"/>
              </w:rPr>
              <w:t>3</w:t>
            </w:r>
          </w:p>
        </w:tc>
        <w:tc>
          <w:tcPr>
            <w:tcW w:w="6798" w:type="dxa"/>
            <w:tcBorders>
              <w:top w:val="nil"/>
              <w:left w:val="nil"/>
              <w:bottom w:val="single" w:sz="4" w:space="0" w:color="auto"/>
              <w:right w:val="single" w:sz="4" w:space="0" w:color="auto"/>
            </w:tcBorders>
            <w:shd w:val="clear" w:color="auto" w:fill="D9D9D9" w:themeFill="background1" w:themeFillShade="D9"/>
            <w:vAlign w:val="bottom"/>
            <w:hideMark/>
          </w:tcPr>
          <w:p w14:paraId="4E3DC58A" w14:textId="6D27FE32" w:rsidR="00301824" w:rsidRPr="00301824" w:rsidRDefault="00301824" w:rsidP="00994EFA">
            <w:pPr>
              <w:rPr>
                <w:rFonts w:asciiTheme="majorHAnsi" w:eastAsiaTheme="minorHAnsi" w:hAnsiTheme="majorHAnsi" w:cstheme="majorHAnsi"/>
                <w:b/>
                <w:bCs/>
                <w:color w:val="000000"/>
                <w:sz w:val="20"/>
                <w:szCs w:val="20"/>
                <w:lang w:val="es-PE"/>
              </w:rPr>
            </w:pPr>
            <w:r w:rsidRPr="00301824">
              <w:rPr>
                <w:rFonts w:asciiTheme="majorHAnsi" w:eastAsiaTheme="minorHAnsi" w:hAnsiTheme="majorHAnsi" w:cstheme="majorHAnsi"/>
                <w:b/>
                <w:bCs/>
                <w:color w:val="000000"/>
                <w:sz w:val="20"/>
                <w:szCs w:val="20"/>
                <w:lang w:val="es-PE"/>
              </w:rPr>
              <w:t>Contratación de consultores especializados en el desarrollo de modelos de datos y tableros para el monitoreo operativo de datos críticos de tributos internos</w:t>
            </w:r>
          </w:p>
        </w:tc>
      </w:tr>
    </w:tbl>
    <w:p w14:paraId="7CD241E0" w14:textId="3B3C103E" w:rsidR="002533D5" w:rsidRDefault="00690A74">
      <w:pPr>
        <w:pStyle w:val="Ttulo1"/>
        <w:spacing w:before="178" w:line="424" w:lineRule="auto"/>
        <w:ind w:right="202"/>
      </w:pPr>
      <w:r>
        <w:t>”</w:t>
      </w:r>
      <w:r>
        <w:rPr>
          <w:spacing w:val="-53"/>
        </w:rPr>
        <w:t xml:space="preserve"> </w:t>
      </w:r>
      <w:r w:rsidR="00400AC5">
        <w:t xml:space="preserve">CCI </w:t>
      </w:r>
      <w:r>
        <w:t>-202</w:t>
      </w:r>
      <w:r w:rsidR="00F92E0A">
        <w:t>2</w:t>
      </w:r>
      <w:r>
        <w:t>-SUNAT/BID</w:t>
      </w:r>
      <w:r>
        <w:rPr>
          <w:spacing w:val="-1"/>
        </w:rPr>
        <w:t xml:space="preserve"> </w:t>
      </w:r>
      <w:r>
        <w:t>3</w:t>
      </w:r>
      <w:r w:rsidR="00F85B1D">
        <w:t>”</w:t>
      </w:r>
    </w:p>
    <w:p w14:paraId="293636D2" w14:textId="77777777" w:rsidR="002533D5" w:rsidRDefault="002533D5">
      <w:pPr>
        <w:pStyle w:val="Textoindependiente"/>
        <w:rPr>
          <w:rFonts w:ascii="Arial"/>
          <w:b/>
          <w:sz w:val="22"/>
        </w:rPr>
      </w:pPr>
    </w:p>
    <w:p w14:paraId="062AA8AD" w14:textId="4E84F8D5" w:rsidR="002533D5" w:rsidRDefault="004D34E0" w:rsidP="003B2F62">
      <w:pPr>
        <w:jc w:val="both"/>
      </w:pPr>
      <w:r w:rsidRPr="00547BCE">
        <w:rPr>
          <w:rFonts w:ascii="Arial" w:hAnsi="Arial"/>
          <w:b/>
        </w:rPr>
        <w:t xml:space="preserve">Fecha de </w:t>
      </w:r>
      <w:r w:rsidR="00690A74" w:rsidRPr="00547BCE">
        <w:rPr>
          <w:rFonts w:ascii="Arial" w:hAnsi="Arial"/>
          <w:b/>
        </w:rPr>
        <w:t xml:space="preserve">Presentación de </w:t>
      </w:r>
      <w:r w:rsidRPr="00547BCE">
        <w:rPr>
          <w:rFonts w:ascii="Arial" w:hAnsi="Arial"/>
          <w:b/>
        </w:rPr>
        <w:t>Expresiones de Interés</w:t>
      </w:r>
      <w:r w:rsidR="00690A74" w:rsidRPr="00547BCE">
        <w:rPr>
          <w:rFonts w:ascii="Arial" w:hAnsi="Arial"/>
          <w:b/>
        </w:rPr>
        <w:t>:</w:t>
      </w:r>
      <w:r w:rsidR="00CA713F" w:rsidRPr="00547BCE">
        <w:rPr>
          <w:rFonts w:ascii="Arial" w:hAnsi="Arial"/>
          <w:b/>
        </w:rPr>
        <w:t xml:space="preserve"> </w:t>
      </w:r>
      <w:r w:rsidR="00222125">
        <w:rPr>
          <w:rFonts w:ascii="Arial" w:hAnsi="Arial"/>
          <w:b/>
        </w:rPr>
        <w:t>H</w:t>
      </w:r>
      <w:r w:rsidR="00690A74" w:rsidRPr="00547BCE">
        <w:t xml:space="preserve">asta el </w:t>
      </w:r>
      <w:r w:rsidR="009A615C">
        <w:rPr>
          <w:b/>
          <w:bCs/>
          <w:color w:val="5014F8"/>
        </w:rPr>
        <w:t>6</w:t>
      </w:r>
      <w:r w:rsidR="003B2F62" w:rsidRPr="00095E30">
        <w:rPr>
          <w:b/>
          <w:bCs/>
          <w:color w:val="5014F8"/>
        </w:rPr>
        <w:t xml:space="preserve"> de </w:t>
      </w:r>
      <w:r w:rsidR="00095E30" w:rsidRPr="00095E30">
        <w:rPr>
          <w:b/>
          <w:bCs/>
          <w:color w:val="5014F8"/>
        </w:rPr>
        <w:t xml:space="preserve">diciembre </w:t>
      </w:r>
      <w:r w:rsidR="003B2F62" w:rsidRPr="00095E30">
        <w:rPr>
          <w:b/>
          <w:bCs/>
          <w:color w:val="5014F8"/>
        </w:rPr>
        <w:t>de 2022</w:t>
      </w:r>
      <w:r w:rsidR="00690A74" w:rsidRPr="00547BCE">
        <w:t xml:space="preserve"> </w:t>
      </w:r>
      <w:r w:rsidR="00690A74" w:rsidRPr="00547BCE">
        <w:rPr>
          <w:w w:val="95"/>
        </w:rPr>
        <w:t>a la dirección</w:t>
      </w:r>
      <w:r w:rsidR="00690A74">
        <w:rPr>
          <w:w w:val="95"/>
        </w:rPr>
        <w:t xml:space="preserve"> electrónica: </w:t>
      </w:r>
      <w:hyperlink r:id="rId4" w:history="1">
        <w:r w:rsidR="003B2F62" w:rsidRPr="00CD5986">
          <w:rPr>
            <w:rStyle w:val="Hipervnculo"/>
            <w:rFonts w:ascii="Arial" w:hAnsi="Arial" w:cs="Arial"/>
            <w:sz w:val="20"/>
            <w:szCs w:val="20"/>
          </w:rPr>
          <w:t>proyectobid4@sunat.gob.pe</w:t>
        </w:r>
      </w:hyperlink>
      <w:r w:rsidR="003B2F62" w:rsidRPr="00CD5986">
        <w:rPr>
          <w:rFonts w:ascii="Arial" w:hAnsi="Arial" w:cs="Arial"/>
          <w:color w:val="000000"/>
          <w:sz w:val="20"/>
          <w:szCs w:val="20"/>
        </w:rPr>
        <w:t xml:space="preserve">  </w:t>
      </w:r>
      <w:r w:rsidR="00301824" w:rsidRPr="00301824">
        <w:rPr>
          <w:rStyle w:val="Hipervnculo"/>
          <w:sz w:val="20"/>
          <w:szCs w:val="20"/>
          <w:u w:val="none"/>
        </w:rPr>
        <w:t>con copia a</w:t>
      </w:r>
      <w:r w:rsidR="00301824" w:rsidRPr="00CD5986">
        <w:rPr>
          <w:rFonts w:ascii="Arial" w:hAnsi="Arial" w:cs="Arial"/>
          <w:color w:val="000000"/>
          <w:sz w:val="20"/>
          <w:szCs w:val="20"/>
        </w:rPr>
        <w:t xml:space="preserve"> </w:t>
      </w:r>
      <w:r w:rsidR="003B2F62">
        <w:rPr>
          <w:rStyle w:val="Hipervnculo"/>
          <w:rFonts w:ascii="Arial" w:hAnsi="Arial" w:cs="Arial"/>
          <w:sz w:val="20"/>
          <w:szCs w:val="20"/>
        </w:rPr>
        <w:t>jespinoza@proyectobid3.com</w:t>
      </w:r>
      <w:r w:rsidR="00690A74">
        <w:rPr>
          <w:w w:val="95"/>
        </w:rPr>
        <w:t xml:space="preserve">; </w:t>
      </w:r>
      <w:r w:rsidR="00F92E0A">
        <w:rPr>
          <w:w w:val="95"/>
        </w:rPr>
        <w:t>el cv en formato BID</w:t>
      </w:r>
      <w:r w:rsidR="00690A74">
        <w:t>.</w:t>
      </w:r>
    </w:p>
    <w:p w14:paraId="7A4524F4" w14:textId="49A7922F" w:rsidR="003B2F62" w:rsidRDefault="003B2F62" w:rsidP="003B2F62">
      <w:pPr>
        <w:jc w:val="both"/>
      </w:pPr>
    </w:p>
    <w:p w14:paraId="73AAE655" w14:textId="5621833C" w:rsidR="00BB037B" w:rsidRPr="003B2F62" w:rsidRDefault="00BB037B" w:rsidP="003B2F62">
      <w:pPr>
        <w:jc w:val="both"/>
        <w:rPr>
          <w:color w:val="431AF2"/>
        </w:rPr>
      </w:pPr>
    </w:p>
    <w:sectPr w:rsidR="00BB037B" w:rsidRPr="003B2F62">
      <w:type w:val="continuous"/>
      <w:pgSz w:w="11910" w:h="16840"/>
      <w:pgMar w:top="132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5"/>
    <w:rsid w:val="000163EA"/>
    <w:rsid w:val="00095E30"/>
    <w:rsid w:val="000F0C62"/>
    <w:rsid w:val="001166CA"/>
    <w:rsid w:val="00180231"/>
    <w:rsid w:val="00222125"/>
    <w:rsid w:val="002262BE"/>
    <w:rsid w:val="002533D5"/>
    <w:rsid w:val="00301824"/>
    <w:rsid w:val="003B2F62"/>
    <w:rsid w:val="00400AC5"/>
    <w:rsid w:val="004D34E0"/>
    <w:rsid w:val="00510DA1"/>
    <w:rsid w:val="00535D93"/>
    <w:rsid w:val="00547BCE"/>
    <w:rsid w:val="00690A74"/>
    <w:rsid w:val="00793C28"/>
    <w:rsid w:val="007C1A18"/>
    <w:rsid w:val="008E0695"/>
    <w:rsid w:val="00901DAF"/>
    <w:rsid w:val="009238F6"/>
    <w:rsid w:val="009A615C"/>
    <w:rsid w:val="00A56749"/>
    <w:rsid w:val="00A92B4A"/>
    <w:rsid w:val="00AC7E2C"/>
    <w:rsid w:val="00BB037B"/>
    <w:rsid w:val="00C32AAB"/>
    <w:rsid w:val="00CA713F"/>
    <w:rsid w:val="00D65FC6"/>
    <w:rsid w:val="00E3264C"/>
    <w:rsid w:val="00F03C87"/>
    <w:rsid w:val="00F527BA"/>
    <w:rsid w:val="00F85B1D"/>
    <w:rsid w:val="00F92E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410"/>
  <w15:docId w15:val="{1A78AF42-C681-4679-8A60-2A4EF514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77"/>
      <w:ind w:left="200" w:right="200"/>
      <w:jc w:val="center"/>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527BA"/>
    <w:rPr>
      <w:color w:val="0000FF" w:themeColor="hyperlink"/>
      <w:u w:val="single"/>
    </w:rPr>
  </w:style>
  <w:style w:type="character" w:customStyle="1" w:styleId="Mencinsinresolver1">
    <w:name w:val="Mención sin resolver1"/>
    <w:basedOn w:val="Fuentedeprrafopredeter"/>
    <w:uiPriority w:val="99"/>
    <w:semiHidden/>
    <w:unhideWhenUsed/>
    <w:rsid w:val="00F527BA"/>
    <w:rPr>
      <w:color w:val="605E5C"/>
      <w:shd w:val="clear" w:color="auto" w:fill="E1DFDD"/>
    </w:rPr>
  </w:style>
  <w:style w:type="paragraph" w:customStyle="1" w:styleId="Default">
    <w:name w:val="Default"/>
    <w:rsid w:val="001166CA"/>
    <w:pPr>
      <w:widowControl/>
      <w:adjustRightInd w:val="0"/>
    </w:pPr>
    <w:rPr>
      <w:rFonts w:ascii="Arial" w:hAnsi="Arial" w:cs="Arial"/>
      <w:color w:val="000000"/>
      <w:sz w:val="24"/>
      <w:szCs w:val="24"/>
      <w:lang w:val="es-PE"/>
    </w:rPr>
  </w:style>
  <w:style w:type="character" w:customStyle="1" w:styleId="Mencinsinresolver2">
    <w:name w:val="Mención sin resolver2"/>
    <w:basedOn w:val="Fuentedeprrafopredeter"/>
    <w:uiPriority w:val="99"/>
    <w:semiHidden/>
    <w:unhideWhenUsed/>
    <w:rsid w:val="001166CA"/>
    <w:rPr>
      <w:color w:val="605E5C"/>
      <w:shd w:val="clear" w:color="auto" w:fill="E1DFDD"/>
    </w:rPr>
  </w:style>
  <w:style w:type="character" w:styleId="Mencinsinresolver">
    <w:name w:val="Unresolved Mention"/>
    <w:basedOn w:val="Fuentedeprrafopredeter"/>
    <w:uiPriority w:val="99"/>
    <w:semiHidden/>
    <w:unhideWhenUsed/>
    <w:rsid w:val="00A92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yectobid4@sunat.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moran</dc:creator>
  <cp:lastModifiedBy>JULIA ESPINOZA</cp:lastModifiedBy>
  <cp:revision>3</cp:revision>
  <dcterms:created xsi:type="dcterms:W3CDTF">2022-11-24T15:34:00Z</dcterms:created>
  <dcterms:modified xsi:type="dcterms:W3CDTF">2022-11-24T17:49:00Z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2019</vt:lpwstr>
  </property>
  <property fmtid="{D5CDD505-2E9C-101B-9397-08002B2CF9AE}" pid="4" name="LastSaved">
    <vt:filetime>2021-05-25T00:00:00Z</vt:filetime>
  </property>
</Properties>
</file>