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7898D46F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>
        <w:rPr>
          <w:rFonts w:ascii="Arial" w:hAnsi="Arial" w:cs="Arial"/>
          <w:spacing w:val="1"/>
          <w:position w:val="-1"/>
          <w:sz w:val="20"/>
          <w:szCs w:val="20"/>
        </w:rPr>
        <w:t>N°008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780EEC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8CDD5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323BE">
        <w:rPr>
          <w:sz w:val="20"/>
          <w:szCs w:val="20"/>
        </w:rPr>
        <w:t>el siguiente servicio de consultoría</w:t>
      </w:r>
      <w:r w:rsidRPr="00CD5986">
        <w:rPr>
          <w:sz w:val="20"/>
          <w:szCs w:val="20"/>
        </w:rPr>
        <w:t>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108"/>
        <w:gridCol w:w="1156"/>
        <w:gridCol w:w="7801"/>
      </w:tblGrid>
      <w:tr w:rsidR="00D323BE" w14:paraId="227D12B7" w14:textId="08E2867D" w:rsidTr="00D323BE">
        <w:trPr>
          <w:trHeight w:val="2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23BE" w14:paraId="0D62D925" w14:textId="513E1C0F" w:rsidTr="00D323BE">
        <w:trPr>
          <w:trHeight w:val="7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669B" w14:textId="475AB1D0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CCI-008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F291" w14:textId="0F776B8A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58F9A" w14:textId="2ED2E0F2" w:rsidR="00D323BE" w:rsidRPr="005805F2" w:rsidRDefault="00D323BE" w:rsidP="004271C8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</w:pPr>
            <w:bookmarkStart w:id="0" w:name="_Hlk173771207"/>
            <w:r w:rsidRPr="004271C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Contratación de consultores especializados como Analista de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4271C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Sistemas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4271C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Especializado Senior para los requerimientos relacionados al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4271C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sistema de gestión de saldos de los contribuyentes de la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4271C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Superintendencia Nacional Adjunto de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4271C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Tributos Internos (SNATI) de la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 xml:space="preserve"> </w:t>
            </w:r>
            <w:r w:rsidRPr="004271C8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SUNAT</w:t>
            </w:r>
            <w:bookmarkEnd w:id="0"/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33BFE156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>el servicio solicitado</w:t>
      </w:r>
      <w:r w:rsidRPr="00CD5986">
        <w:rPr>
          <w:sz w:val="20"/>
          <w:szCs w:val="20"/>
        </w:rPr>
        <w:t xml:space="preserve">. Para ello </w:t>
      </w:r>
      <w:r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Pr="008F44A3">
        <w:rPr>
          <w:sz w:val="20"/>
          <w:szCs w:val="20"/>
        </w:rPr>
        <w:t>los Términos de Referencia requeridos</w:t>
      </w:r>
      <w:r w:rsidR="00FA7460">
        <w:rPr>
          <w:sz w:val="20"/>
          <w:szCs w:val="20"/>
        </w:rPr>
        <w:t xml:space="preserve"> para cada consultoría</w:t>
      </w:r>
      <w:r w:rsidRPr="008F44A3">
        <w:rPr>
          <w:sz w:val="20"/>
          <w:szCs w:val="20"/>
        </w:rPr>
        <w:t>,</w:t>
      </w:r>
      <w:r>
        <w:rPr>
          <w:sz w:val="20"/>
          <w:szCs w:val="20"/>
        </w:rPr>
        <w:t xml:space="preserve"> en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</w:t>
      </w:r>
      <w:r w:rsidR="004271C8">
        <w:rPr>
          <w:sz w:val="19"/>
          <w:szCs w:val="19"/>
        </w:rPr>
        <w:t xml:space="preserve">(Link: </w:t>
      </w:r>
      <w:hyperlink r:id="rId6" w:history="1">
        <w:r w:rsidR="004271C8" w:rsidRPr="00036EFD">
          <w:rPr>
            <w:rStyle w:val="Hipervnculo"/>
            <w:sz w:val="19"/>
            <w:szCs w:val="19"/>
          </w:rPr>
          <w:t>https://www.sunat.gob.pe/cuentassunat/adquisiciones/contratosBID/cprestamo_bid_4725-Solic.htm#</w:t>
        </w:r>
      </w:hyperlink>
      <w:r w:rsidR="004271C8">
        <w:rPr>
          <w:sz w:val="19"/>
          <w:szCs w:val="19"/>
        </w:rPr>
        <w:t xml:space="preserve">) </w:t>
      </w:r>
      <w:r w:rsidR="00D323BE" w:rsidRPr="00CD5986">
        <w:rPr>
          <w:sz w:val="20"/>
          <w:szCs w:val="20"/>
        </w:rPr>
        <w:t xml:space="preserve">o al correo electrónico: </w:t>
      </w:r>
      <w:hyperlink r:id="rId7" w:history="1">
        <w:r w:rsidR="00D323BE" w:rsidRPr="00CD5986">
          <w:rPr>
            <w:rStyle w:val="Hipervnculo"/>
            <w:sz w:val="20"/>
            <w:szCs w:val="20"/>
          </w:rPr>
          <w:t>proyectobid4@sunat.gob.pe</w:t>
        </w:r>
      </w:hyperlink>
      <w:r w:rsidR="00D323BE">
        <w:rPr>
          <w:rStyle w:val="Hipervnculo"/>
          <w:sz w:val="20"/>
          <w:szCs w:val="20"/>
          <w:u w:val="none"/>
        </w:rPr>
        <w:t>, con copia a:</w:t>
      </w:r>
      <w:r w:rsidR="00D323BE" w:rsidRPr="00CD5986">
        <w:rPr>
          <w:rStyle w:val="Hipervnculo"/>
          <w:sz w:val="20"/>
          <w:szCs w:val="20"/>
        </w:rPr>
        <w:t xml:space="preserve"> </w:t>
      </w:r>
      <w:r w:rsidR="00D323BE">
        <w:rPr>
          <w:rStyle w:val="Hipervnculo"/>
          <w:sz w:val="20"/>
          <w:szCs w:val="20"/>
        </w:rPr>
        <w:t>rramos</w:t>
      </w:r>
      <w:r w:rsidR="00D323BE" w:rsidRPr="002D5EE2">
        <w:rPr>
          <w:rStyle w:val="Hipervnculo"/>
          <w:sz w:val="20"/>
          <w:szCs w:val="20"/>
        </w:rPr>
        <w:t>@proyectobid3.com</w:t>
      </w:r>
      <w:r w:rsidR="00D323BE">
        <w:rPr>
          <w:rStyle w:val="Hipervnculo"/>
          <w:sz w:val="20"/>
          <w:szCs w:val="20"/>
        </w:rPr>
        <w:t>;</w:t>
      </w:r>
      <w:r w:rsidR="00D323BE" w:rsidRPr="00CD5986">
        <w:rPr>
          <w:sz w:val="20"/>
          <w:szCs w:val="20"/>
        </w:rPr>
        <w:t xml:space="preserve"> como respuesta recibirá</w:t>
      </w:r>
      <w:r w:rsidR="00D323BE">
        <w:rPr>
          <w:sz w:val="20"/>
          <w:szCs w:val="20"/>
        </w:rPr>
        <w:t xml:space="preserve">n electrónicamente los formatos, TDR </w:t>
      </w:r>
      <w:r w:rsidR="00D323BE" w:rsidRPr="00CD5986">
        <w:rPr>
          <w:sz w:val="20"/>
          <w:szCs w:val="20"/>
        </w:rPr>
        <w:t>e información a presentar</w:t>
      </w:r>
      <w:r w:rsidR="00D323BE">
        <w:rPr>
          <w:sz w:val="20"/>
          <w:szCs w:val="20"/>
        </w:rPr>
        <w:t>.</w:t>
      </w:r>
    </w:p>
    <w:p w14:paraId="198DF664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763211B2" w14:textId="47B683AD" w:rsidR="00780EEC" w:rsidRPr="00CD5986" w:rsidRDefault="00E8269A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780EEC" w:rsidRPr="00CD5986">
        <w:rPr>
          <w:sz w:val="20"/>
          <w:szCs w:val="20"/>
        </w:rPr>
        <w:t>consultor</w:t>
      </w:r>
      <w:r>
        <w:rPr>
          <w:sz w:val="20"/>
          <w:szCs w:val="20"/>
        </w:rPr>
        <w:t>es</w:t>
      </w:r>
      <w:r w:rsidR="00780EEC" w:rsidRPr="00CD598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ser</w:t>
      </w:r>
      <w:r>
        <w:rPr>
          <w:sz w:val="20"/>
          <w:szCs w:val="20"/>
        </w:rPr>
        <w:t>án</w:t>
      </w:r>
      <w:r w:rsidR="00780EEC" w:rsidRPr="00CD5986">
        <w:rPr>
          <w:sz w:val="20"/>
          <w:szCs w:val="20"/>
        </w:rPr>
        <w:t xml:space="preserve"> seleccionado</w:t>
      </w:r>
      <w:r>
        <w:rPr>
          <w:sz w:val="20"/>
          <w:szCs w:val="20"/>
        </w:rPr>
        <w:t>s</w:t>
      </w:r>
      <w:r w:rsidR="00780EEC" w:rsidRPr="00CD5986">
        <w:rPr>
          <w:sz w:val="20"/>
          <w:szCs w:val="20"/>
        </w:rPr>
        <w:t xml:space="preserve">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72AE9B31" w14:textId="544AAB98" w:rsidR="00D323BE" w:rsidRPr="0065615A" w:rsidRDefault="00D323BE" w:rsidP="00D323BE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carta de </w:t>
      </w:r>
      <w:r w:rsidRPr="002D5EE2">
        <w:rPr>
          <w:sz w:val="20"/>
          <w:szCs w:val="20"/>
        </w:rPr>
        <w:t>expresi</w:t>
      </w:r>
      <w:r>
        <w:rPr>
          <w:sz w:val="20"/>
          <w:szCs w:val="20"/>
        </w:rPr>
        <w:t>ón</w:t>
      </w:r>
      <w:r w:rsidRPr="002D5EE2">
        <w:rPr>
          <w:sz w:val="20"/>
          <w:szCs w:val="20"/>
        </w:rPr>
        <w:t xml:space="preserve"> de interés con </w:t>
      </w:r>
      <w:r>
        <w:rPr>
          <w:sz w:val="20"/>
          <w:szCs w:val="20"/>
        </w:rPr>
        <w:t>el</w:t>
      </w:r>
      <w:r w:rsidRPr="002D5EE2">
        <w:rPr>
          <w:sz w:val="20"/>
          <w:szCs w:val="20"/>
        </w:rPr>
        <w:t xml:space="preserve"> formulario</w:t>
      </w:r>
      <w:r>
        <w:rPr>
          <w:sz w:val="20"/>
          <w:szCs w:val="20"/>
        </w:rPr>
        <w:t xml:space="preserve"> CV</w:t>
      </w:r>
      <w:r w:rsidRPr="002D5EE2">
        <w:rPr>
          <w:sz w:val="20"/>
          <w:szCs w:val="20"/>
        </w:rPr>
        <w:t xml:space="preserve"> debidamente llenados deberán ser enviad</w:t>
      </w:r>
      <w:r>
        <w:rPr>
          <w:sz w:val="20"/>
          <w:szCs w:val="20"/>
        </w:rPr>
        <w:t>o</w:t>
      </w:r>
      <w:r w:rsidRPr="002D5EE2">
        <w:rPr>
          <w:sz w:val="20"/>
          <w:szCs w:val="20"/>
        </w:rPr>
        <w:t xml:space="preserve">s vía correo electrónico a: </w:t>
      </w:r>
      <w:r w:rsidRPr="00027465">
        <w:rPr>
          <w:rStyle w:val="Hipervnculo"/>
          <w:sz w:val="20"/>
          <w:szCs w:val="20"/>
          <w:u w:val="none"/>
        </w:rPr>
        <w:t>proyectobid4@sunat.gob.pe</w:t>
      </w:r>
      <w:r w:rsidRPr="00027465">
        <w:rPr>
          <w:rStyle w:val="Hipervnculo"/>
          <w:u w:val="none"/>
        </w:rPr>
        <w:t xml:space="preserve"> </w:t>
      </w:r>
      <w:r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hasta el día </w:t>
      </w:r>
      <w:r w:rsidR="007C6F72">
        <w:rPr>
          <w:b/>
          <w:bCs/>
          <w:sz w:val="20"/>
          <w:szCs w:val="20"/>
          <w:highlight w:val="yellow"/>
        </w:rPr>
        <w:t xml:space="preserve">30 </w:t>
      </w:r>
      <w:r w:rsidRPr="007C6F72">
        <w:rPr>
          <w:b/>
          <w:sz w:val="20"/>
          <w:szCs w:val="20"/>
          <w:highlight w:val="yellow"/>
        </w:rPr>
        <w:t>de agosto de 2024.</w:t>
      </w:r>
    </w:p>
    <w:p w14:paraId="2F84AD4C" w14:textId="77777777" w:rsidR="00D323BE" w:rsidRPr="00CD5986" w:rsidRDefault="00D323BE" w:rsidP="00D323BE">
      <w:pPr>
        <w:pStyle w:val="Default"/>
        <w:rPr>
          <w:sz w:val="20"/>
          <w:szCs w:val="20"/>
        </w:rPr>
      </w:pPr>
    </w:p>
    <w:p w14:paraId="0FF91840" w14:textId="24818124" w:rsidR="00D323BE" w:rsidRPr="00CD5986" w:rsidRDefault="00D323BE" w:rsidP="00D323B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CCI-008</w:t>
      </w:r>
      <w:r w:rsidRPr="00935DED">
        <w:rPr>
          <w:sz w:val="20"/>
          <w:szCs w:val="20"/>
        </w:rPr>
        <w:t>”</w:t>
      </w: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248F113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0CCB32E" w14:textId="77777777" w:rsidR="00992480" w:rsidRDefault="00992480" w:rsidP="00780EEC">
      <w:pPr>
        <w:pStyle w:val="Default"/>
        <w:rPr>
          <w:b/>
          <w:bCs/>
          <w:sz w:val="20"/>
          <w:szCs w:val="20"/>
        </w:rPr>
      </w:pPr>
    </w:p>
    <w:p w14:paraId="3D6774E1" w14:textId="77777777" w:rsidR="00992480" w:rsidRDefault="00992480" w:rsidP="00780EEC">
      <w:pPr>
        <w:pStyle w:val="Default"/>
        <w:rPr>
          <w:b/>
          <w:bCs/>
          <w:sz w:val="20"/>
          <w:szCs w:val="20"/>
        </w:rPr>
      </w:pPr>
    </w:p>
    <w:p w14:paraId="25D3F2E3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2A5FD2EF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62E37722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76C7A4AB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35A4121C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263F55F6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0E14659B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467E39B9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0E608AF3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4C651C21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0E014879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334ECF08" w14:textId="77777777" w:rsidR="00D323BE" w:rsidRDefault="00D323BE" w:rsidP="00780EEC">
      <w:pPr>
        <w:pStyle w:val="Default"/>
        <w:rPr>
          <w:b/>
          <w:bCs/>
          <w:sz w:val="20"/>
          <w:szCs w:val="20"/>
        </w:rPr>
      </w:pPr>
    </w:p>
    <w:p w14:paraId="6BFA64C0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77777777" w:rsidR="00780EEC" w:rsidRPr="00CD5986" w:rsidRDefault="00780EEC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2EF82615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</w:t>
      </w:r>
    </w:p>
    <w:sectPr w:rsidR="00780EEC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96109761">
    <w:abstractNumId w:val="3"/>
  </w:num>
  <w:num w:numId="2" w16cid:durableId="479468695">
    <w:abstractNumId w:val="1"/>
  </w:num>
  <w:num w:numId="3" w16cid:durableId="1595936788">
    <w:abstractNumId w:val="9"/>
  </w:num>
  <w:num w:numId="4" w16cid:durableId="421219661">
    <w:abstractNumId w:val="0"/>
  </w:num>
  <w:num w:numId="5" w16cid:durableId="2144030872">
    <w:abstractNumId w:val="15"/>
  </w:num>
  <w:num w:numId="6" w16cid:durableId="721560607">
    <w:abstractNumId w:val="10"/>
  </w:num>
  <w:num w:numId="7" w16cid:durableId="199705078">
    <w:abstractNumId w:val="14"/>
  </w:num>
  <w:num w:numId="8" w16cid:durableId="1866288562">
    <w:abstractNumId w:val="7"/>
  </w:num>
  <w:num w:numId="9" w16cid:durableId="1397431968">
    <w:abstractNumId w:val="6"/>
  </w:num>
  <w:num w:numId="10" w16cid:durableId="2048873363">
    <w:abstractNumId w:val="16"/>
  </w:num>
  <w:num w:numId="11" w16cid:durableId="729352935">
    <w:abstractNumId w:val="2"/>
  </w:num>
  <w:num w:numId="12" w16cid:durableId="1519588001">
    <w:abstractNumId w:val="4"/>
  </w:num>
  <w:num w:numId="13" w16cid:durableId="346566703">
    <w:abstractNumId w:val="5"/>
  </w:num>
  <w:num w:numId="14" w16cid:durableId="939485637">
    <w:abstractNumId w:val="12"/>
  </w:num>
  <w:num w:numId="15" w16cid:durableId="249701787">
    <w:abstractNumId w:val="13"/>
  </w:num>
  <w:num w:numId="16" w16cid:durableId="1397128194">
    <w:abstractNumId w:val="6"/>
  </w:num>
  <w:num w:numId="17" w16cid:durableId="187765019">
    <w:abstractNumId w:val="11"/>
  </w:num>
  <w:num w:numId="18" w16cid:durableId="1280837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25D1E"/>
    <w:rsid w:val="00045260"/>
    <w:rsid w:val="00053097"/>
    <w:rsid w:val="00064837"/>
    <w:rsid w:val="00081183"/>
    <w:rsid w:val="000C3D65"/>
    <w:rsid w:val="000D1A6B"/>
    <w:rsid w:val="000F2825"/>
    <w:rsid w:val="0010112F"/>
    <w:rsid w:val="00110BC4"/>
    <w:rsid w:val="001B1E97"/>
    <w:rsid w:val="001B4F1E"/>
    <w:rsid w:val="001E163B"/>
    <w:rsid w:val="001F2726"/>
    <w:rsid w:val="002725A3"/>
    <w:rsid w:val="002751C3"/>
    <w:rsid w:val="002766E5"/>
    <w:rsid w:val="00276AEC"/>
    <w:rsid w:val="002828EF"/>
    <w:rsid w:val="0028488C"/>
    <w:rsid w:val="00285DB2"/>
    <w:rsid w:val="002A4959"/>
    <w:rsid w:val="002B082C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9337D"/>
    <w:rsid w:val="003B2BE4"/>
    <w:rsid w:val="003D6D04"/>
    <w:rsid w:val="003E1394"/>
    <w:rsid w:val="003F1CD5"/>
    <w:rsid w:val="00412E9C"/>
    <w:rsid w:val="004271C8"/>
    <w:rsid w:val="0046241C"/>
    <w:rsid w:val="004A7064"/>
    <w:rsid w:val="004B7EF7"/>
    <w:rsid w:val="004C1AFE"/>
    <w:rsid w:val="004C7510"/>
    <w:rsid w:val="004D53CD"/>
    <w:rsid w:val="004E0BB0"/>
    <w:rsid w:val="0051742F"/>
    <w:rsid w:val="005534BE"/>
    <w:rsid w:val="00570277"/>
    <w:rsid w:val="00570ED7"/>
    <w:rsid w:val="005805F2"/>
    <w:rsid w:val="00593B78"/>
    <w:rsid w:val="00594528"/>
    <w:rsid w:val="00597F71"/>
    <w:rsid w:val="005B7320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80EEC"/>
    <w:rsid w:val="007B7E4C"/>
    <w:rsid w:val="007C6F72"/>
    <w:rsid w:val="007E525E"/>
    <w:rsid w:val="008030A6"/>
    <w:rsid w:val="00836434"/>
    <w:rsid w:val="00837B2D"/>
    <w:rsid w:val="00846D05"/>
    <w:rsid w:val="008779F9"/>
    <w:rsid w:val="00885E4D"/>
    <w:rsid w:val="00887FDC"/>
    <w:rsid w:val="008E18CE"/>
    <w:rsid w:val="008E58B3"/>
    <w:rsid w:val="008F44A3"/>
    <w:rsid w:val="00912BF5"/>
    <w:rsid w:val="009230E8"/>
    <w:rsid w:val="009849A1"/>
    <w:rsid w:val="00992106"/>
    <w:rsid w:val="00992480"/>
    <w:rsid w:val="009A22B4"/>
    <w:rsid w:val="009C6587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6A28"/>
    <w:rsid w:val="00BB7259"/>
    <w:rsid w:val="00BD2A3B"/>
    <w:rsid w:val="00BE1751"/>
    <w:rsid w:val="00BE548E"/>
    <w:rsid w:val="00C11D6F"/>
    <w:rsid w:val="00C467A3"/>
    <w:rsid w:val="00C5579D"/>
    <w:rsid w:val="00C64730"/>
    <w:rsid w:val="00C904D5"/>
    <w:rsid w:val="00C905F1"/>
    <w:rsid w:val="00C976E3"/>
    <w:rsid w:val="00CC33E6"/>
    <w:rsid w:val="00CD5986"/>
    <w:rsid w:val="00CE0ABC"/>
    <w:rsid w:val="00CF5853"/>
    <w:rsid w:val="00CF5EBF"/>
    <w:rsid w:val="00D12A99"/>
    <w:rsid w:val="00D323BE"/>
    <w:rsid w:val="00D32F0F"/>
    <w:rsid w:val="00D33854"/>
    <w:rsid w:val="00D52213"/>
    <w:rsid w:val="00D85DD4"/>
    <w:rsid w:val="00D96368"/>
    <w:rsid w:val="00DA60B5"/>
    <w:rsid w:val="00DB5B16"/>
    <w:rsid w:val="00DE773C"/>
    <w:rsid w:val="00E22812"/>
    <w:rsid w:val="00E24341"/>
    <w:rsid w:val="00E46E8A"/>
    <w:rsid w:val="00E545BF"/>
    <w:rsid w:val="00E61EF9"/>
    <w:rsid w:val="00E65A1C"/>
    <w:rsid w:val="00E74142"/>
    <w:rsid w:val="00E74568"/>
    <w:rsid w:val="00E8269A"/>
    <w:rsid w:val="00EA301C"/>
    <w:rsid w:val="00EA321D"/>
    <w:rsid w:val="00EB2B95"/>
    <w:rsid w:val="00EC5524"/>
    <w:rsid w:val="00EE258A"/>
    <w:rsid w:val="00EE7725"/>
    <w:rsid w:val="00F079CA"/>
    <w:rsid w:val="00F227FA"/>
    <w:rsid w:val="00F345E3"/>
    <w:rsid w:val="00F54B22"/>
    <w:rsid w:val="00F54D9F"/>
    <w:rsid w:val="00F63577"/>
    <w:rsid w:val="00F94B9B"/>
    <w:rsid w:val="00FA7460"/>
    <w:rsid w:val="00FC3AC3"/>
    <w:rsid w:val="00FD6167"/>
    <w:rsid w:val="00FE4E6B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Ana Maria Rafaela Ramos Better</cp:lastModifiedBy>
  <cp:revision>20</cp:revision>
  <dcterms:created xsi:type="dcterms:W3CDTF">2024-05-27T14:50:00Z</dcterms:created>
  <dcterms:modified xsi:type="dcterms:W3CDTF">2024-08-21T18:48:00Z</dcterms:modified>
</cp:coreProperties>
</file>