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0863" w14:textId="77777777" w:rsidR="001217A3" w:rsidRDefault="001217A3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36A0C6DC" w14:textId="77777777" w:rsidR="00163F62" w:rsidRDefault="00163F62" w:rsidP="00163F62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50F9BA5E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76F76D3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A2E4BDA" w14:textId="77777777" w:rsidR="00773632" w:rsidRDefault="00773632" w:rsidP="007736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términos acumulados, el intercambio comercial del período enero-diciembre</w:t>
      </w:r>
      <w:r w:rsidR="00C36539">
        <w:rPr>
          <w:rFonts w:ascii="Arial" w:hAnsi="Arial"/>
          <w:sz w:val="22"/>
        </w:rPr>
        <w:t xml:space="preserve"> 2006</w:t>
      </w:r>
      <w:r>
        <w:rPr>
          <w:rFonts w:ascii="Arial" w:hAnsi="Arial"/>
          <w:sz w:val="22"/>
        </w:rPr>
        <w:t xml:space="preserve"> </w:t>
      </w:r>
      <w:r w:rsidR="00606306">
        <w:rPr>
          <w:rFonts w:ascii="Arial" w:hAnsi="Arial"/>
          <w:sz w:val="22"/>
        </w:rPr>
        <w:t>aumentó</w:t>
      </w:r>
      <w:r>
        <w:rPr>
          <w:rFonts w:ascii="Arial" w:hAnsi="Arial"/>
          <w:sz w:val="22"/>
        </w:rPr>
        <w:t xml:space="preserve"> </w:t>
      </w:r>
      <w:r w:rsidR="00C36539">
        <w:rPr>
          <w:rFonts w:ascii="Arial" w:hAnsi="Arial"/>
          <w:sz w:val="22"/>
        </w:rPr>
        <w:t>31</w:t>
      </w:r>
      <w:r>
        <w:rPr>
          <w:rFonts w:ascii="Arial" w:hAnsi="Arial"/>
          <w:sz w:val="22"/>
        </w:rPr>
        <w:t>,</w:t>
      </w:r>
      <w:r w:rsidR="00A6651F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%</w:t>
      </w:r>
      <w:r w:rsidR="00606306">
        <w:rPr>
          <w:rFonts w:ascii="Arial" w:hAnsi="Arial"/>
          <w:sz w:val="22"/>
        </w:rPr>
        <w:t xml:space="preserve"> respecto al 200</w:t>
      </w:r>
      <w:r w:rsidR="00C3653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, destacando el mayor </w:t>
      </w:r>
      <w:r w:rsidR="00606306">
        <w:rPr>
          <w:rFonts w:ascii="Arial" w:hAnsi="Arial"/>
          <w:sz w:val="22"/>
        </w:rPr>
        <w:t xml:space="preserve">aumento </w:t>
      </w:r>
      <w:r>
        <w:rPr>
          <w:rFonts w:ascii="Arial" w:hAnsi="Arial"/>
          <w:sz w:val="22"/>
        </w:rPr>
        <w:t xml:space="preserve">de las </w:t>
      </w:r>
      <w:r w:rsidR="00C36539">
        <w:rPr>
          <w:rFonts w:ascii="Arial" w:hAnsi="Arial"/>
          <w:sz w:val="22"/>
        </w:rPr>
        <w:t>ex</w:t>
      </w:r>
      <w:r>
        <w:rPr>
          <w:rFonts w:ascii="Arial" w:hAnsi="Arial"/>
          <w:sz w:val="22"/>
        </w:rPr>
        <w:t>portaciones (</w:t>
      </w:r>
      <w:r w:rsidR="00C36539">
        <w:rPr>
          <w:rFonts w:ascii="Arial" w:hAnsi="Arial"/>
          <w:sz w:val="22"/>
        </w:rPr>
        <w:t>37,6</w:t>
      </w:r>
      <w:r>
        <w:rPr>
          <w:rFonts w:ascii="Arial" w:hAnsi="Arial"/>
          <w:sz w:val="22"/>
        </w:rPr>
        <w:t>%)</w:t>
      </w:r>
      <w:r w:rsidR="00C36539">
        <w:rPr>
          <w:rFonts w:ascii="Arial" w:hAnsi="Arial"/>
          <w:sz w:val="22"/>
        </w:rPr>
        <w:t xml:space="preserve"> r</w:t>
      </w:r>
      <w:r>
        <w:rPr>
          <w:rFonts w:ascii="Arial" w:hAnsi="Arial"/>
          <w:sz w:val="22"/>
        </w:rPr>
        <w:t xml:space="preserve">especto de las </w:t>
      </w:r>
      <w:r w:rsidR="00C36539">
        <w:rPr>
          <w:rFonts w:ascii="Arial" w:hAnsi="Arial"/>
          <w:sz w:val="22"/>
        </w:rPr>
        <w:t>im</w:t>
      </w:r>
      <w:r>
        <w:rPr>
          <w:rFonts w:ascii="Arial" w:hAnsi="Arial"/>
          <w:sz w:val="22"/>
        </w:rPr>
        <w:t>portaciones (</w:t>
      </w:r>
      <w:r w:rsidR="00C36539">
        <w:rPr>
          <w:rFonts w:ascii="Arial" w:hAnsi="Arial"/>
          <w:sz w:val="22"/>
        </w:rPr>
        <w:t>22</w:t>
      </w:r>
      <w:r w:rsidR="00606306">
        <w:rPr>
          <w:rFonts w:ascii="Arial" w:hAnsi="Arial"/>
          <w:sz w:val="22"/>
        </w:rPr>
        <w:t>,</w:t>
      </w:r>
      <w:r w:rsidR="00A6651F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%), debido al contexto internacional favorable que caracterizó a la mayor parte del 200</w:t>
      </w:r>
      <w:r w:rsidR="00C36539">
        <w:rPr>
          <w:rFonts w:ascii="Arial" w:hAnsi="Arial"/>
          <w:sz w:val="22"/>
        </w:rPr>
        <w:t>6</w:t>
      </w:r>
      <w:r w:rsidR="00C962E2">
        <w:rPr>
          <w:rFonts w:ascii="Arial" w:hAnsi="Arial"/>
          <w:sz w:val="22"/>
        </w:rPr>
        <w:t>.</w:t>
      </w:r>
    </w:p>
    <w:p w14:paraId="4D20C3CF" w14:textId="77777777" w:rsidR="00163F62" w:rsidRPr="00E75F90" w:rsidRDefault="00163F62" w:rsidP="00163F62">
      <w:pPr>
        <w:jc w:val="both"/>
        <w:rPr>
          <w:rFonts w:ascii="Arial" w:hAnsi="Arial" w:cs="Arial"/>
          <w:bCs/>
          <w:iCs/>
          <w:sz w:val="22"/>
          <w:szCs w:val="19"/>
          <w:lang w:val="es-ES_tradnl"/>
        </w:rPr>
      </w:pPr>
      <w:r w:rsidRPr="00E75F90">
        <w:rPr>
          <w:rFonts w:ascii="Arial" w:hAnsi="Arial" w:cs="Arial"/>
          <w:bCs/>
          <w:iCs/>
          <w:sz w:val="22"/>
          <w:szCs w:val="19"/>
          <w:lang w:val="es-ES_tradnl"/>
        </w:rPr>
        <w:t xml:space="preserve"> </w:t>
      </w:r>
    </w:p>
    <w:p w14:paraId="7D04BF53" w14:textId="77777777" w:rsidR="00163F62" w:rsidRDefault="00163F62" w:rsidP="00163F62">
      <w:pPr>
        <w:jc w:val="both"/>
        <w:rPr>
          <w:rFonts w:ascii="Arial" w:hAnsi="Arial" w:cs="Arial"/>
          <w:lang w:val="es-ES_tradnl"/>
        </w:rPr>
      </w:pPr>
    </w:p>
    <w:p w14:paraId="3A2CDF45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enero-diciembre de 200</w:t>
      </w:r>
      <w:r w:rsidR="00BA1B3B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las exportaciones sumaron US$ </w:t>
      </w:r>
      <w:r w:rsidR="00C36539">
        <w:rPr>
          <w:rFonts w:ascii="Arial" w:hAnsi="Arial" w:cs="Arial"/>
          <w:sz w:val="22"/>
        </w:rPr>
        <w:t>23</w:t>
      </w:r>
      <w:r w:rsidR="00D36515">
        <w:rPr>
          <w:rFonts w:ascii="Arial" w:hAnsi="Arial" w:cs="Arial"/>
          <w:sz w:val="22"/>
        </w:rPr>
        <w:t xml:space="preserve"> </w:t>
      </w:r>
      <w:r w:rsidR="00A6651F">
        <w:rPr>
          <w:rFonts w:ascii="Arial" w:hAnsi="Arial" w:cs="Arial"/>
          <w:sz w:val="22"/>
        </w:rPr>
        <w:t>798</w:t>
      </w:r>
      <w:r>
        <w:rPr>
          <w:rFonts w:ascii="Arial" w:hAnsi="Arial" w:cs="Arial"/>
          <w:sz w:val="22"/>
        </w:rPr>
        <w:t xml:space="preserve"> millones, monto que representó un </w:t>
      </w:r>
      <w:r w:rsidR="00606306">
        <w:rPr>
          <w:rFonts w:ascii="Arial" w:hAnsi="Arial" w:cs="Arial"/>
          <w:sz w:val="22"/>
        </w:rPr>
        <w:t xml:space="preserve">aumento </w:t>
      </w:r>
      <w:r>
        <w:rPr>
          <w:rFonts w:ascii="Arial" w:hAnsi="Arial" w:cs="Arial"/>
          <w:sz w:val="22"/>
        </w:rPr>
        <w:t xml:space="preserve">de </w:t>
      </w:r>
      <w:r w:rsidR="00C36539">
        <w:rPr>
          <w:rFonts w:ascii="Arial" w:hAnsi="Arial" w:cs="Arial"/>
          <w:sz w:val="22"/>
        </w:rPr>
        <w:t>37</w:t>
      </w:r>
      <w:r>
        <w:rPr>
          <w:rFonts w:ascii="Arial" w:hAnsi="Arial" w:cs="Arial"/>
          <w:sz w:val="22"/>
        </w:rPr>
        <w:t>,</w:t>
      </w:r>
      <w:r w:rsidR="00C36539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% </w:t>
      </w:r>
      <w:proofErr w:type="gramStart"/>
      <w:r>
        <w:rPr>
          <w:rFonts w:ascii="Arial" w:hAnsi="Arial" w:cs="Arial"/>
          <w:sz w:val="22"/>
        </w:rPr>
        <w:t>en relación a</w:t>
      </w:r>
      <w:proofErr w:type="gramEnd"/>
      <w:r>
        <w:rPr>
          <w:rFonts w:ascii="Arial" w:hAnsi="Arial" w:cs="Arial"/>
          <w:sz w:val="22"/>
        </w:rPr>
        <w:t xml:space="preserve"> similar período del año anterior. </w:t>
      </w:r>
      <w:r w:rsidR="00A6651F">
        <w:rPr>
          <w:rFonts w:ascii="Arial" w:hAnsi="Arial" w:cs="Arial"/>
          <w:sz w:val="22"/>
        </w:rPr>
        <w:t>El incremento</w:t>
      </w:r>
      <w:r w:rsidR="0060630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 valor exportado en el período fue liderad</w:t>
      </w:r>
      <w:r w:rsidR="00606306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por el sector </w:t>
      </w:r>
      <w:r w:rsidR="00C36539">
        <w:rPr>
          <w:rFonts w:ascii="Arial" w:hAnsi="Arial" w:cs="Arial"/>
          <w:sz w:val="22"/>
        </w:rPr>
        <w:t>agrícola (73,</w:t>
      </w:r>
      <w:r w:rsidR="00A6651F">
        <w:rPr>
          <w:rFonts w:ascii="Arial" w:hAnsi="Arial" w:cs="Arial"/>
          <w:sz w:val="22"/>
        </w:rPr>
        <w:t>2%</w:t>
      </w:r>
      <w:r w:rsidR="00C36539">
        <w:rPr>
          <w:rFonts w:ascii="Arial" w:hAnsi="Arial" w:cs="Arial"/>
          <w:sz w:val="22"/>
        </w:rPr>
        <w:t xml:space="preserve">) seguido del minero (50,2%), </w:t>
      </w:r>
      <w:r w:rsidR="00606306">
        <w:rPr>
          <w:rFonts w:ascii="Arial" w:hAnsi="Arial" w:cs="Arial"/>
          <w:sz w:val="22"/>
        </w:rPr>
        <w:t xml:space="preserve">petróleo y gas natural </w:t>
      </w:r>
      <w:r>
        <w:rPr>
          <w:rFonts w:ascii="Arial" w:hAnsi="Arial" w:cs="Arial"/>
          <w:sz w:val="22"/>
        </w:rPr>
        <w:t>(</w:t>
      </w:r>
      <w:r w:rsidR="00C36539">
        <w:rPr>
          <w:rFonts w:ascii="Arial" w:hAnsi="Arial" w:cs="Arial"/>
          <w:sz w:val="22"/>
        </w:rPr>
        <w:t>19</w:t>
      </w:r>
      <w:r w:rsidR="00606306">
        <w:rPr>
          <w:rFonts w:ascii="Arial" w:hAnsi="Arial" w:cs="Arial"/>
          <w:sz w:val="22"/>
        </w:rPr>
        <w:t>,</w:t>
      </w:r>
      <w:r w:rsidR="00C36539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%) y </w:t>
      </w:r>
      <w:r w:rsidR="00C36539">
        <w:rPr>
          <w:rFonts w:ascii="Arial" w:hAnsi="Arial" w:cs="Arial"/>
          <w:sz w:val="22"/>
        </w:rPr>
        <w:t xml:space="preserve">pesquero </w:t>
      </w:r>
      <w:r>
        <w:rPr>
          <w:rFonts w:ascii="Arial" w:hAnsi="Arial" w:cs="Arial"/>
          <w:sz w:val="22"/>
        </w:rPr>
        <w:t>(</w:t>
      </w:r>
      <w:r w:rsidR="00C36539">
        <w:rPr>
          <w:rFonts w:ascii="Arial" w:hAnsi="Arial" w:cs="Arial"/>
          <w:sz w:val="22"/>
        </w:rPr>
        <w:t>2,</w:t>
      </w:r>
      <w:r w:rsidR="00A6651F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%)</w:t>
      </w:r>
      <w:r w:rsidR="00C36539">
        <w:rPr>
          <w:rFonts w:ascii="Arial" w:hAnsi="Arial" w:cs="Arial"/>
          <w:sz w:val="22"/>
        </w:rPr>
        <w:t>.</w:t>
      </w:r>
      <w:r w:rsidR="004B4E6E">
        <w:rPr>
          <w:rFonts w:ascii="Arial" w:hAnsi="Arial" w:cs="Arial"/>
          <w:sz w:val="22"/>
        </w:rPr>
        <w:t xml:space="preserve"> </w:t>
      </w:r>
    </w:p>
    <w:p w14:paraId="667E2751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0B732AF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términos acumulados las importaciones del período enero-diciembre </w:t>
      </w:r>
      <w:r w:rsidR="00C36539">
        <w:rPr>
          <w:rFonts w:ascii="Arial" w:hAnsi="Arial" w:cs="Arial"/>
          <w:sz w:val="22"/>
        </w:rPr>
        <w:t>sumaron 15 29</w:t>
      </w:r>
      <w:r w:rsidR="00A6651F">
        <w:rPr>
          <w:rFonts w:ascii="Arial" w:hAnsi="Arial" w:cs="Arial"/>
          <w:sz w:val="22"/>
        </w:rPr>
        <w:t>5</w:t>
      </w:r>
      <w:r w:rsidR="00C36539">
        <w:rPr>
          <w:rFonts w:ascii="Arial" w:hAnsi="Arial" w:cs="Arial"/>
          <w:sz w:val="22"/>
        </w:rPr>
        <w:t xml:space="preserve"> millones aumentando en 22,</w:t>
      </w:r>
      <w:r w:rsidR="00A6651F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%</w:t>
      </w:r>
      <w:r w:rsidR="00771FA8">
        <w:rPr>
          <w:rFonts w:ascii="Arial" w:hAnsi="Arial" w:cs="Arial"/>
          <w:sz w:val="22"/>
        </w:rPr>
        <w:t xml:space="preserve"> respecto al año anterior</w:t>
      </w:r>
      <w:r>
        <w:rPr>
          <w:rFonts w:ascii="Arial" w:hAnsi="Arial" w:cs="Arial"/>
          <w:sz w:val="22"/>
        </w:rPr>
        <w:t xml:space="preserve">, destacando </w:t>
      </w:r>
      <w:r w:rsidR="00C36539">
        <w:rPr>
          <w:rFonts w:ascii="Arial" w:hAnsi="Arial" w:cs="Arial"/>
          <w:sz w:val="22"/>
        </w:rPr>
        <w:t>diversos (2</w:t>
      </w:r>
      <w:r w:rsidR="00A6651F">
        <w:rPr>
          <w:rFonts w:ascii="Arial" w:hAnsi="Arial" w:cs="Arial"/>
          <w:sz w:val="22"/>
        </w:rPr>
        <w:t>14</w:t>
      </w:r>
      <w:r w:rsidR="00C36539">
        <w:rPr>
          <w:rFonts w:ascii="Arial" w:hAnsi="Arial" w:cs="Arial"/>
          <w:sz w:val="22"/>
        </w:rPr>
        <w:t>,</w:t>
      </w:r>
      <w:r w:rsidR="00A6651F">
        <w:rPr>
          <w:rFonts w:ascii="Arial" w:hAnsi="Arial" w:cs="Arial"/>
          <w:sz w:val="22"/>
        </w:rPr>
        <w:t>2</w:t>
      </w:r>
      <w:r w:rsidR="00C36539">
        <w:rPr>
          <w:rFonts w:ascii="Arial" w:hAnsi="Arial" w:cs="Arial"/>
          <w:sz w:val="22"/>
        </w:rPr>
        <w:t xml:space="preserve">%) seguido de </w:t>
      </w:r>
      <w:r w:rsidR="00A7075C">
        <w:rPr>
          <w:rFonts w:ascii="Arial" w:hAnsi="Arial" w:cs="Arial"/>
          <w:sz w:val="22"/>
        </w:rPr>
        <w:t>bienes de capital y materiales de construcción (</w:t>
      </w:r>
      <w:r w:rsidR="00C36539">
        <w:rPr>
          <w:rFonts w:ascii="Arial" w:hAnsi="Arial" w:cs="Arial"/>
          <w:sz w:val="22"/>
        </w:rPr>
        <w:t>35</w:t>
      </w:r>
      <w:r w:rsidR="00A7075C">
        <w:rPr>
          <w:rFonts w:ascii="Arial" w:hAnsi="Arial" w:cs="Arial"/>
          <w:sz w:val="22"/>
        </w:rPr>
        <w:t>,</w:t>
      </w:r>
      <w:r w:rsidR="00A6651F">
        <w:rPr>
          <w:rFonts w:ascii="Arial" w:hAnsi="Arial" w:cs="Arial"/>
          <w:sz w:val="22"/>
        </w:rPr>
        <w:t>8</w:t>
      </w:r>
      <w:r w:rsidR="00A7075C">
        <w:rPr>
          <w:rFonts w:ascii="Arial" w:hAnsi="Arial" w:cs="Arial"/>
          <w:sz w:val="22"/>
        </w:rPr>
        <w:t xml:space="preserve">%), </w:t>
      </w:r>
      <w:r>
        <w:rPr>
          <w:rFonts w:ascii="Arial" w:hAnsi="Arial" w:cs="Arial"/>
          <w:sz w:val="22"/>
        </w:rPr>
        <w:t>materias primas y productos intermedios (</w:t>
      </w:r>
      <w:r w:rsidR="00C36539">
        <w:rPr>
          <w:rFonts w:ascii="Arial" w:hAnsi="Arial" w:cs="Arial"/>
          <w:sz w:val="22"/>
        </w:rPr>
        <w:t>19,</w:t>
      </w:r>
      <w:r w:rsidR="00A6651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%) y bienes de consumo (</w:t>
      </w:r>
      <w:r w:rsidR="00C36539">
        <w:rPr>
          <w:rFonts w:ascii="Arial" w:hAnsi="Arial" w:cs="Arial"/>
          <w:sz w:val="22"/>
        </w:rPr>
        <w:t>14</w:t>
      </w:r>
      <w:r w:rsidR="00A7075C">
        <w:rPr>
          <w:rFonts w:ascii="Arial" w:hAnsi="Arial" w:cs="Arial"/>
          <w:sz w:val="22"/>
        </w:rPr>
        <w:t>,</w:t>
      </w:r>
      <w:r w:rsidR="00A6651F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%).</w:t>
      </w:r>
    </w:p>
    <w:p w14:paraId="5F201866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D54DD10" w14:textId="77777777" w:rsidR="00163F62" w:rsidRDefault="00163F62" w:rsidP="00163F62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</w:t>
      </w:r>
      <w:proofErr w:type="gramStart"/>
      <w:r w:rsidR="0045787F">
        <w:rPr>
          <w:rFonts w:ascii="Arial" w:hAnsi="Arial" w:cs="Arial"/>
          <w:sz w:val="24"/>
          <w:szCs w:val="24"/>
        </w:rPr>
        <w:t>Febrero</w:t>
      </w:r>
      <w:proofErr w:type="gramEnd"/>
      <w:r w:rsidR="00A6651F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14:paraId="6BB1B11C" w14:textId="77777777" w:rsidR="00163F62" w:rsidRDefault="00163F62" w:rsidP="00163F62"/>
    <w:p w14:paraId="1AE47A95" w14:textId="77777777" w:rsidR="001217A3" w:rsidRDefault="001217A3" w:rsidP="00163F62">
      <w:pPr>
        <w:pStyle w:val="jose"/>
        <w:ind w:left="142" w:right="0"/>
        <w:jc w:val="center"/>
        <w:rPr>
          <w:rFonts w:ascii="Arial" w:hAnsi="Arial" w:cs="Arial"/>
          <w:bCs/>
        </w:rPr>
      </w:pPr>
    </w:p>
    <w:sectPr w:rsidR="00121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36625493">
    <w:abstractNumId w:val="3"/>
  </w:num>
  <w:num w:numId="2" w16cid:durableId="2079668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430739">
    <w:abstractNumId w:val="0"/>
  </w:num>
  <w:num w:numId="4" w16cid:durableId="2078280698">
    <w:abstractNumId w:val="0"/>
  </w:num>
  <w:num w:numId="5" w16cid:durableId="489835011">
    <w:abstractNumId w:val="0"/>
    <w:lvlOverride w:ilvl="0"/>
  </w:num>
  <w:num w:numId="6" w16cid:durableId="253325269">
    <w:abstractNumId w:val="1"/>
  </w:num>
  <w:num w:numId="7" w16cid:durableId="504051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6369746">
    <w:abstractNumId w:val="2"/>
  </w:num>
  <w:num w:numId="9" w16cid:durableId="12730567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1217A3"/>
    <w:rsid w:val="00163F62"/>
    <w:rsid w:val="001C125E"/>
    <w:rsid w:val="00204BAD"/>
    <w:rsid w:val="002C4AD1"/>
    <w:rsid w:val="0045787F"/>
    <w:rsid w:val="00496F3E"/>
    <w:rsid w:val="004B4E6E"/>
    <w:rsid w:val="005047D7"/>
    <w:rsid w:val="00567515"/>
    <w:rsid w:val="005D6485"/>
    <w:rsid w:val="00606306"/>
    <w:rsid w:val="00770833"/>
    <w:rsid w:val="00771FA8"/>
    <w:rsid w:val="00773632"/>
    <w:rsid w:val="008064F9"/>
    <w:rsid w:val="008454B6"/>
    <w:rsid w:val="008923B9"/>
    <w:rsid w:val="00A6651F"/>
    <w:rsid w:val="00A7075C"/>
    <w:rsid w:val="00B71BBD"/>
    <w:rsid w:val="00BA1B3B"/>
    <w:rsid w:val="00C36539"/>
    <w:rsid w:val="00C51D2E"/>
    <w:rsid w:val="00C962E2"/>
    <w:rsid w:val="00D35336"/>
    <w:rsid w:val="00D36515"/>
    <w:rsid w:val="00DE5A50"/>
    <w:rsid w:val="00DF7573"/>
    <w:rsid w:val="00E75F90"/>
    <w:rsid w:val="00EC1677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791563"/>
  <w15:chartTrackingRefBased/>
  <w15:docId w15:val="{542ADA7C-E678-47A2-9740-9655AF86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2025-06-12T20:55:00Z</dcterms:created>
  <dcterms:modified xsi:type="dcterms:W3CDTF">2025-06-12T20:55:00Z</dcterms:modified>
</cp:coreProperties>
</file>