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2FBAB" w14:textId="77777777" w:rsidR="001217A3" w:rsidRDefault="001217A3">
      <w:pPr>
        <w:pStyle w:val="jose"/>
        <w:ind w:left="284" w:right="0"/>
        <w:jc w:val="center"/>
        <w:rPr>
          <w:rFonts w:ascii="Arial" w:hAnsi="Arial" w:cs="Arial"/>
          <w:b/>
        </w:rPr>
      </w:pPr>
    </w:p>
    <w:p w14:paraId="79ADC4AE" w14:textId="77777777" w:rsidR="00163F62" w:rsidRDefault="00163F62" w:rsidP="00163F62">
      <w:pPr>
        <w:pStyle w:val="jose"/>
        <w:ind w:left="0" w:right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PRESENTACIÓN</w:t>
      </w:r>
    </w:p>
    <w:p w14:paraId="1A5F4744" w14:textId="77777777" w:rsidR="00163F62" w:rsidRDefault="00163F62" w:rsidP="00163F6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543DBF83" w14:textId="77777777" w:rsidR="00163F62" w:rsidRDefault="00163F62" w:rsidP="00163F62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5FE8ED30" w14:textId="77777777" w:rsidR="00163F62" w:rsidRPr="00F11047" w:rsidRDefault="00773632" w:rsidP="00163F6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 términos acumulados, el intercambio comercial del período enero-diciembre </w:t>
      </w:r>
      <w:r w:rsidR="003716F8">
        <w:rPr>
          <w:rFonts w:ascii="Arial" w:hAnsi="Arial"/>
          <w:sz w:val="22"/>
        </w:rPr>
        <w:t>aumentó 25</w:t>
      </w:r>
      <w:r>
        <w:rPr>
          <w:rFonts w:ascii="Arial" w:hAnsi="Arial"/>
          <w:sz w:val="22"/>
        </w:rPr>
        <w:t>,</w:t>
      </w:r>
      <w:r w:rsidR="00F11047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>%</w:t>
      </w:r>
      <w:r w:rsidR="00606306">
        <w:rPr>
          <w:rFonts w:ascii="Arial" w:hAnsi="Arial"/>
          <w:sz w:val="22"/>
        </w:rPr>
        <w:t xml:space="preserve"> respecto al 2007</w:t>
      </w:r>
      <w:r>
        <w:rPr>
          <w:rFonts w:ascii="Arial" w:hAnsi="Arial"/>
          <w:sz w:val="22"/>
        </w:rPr>
        <w:t xml:space="preserve">, destacando el mayor </w:t>
      </w:r>
      <w:r w:rsidR="00606306">
        <w:rPr>
          <w:rFonts w:ascii="Arial" w:hAnsi="Arial"/>
          <w:sz w:val="22"/>
        </w:rPr>
        <w:t xml:space="preserve">aumento </w:t>
      </w:r>
      <w:r>
        <w:rPr>
          <w:rFonts w:ascii="Arial" w:hAnsi="Arial"/>
          <w:sz w:val="22"/>
        </w:rPr>
        <w:t>de las importaciones (</w:t>
      </w:r>
      <w:r w:rsidR="00606306">
        <w:rPr>
          <w:rFonts w:ascii="Arial" w:hAnsi="Arial"/>
          <w:sz w:val="22"/>
        </w:rPr>
        <w:t>46</w:t>
      </w:r>
      <w:r>
        <w:rPr>
          <w:rFonts w:ascii="Arial" w:hAnsi="Arial"/>
          <w:sz w:val="22"/>
        </w:rPr>
        <w:t>,</w:t>
      </w:r>
      <w:r w:rsidR="00F11047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%) respecto de las exportaciones (</w:t>
      </w:r>
      <w:r w:rsidR="00D36515">
        <w:rPr>
          <w:rFonts w:ascii="Arial" w:hAnsi="Arial"/>
          <w:sz w:val="22"/>
        </w:rPr>
        <w:t>1</w:t>
      </w:r>
      <w:r w:rsidR="00606306">
        <w:rPr>
          <w:rFonts w:ascii="Arial" w:hAnsi="Arial"/>
          <w:sz w:val="22"/>
        </w:rPr>
        <w:t>0,</w:t>
      </w:r>
      <w:r w:rsidR="00F11047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%), debido al contexto internacional desfavorable que caracterizó a la mayor parte del 200</w:t>
      </w:r>
      <w:r w:rsidR="00606306">
        <w:rPr>
          <w:rFonts w:ascii="Arial" w:hAnsi="Arial"/>
          <w:sz w:val="22"/>
        </w:rPr>
        <w:t>8</w:t>
      </w:r>
      <w:r w:rsidR="00163F62" w:rsidRPr="00E75F90">
        <w:rPr>
          <w:rFonts w:ascii="Arial" w:hAnsi="Arial" w:cs="Arial"/>
          <w:bCs/>
          <w:iCs/>
          <w:sz w:val="22"/>
          <w:szCs w:val="19"/>
          <w:lang w:val="es-ES_tradnl"/>
        </w:rPr>
        <w:t xml:space="preserve">. </w:t>
      </w:r>
    </w:p>
    <w:p w14:paraId="05E03A29" w14:textId="77777777" w:rsidR="00163F62" w:rsidRDefault="00163F62" w:rsidP="00163F62">
      <w:pPr>
        <w:jc w:val="both"/>
        <w:rPr>
          <w:rFonts w:ascii="Arial" w:hAnsi="Arial" w:cs="Arial"/>
          <w:lang w:val="es-ES_tradnl"/>
        </w:rPr>
      </w:pPr>
    </w:p>
    <w:p w14:paraId="0623E3B5" w14:textId="77777777" w:rsidR="00773632" w:rsidRDefault="00773632" w:rsidP="0077363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 enero-diciembre de 200</w:t>
      </w:r>
      <w:r w:rsidR="00606306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 las exportaciones sumaron US$ </w:t>
      </w:r>
      <w:r w:rsidR="00606306">
        <w:rPr>
          <w:rFonts w:ascii="Arial" w:hAnsi="Arial" w:cs="Arial"/>
          <w:sz w:val="22"/>
        </w:rPr>
        <w:t>31</w:t>
      </w:r>
      <w:r w:rsidR="00D36515">
        <w:rPr>
          <w:rFonts w:ascii="Arial" w:hAnsi="Arial" w:cs="Arial"/>
          <w:sz w:val="22"/>
        </w:rPr>
        <w:t xml:space="preserve"> </w:t>
      </w:r>
      <w:r w:rsidR="00606306">
        <w:rPr>
          <w:rFonts w:ascii="Arial" w:hAnsi="Arial" w:cs="Arial"/>
          <w:sz w:val="22"/>
        </w:rPr>
        <w:t>00</w:t>
      </w:r>
      <w:r w:rsidR="00F11047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 xml:space="preserve"> millones, monto que representó un </w:t>
      </w:r>
      <w:r w:rsidR="00606306">
        <w:rPr>
          <w:rFonts w:ascii="Arial" w:hAnsi="Arial" w:cs="Arial"/>
          <w:sz w:val="22"/>
        </w:rPr>
        <w:t xml:space="preserve">aumento </w:t>
      </w:r>
      <w:r>
        <w:rPr>
          <w:rFonts w:ascii="Arial" w:hAnsi="Arial" w:cs="Arial"/>
          <w:sz w:val="22"/>
        </w:rPr>
        <w:t>de 1</w:t>
      </w:r>
      <w:r w:rsidR="00606306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,</w:t>
      </w:r>
      <w:r w:rsidR="00F11047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% en relación a similar período del año anterior. </w:t>
      </w:r>
      <w:r w:rsidR="00F11047">
        <w:rPr>
          <w:rFonts w:ascii="Arial" w:hAnsi="Arial" w:cs="Arial"/>
          <w:sz w:val="22"/>
        </w:rPr>
        <w:t>El incremento</w:t>
      </w:r>
      <w:r w:rsidR="0060630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del valor exportado en el período fue liderad</w:t>
      </w:r>
      <w:r w:rsidR="00606306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por el sector </w:t>
      </w:r>
      <w:r w:rsidR="00606306">
        <w:rPr>
          <w:rFonts w:ascii="Arial" w:hAnsi="Arial" w:cs="Arial"/>
          <w:sz w:val="22"/>
        </w:rPr>
        <w:t>agrícola</w:t>
      </w:r>
      <w:r>
        <w:rPr>
          <w:rFonts w:ascii="Arial" w:hAnsi="Arial" w:cs="Arial"/>
          <w:sz w:val="22"/>
        </w:rPr>
        <w:t xml:space="preserve"> (</w:t>
      </w:r>
      <w:r w:rsidR="00606306">
        <w:rPr>
          <w:rFonts w:ascii="Arial" w:hAnsi="Arial" w:cs="Arial"/>
          <w:sz w:val="22"/>
        </w:rPr>
        <w:t>4</w:t>
      </w:r>
      <w:r w:rsidR="00F11047">
        <w:rPr>
          <w:rFonts w:ascii="Arial" w:hAnsi="Arial" w:cs="Arial"/>
          <w:sz w:val="22"/>
        </w:rPr>
        <w:t>9</w:t>
      </w:r>
      <w:r w:rsidR="00606306">
        <w:rPr>
          <w:rFonts w:ascii="Arial" w:hAnsi="Arial" w:cs="Arial"/>
          <w:sz w:val="22"/>
        </w:rPr>
        <w:t>,</w:t>
      </w:r>
      <w:r w:rsidR="00F11047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%</w:t>
      </w:r>
      <w:r w:rsidR="00F11047">
        <w:rPr>
          <w:rFonts w:ascii="Arial" w:hAnsi="Arial" w:cs="Arial"/>
          <w:sz w:val="22"/>
        </w:rPr>
        <w:t>), seguido</w:t>
      </w:r>
      <w:r w:rsidR="00606306">
        <w:rPr>
          <w:rFonts w:ascii="Arial" w:hAnsi="Arial" w:cs="Arial"/>
          <w:sz w:val="22"/>
        </w:rPr>
        <w:t xml:space="preserve"> del pesquero </w:t>
      </w:r>
      <w:r>
        <w:rPr>
          <w:rFonts w:ascii="Arial" w:hAnsi="Arial" w:cs="Arial"/>
          <w:sz w:val="22"/>
        </w:rPr>
        <w:t>(</w:t>
      </w:r>
      <w:r w:rsidR="00606306">
        <w:rPr>
          <w:rFonts w:ascii="Arial" w:hAnsi="Arial" w:cs="Arial"/>
          <w:sz w:val="22"/>
        </w:rPr>
        <w:t>23,0</w:t>
      </w:r>
      <w:r>
        <w:rPr>
          <w:rFonts w:ascii="Arial" w:hAnsi="Arial" w:cs="Arial"/>
          <w:sz w:val="22"/>
        </w:rPr>
        <w:t xml:space="preserve">%), </w:t>
      </w:r>
      <w:r w:rsidR="00606306">
        <w:rPr>
          <w:rFonts w:ascii="Arial" w:hAnsi="Arial" w:cs="Arial"/>
          <w:sz w:val="22"/>
        </w:rPr>
        <w:t xml:space="preserve">petróleo y gas natural </w:t>
      </w:r>
      <w:r>
        <w:rPr>
          <w:rFonts w:ascii="Arial" w:hAnsi="Arial" w:cs="Arial"/>
          <w:sz w:val="22"/>
        </w:rPr>
        <w:t>(</w:t>
      </w:r>
      <w:r w:rsidR="00606306">
        <w:rPr>
          <w:rFonts w:ascii="Arial" w:hAnsi="Arial" w:cs="Arial"/>
          <w:sz w:val="22"/>
        </w:rPr>
        <w:t>16,</w:t>
      </w:r>
      <w:r w:rsidR="00F11047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%) y </w:t>
      </w:r>
      <w:r w:rsidR="00606306">
        <w:rPr>
          <w:rFonts w:ascii="Arial" w:hAnsi="Arial" w:cs="Arial"/>
          <w:sz w:val="22"/>
        </w:rPr>
        <w:t xml:space="preserve">minero </w:t>
      </w:r>
      <w:r>
        <w:rPr>
          <w:rFonts w:ascii="Arial" w:hAnsi="Arial" w:cs="Arial"/>
          <w:sz w:val="22"/>
        </w:rPr>
        <w:t>(</w:t>
      </w:r>
      <w:r w:rsidR="00606306">
        <w:rPr>
          <w:rFonts w:ascii="Arial" w:hAnsi="Arial" w:cs="Arial"/>
          <w:sz w:val="22"/>
        </w:rPr>
        <w:t>3,</w:t>
      </w:r>
      <w:r w:rsidR="00F11047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>%).</w:t>
      </w:r>
    </w:p>
    <w:p w14:paraId="29E33BB2" w14:textId="77777777" w:rsidR="00773632" w:rsidRDefault="00773632" w:rsidP="0077363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D75E433" w14:textId="77777777" w:rsidR="00773632" w:rsidRDefault="00773632" w:rsidP="0077363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 términos acumulados las importaciones del período enero-diciembre </w:t>
      </w:r>
      <w:r w:rsidR="00F11047">
        <w:rPr>
          <w:rFonts w:ascii="Arial" w:hAnsi="Arial" w:cs="Arial"/>
          <w:sz w:val="22"/>
        </w:rPr>
        <w:t>aumentaron 46</w:t>
      </w:r>
      <w:r>
        <w:rPr>
          <w:rFonts w:ascii="Arial" w:hAnsi="Arial" w:cs="Arial"/>
          <w:sz w:val="22"/>
        </w:rPr>
        <w:t>,</w:t>
      </w:r>
      <w:r w:rsidR="00F11047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%</w:t>
      </w:r>
      <w:r w:rsidR="00771FA8">
        <w:rPr>
          <w:rFonts w:ascii="Arial" w:hAnsi="Arial" w:cs="Arial"/>
          <w:sz w:val="22"/>
        </w:rPr>
        <w:t xml:space="preserve"> respecto al año anterior</w:t>
      </w:r>
      <w:r>
        <w:rPr>
          <w:rFonts w:ascii="Arial" w:hAnsi="Arial" w:cs="Arial"/>
          <w:sz w:val="22"/>
        </w:rPr>
        <w:t xml:space="preserve">, destacando </w:t>
      </w:r>
      <w:r w:rsidR="00A7075C">
        <w:rPr>
          <w:rFonts w:ascii="Arial" w:hAnsi="Arial" w:cs="Arial"/>
          <w:sz w:val="22"/>
        </w:rPr>
        <w:t xml:space="preserve">bienes de capital y materiales de construcción (59,2%), </w:t>
      </w:r>
      <w:r>
        <w:rPr>
          <w:rFonts w:ascii="Arial" w:hAnsi="Arial" w:cs="Arial"/>
          <w:sz w:val="22"/>
        </w:rPr>
        <w:t>materias primas y productos intermedios (3</w:t>
      </w:r>
      <w:r w:rsidR="00A7075C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>,</w:t>
      </w:r>
      <w:r w:rsidR="00F11047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>%), seguidas por los bienes de consumo (</w:t>
      </w:r>
      <w:r w:rsidR="00A7075C">
        <w:rPr>
          <w:rFonts w:ascii="Arial" w:hAnsi="Arial" w:cs="Arial"/>
          <w:sz w:val="22"/>
        </w:rPr>
        <w:t>42,7</w:t>
      </w:r>
      <w:r>
        <w:rPr>
          <w:rFonts w:ascii="Arial" w:hAnsi="Arial" w:cs="Arial"/>
          <w:sz w:val="22"/>
        </w:rPr>
        <w:t>%).</w:t>
      </w:r>
    </w:p>
    <w:p w14:paraId="7EC02568" w14:textId="77777777" w:rsidR="00773632" w:rsidRDefault="00773632" w:rsidP="00773632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C67FF6B" w14:textId="77777777" w:rsidR="00163F62" w:rsidRDefault="00163F62" w:rsidP="00163F62">
      <w:pPr>
        <w:pStyle w:val="jose"/>
        <w:ind w:left="284"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Lima, </w:t>
      </w:r>
      <w:r w:rsidR="00F11047">
        <w:rPr>
          <w:rFonts w:ascii="Arial" w:hAnsi="Arial" w:cs="Arial"/>
          <w:sz w:val="24"/>
          <w:szCs w:val="24"/>
        </w:rPr>
        <w:t>Febrero</w:t>
      </w:r>
      <w:r>
        <w:rPr>
          <w:rFonts w:ascii="Arial" w:hAnsi="Arial" w:cs="Arial"/>
          <w:sz w:val="24"/>
          <w:szCs w:val="24"/>
        </w:rPr>
        <w:t xml:space="preserve"> 20</w:t>
      </w:r>
      <w:r w:rsidR="00F11047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</w:t>
      </w:r>
    </w:p>
    <w:p w14:paraId="2CBE706F" w14:textId="77777777" w:rsidR="00163F62" w:rsidRDefault="00163F62" w:rsidP="00163F62"/>
    <w:p w14:paraId="20EC0D85" w14:textId="77777777" w:rsidR="001217A3" w:rsidRDefault="001217A3" w:rsidP="00163F62">
      <w:pPr>
        <w:pStyle w:val="jose"/>
        <w:ind w:left="142" w:right="0"/>
        <w:jc w:val="center"/>
        <w:rPr>
          <w:rFonts w:ascii="Arial" w:hAnsi="Arial" w:cs="Arial"/>
          <w:bCs/>
        </w:rPr>
      </w:pPr>
    </w:p>
    <w:sectPr w:rsidR="001217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FD08826"/>
    <w:lvl w:ilvl="0">
      <w:start w:val="1"/>
      <w:numFmt w:val="bullet"/>
      <w:pStyle w:val="Normal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A8E05E3"/>
    <w:multiLevelType w:val="hybridMultilevel"/>
    <w:tmpl w:val="F036F864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EA23DA"/>
    <w:multiLevelType w:val="hybridMultilevel"/>
    <w:tmpl w:val="2312D0BC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2668FD"/>
    <w:multiLevelType w:val="multilevel"/>
    <w:tmpl w:val="200CC03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41664176">
    <w:abstractNumId w:val="3"/>
  </w:num>
  <w:num w:numId="2" w16cid:durableId="12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4902430">
    <w:abstractNumId w:val="0"/>
  </w:num>
  <w:num w:numId="4" w16cid:durableId="1944725183">
    <w:abstractNumId w:val="0"/>
  </w:num>
  <w:num w:numId="5" w16cid:durableId="582686023">
    <w:abstractNumId w:val="0"/>
    <w:lvlOverride w:ilvl="0"/>
  </w:num>
  <w:num w:numId="6" w16cid:durableId="1772317570">
    <w:abstractNumId w:val="1"/>
  </w:num>
  <w:num w:numId="7" w16cid:durableId="4586482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0859483">
    <w:abstractNumId w:val="2"/>
  </w:num>
  <w:num w:numId="9" w16cid:durableId="162596485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73"/>
    <w:rsid w:val="001217A3"/>
    <w:rsid w:val="00156D8A"/>
    <w:rsid w:val="00163F62"/>
    <w:rsid w:val="001C125E"/>
    <w:rsid w:val="00204BAD"/>
    <w:rsid w:val="003716F8"/>
    <w:rsid w:val="00496F3E"/>
    <w:rsid w:val="005047D7"/>
    <w:rsid w:val="00567515"/>
    <w:rsid w:val="005D6485"/>
    <w:rsid w:val="00606306"/>
    <w:rsid w:val="00770833"/>
    <w:rsid w:val="00771FA8"/>
    <w:rsid w:val="00773632"/>
    <w:rsid w:val="008454B6"/>
    <w:rsid w:val="008923B9"/>
    <w:rsid w:val="00A7075C"/>
    <w:rsid w:val="00C428A4"/>
    <w:rsid w:val="00D36515"/>
    <w:rsid w:val="00DE5A50"/>
    <w:rsid w:val="00DF7573"/>
    <w:rsid w:val="00E75F90"/>
    <w:rsid w:val="00F11047"/>
    <w:rsid w:val="00F8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FCC57E"/>
  <w15:chartTrackingRefBased/>
  <w15:docId w15:val="{711193E3-EFB7-4AC9-9326-33712FD2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2"/>
      </w:numPr>
      <w:tabs>
        <w:tab w:val="left" w:pos="425"/>
      </w:tabs>
      <w:jc w:val="both"/>
      <w:outlineLvl w:val="0"/>
    </w:pPr>
    <w:rPr>
      <w:rFonts w:ascii="Helvetica" w:hAnsi="Helvetica"/>
      <w:b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sz w:val="22"/>
      <w:lang w:val="es-PE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numPr>
        <w:ilvl w:val="3"/>
        <w:numId w:val="2"/>
      </w:numPr>
      <w:jc w:val="both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numPr>
        <w:ilvl w:val="4"/>
        <w:numId w:val="2"/>
      </w:numPr>
      <w:jc w:val="both"/>
      <w:outlineLvl w:val="4"/>
    </w:pPr>
    <w:rPr>
      <w:rFonts w:ascii="Arial" w:hAnsi="Arial"/>
      <w:sz w:val="28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numPr>
        <w:ilvl w:val="5"/>
        <w:numId w:val="2"/>
      </w:numPr>
      <w:jc w:val="both"/>
      <w:outlineLvl w:val="5"/>
    </w:pPr>
    <w:rPr>
      <w:rFonts w:ascii="Arial" w:hAnsi="Arial"/>
      <w:sz w:val="36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qFormat/>
    <w:pPr>
      <w:keepNext/>
      <w:numPr>
        <w:ilvl w:val="6"/>
        <w:numId w:val="2"/>
      </w:numPr>
      <w:jc w:val="right"/>
      <w:outlineLvl w:val="6"/>
    </w:pPr>
    <w:rPr>
      <w:rFonts w:ascii="Arial" w:hAnsi="Arial"/>
      <w:b/>
      <w:sz w:val="28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qFormat/>
    <w:pPr>
      <w:keepNext/>
      <w:numPr>
        <w:ilvl w:val="7"/>
        <w:numId w:val="2"/>
      </w:numPr>
      <w:ind w:right="-284"/>
      <w:jc w:val="right"/>
      <w:outlineLvl w:val="7"/>
    </w:pPr>
    <w:rPr>
      <w:rFonts w:ascii="Arial" w:hAnsi="Arial"/>
      <w:b/>
      <w:sz w:val="32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qFormat/>
    <w:pPr>
      <w:keepNext/>
      <w:numPr>
        <w:ilvl w:val="8"/>
        <w:numId w:val="2"/>
      </w:numPr>
      <w:jc w:val="center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Pr>
      <w:color w:val="800080"/>
      <w:u w:val="single"/>
    </w:rPr>
  </w:style>
  <w:style w:type="character" w:customStyle="1" w:styleId="Ttulo1Car">
    <w:name w:val="Título 1 Car"/>
    <w:link w:val="Ttulo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link w:val="Ttulo3"/>
    <w:uiPriority w:val="9"/>
    <w:rPr>
      <w:rFonts w:ascii="Cambria" w:eastAsia="Times New Roman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s-ES" w:eastAsia="es-ES"/>
    </w:rPr>
  </w:style>
  <w:style w:type="character" w:customStyle="1" w:styleId="Ttulo5Car">
    <w:name w:val="Título 5 Car"/>
    <w:link w:val="Ttulo5"/>
    <w:uiPriority w:val="9"/>
    <w:rPr>
      <w:rFonts w:ascii="Cambria" w:eastAsia="Times New Roman" w:hAnsi="Cambria" w:cs="Times New Roman"/>
      <w:color w:val="243F60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rPr>
      <w:rFonts w:ascii="Cambria" w:eastAsia="Times New Roman" w:hAnsi="Cambria" w:cs="Times New Roman"/>
      <w:i/>
      <w:iCs/>
      <w:color w:val="243F6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tulo7Car">
    <w:name w:val="Título 7 Car"/>
    <w:link w:val="Ttulo7"/>
    <w:uiPriority w:val="9"/>
    <w:rPr>
      <w:rFonts w:ascii="Cambria" w:eastAsia="Times New Roman" w:hAnsi="Cambria" w:cs="Times New Roman"/>
      <w:i/>
      <w:iCs/>
      <w:color w:val="404040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Pr>
      <w:rFonts w:ascii="Cambria" w:eastAsia="Times New Roman" w:hAnsi="Cambria" w:cs="Times New Roman"/>
      <w:color w:val="404040"/>
      <w:lang w:val="es-ES" w:eastAsia="es-ES"/>
    </w:rPr>
  </w:style>
  <w:style w:type="character" w:customStyle="1" w:styleId="Ttulo9Car">
    <w:name w:val="Título 9 Car"/>
    <w:link w:val="Ttulo9"/>
    <w:uiPriority w:val="9"/>
    <w:rPr>
      <w:rFonts w:ascii="Cambria" w:eastAsia="Times New Roman" w:hAnsi="Cambria" w:cs="Times New Roman"/>
      <w:i/>
      <w:iCs/>
      <w:color w:val="40404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Pr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sz w:val="24"/>
      <w:szCs w:val="24"/>
      <w:lang w:val="es-ES" w:eastAsia="es-ES"/>
    </w:rPr>
  </w:style>
  <w:style w:type="paragraph" w:styleId="Epgrafe">
    <w:name w:val="Epígrafe"/>
    <w:basedOn w:val="Normal"/>
    <w:next w:val="Normal"/>
    <w:semiHidden/>
    <w:qFormat/>
    <w:pPr>
      <w:spacing w:before="120" w:after="120"/>
    </w:pPr>
    <w:rPr>
      <w:b/>
      <w:bCs/>
      <w:sz w:val="20"/>
      <w:szCs w:val="20"/>
    </w:rPr>
  </w:style>
  <w:style w:type="paragraph" w:styleId="Listaconvietas2">
    <w:name w:val="List Bullet 2"/>
    <w:basedOn w:val="Normal"/>
    <w:autoRedefine/>
    <w:uiPriority w:val="99"/>
    <w:semiHidden/>
    <w:unhideWhenUsed/>
    <w:pPr>
      <w:numPr>
        <w:numId w:val="5"/>
      </w:numPr>
    </w:pPr>
  </w:style>
  <w:style w:type="paragraph" w:styleId="Ttulo">
    <w:name w:val="Title"/>
    <w:basedOn w:val="Normal"/>
    <w:link w:val="TtuloCar"/>
    <w:uiPriority w:val="10"/>
    <w:semiHidden/>
    <w:qFormat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link w:val="Ttulo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pPr>
      <w:jc w:val="center"/>
    </w:pPr>
    <w:rPr>
      <w:rFonts w:ascii="Arial" w:hAnsi="Arial" w:cs="Arial"/>
      <w:sz w:val="20"/>
    </w:rPr>
  </w:style>
  <w:style w:type="character" w:customStyle="1" w:styleId="TextoindependienteCar">
    <w:name w:val="Texto independiente Car"/>
    <w:link w:val="Textoindependiente"/>
    <w:uiPriority w:val="99"/>
    <w:semiHidden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pPr>
      <w:ind w:left="992" w:hanging="992"/>
      <w:jc w:val="both"/>
    </w:pPr>
    <w:rPr>
      <w:rFonts w:ascii="Arial" w:hAnsi="Arial"/>
      <w:sz w:val="20"/>
      <w:szCs w:val="20"/>
    </w:rPr>
  </w:style>
  <w:style w:type="character" w:customStyle="1" w:styleId="SangradetextonormalCar">
    <w:name w:val="Sangría de texto normal Car"/>
    <w:link w:val="Sangradetextonormal"/>
    <w:uiPriority w:val="99"/>
    <w:semiHidden/>
    <w:rPr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semiHidden/>
    <w:qFormat/>
    <w:pPr>
      <w:ind w:left="1440"/>
      <w:jc w:val="both"/>
    </w:pPr>
    <w:rPr>
      <w:rFonts w:ascii="Arial" w:hAnsi="Arial" w:cs="Arial"/>
      <w:b/>
      <w:bCs/>
    </w:rPr>
  </w:style>
  <w:style w:type="character" w:customStyle="1" w:styleId="SubttuloCar">
    <w:name w:val="Subtítulo Car"/>
    <w:link w:val="Subttulo"/>
    <w:locked/>
    <w:rPr>
      <w:rFonts w:ascii="Arial" w:hAnsi="Arial" w:cs="Arial" w:hint="default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pPr>
      <w:autoSpaceDE w:val="0"/>
      <w:autoSpaceDN w:val="0"/>
      <w:adjustRightInd w:val="0"/>
      <w:jc w:val="both"/>
    </w:pPr>
    <w:rPr>
      <w:rFonts w:ascii="Arial" w:hAnsi="Arial" w:cs="Arial"/>
      <w:sz w:val="22"/>
      <w:szCs w:val="19"/>
    </w:rPr>
  </w:style>
  <w:style w:type="character" w:customStyle="1" w:styleId="Textoindependiente2Car">
    <w:name w:val="Texto independiente 2 Car"/>
    <w:link w:val="Textoindependiente2"/>
    <w:semiHidden/>
    <w:rPr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pPr>
      <w:jc w:val="center"/>
    </w:pPr>
    <w:rPr>
      <w:rFonts w:ascii="Arial" w:hAnsi="Arial"/>
      <w:b/>
      <w:sz w:val="28"/>
      <w:szCs w:val="20"/>
    </w:rPr>
  </w:style>
  <w:style w:type="character" w:customStyle="1" w:styleId="Textoindependiente3Car">
    <w:name w:val="Texto independiente 3 Car"/>
    <w:link w:val="Textoindependiente3"/>
    <w:uiPriority w:val="99"/>
    <w:semiHidden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pPr>
      <w:tabs>
        <w:tab w:val="left" w:pos="360"/>
      </w:tabs>
      <w:ind w:left="360"/>
      <w:jc w:val="both"/>
    </w:pPr>
    <w:rPr>
      <w:rFonts w:ascii="Arial" w:hAnsi="Arial"/>
      <w:sz w:val="20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Pr>
      <w:sz w:val="16"/>
      <w:szCs w:val="16"/>
      <w:lang w:val="es-ES" w:eastAsia="es-ES"/>
    </w:rPr>
  </w:style>
  <w:style w:type="paragraph" w:styleId="Textodebloque">
    <w:name w:val="Block Text"/>
    <w:basedOn w:val="Normal"/>
    <w:semiHidden/>
    <w:unhideWhenUsed/>
    <w:pPr>
      <w:ind w:left="284" w:right="335"/>
      <w:jc w:val="both"/>
    </w:pPr>
    <w:rPr>
      <w:rFonts w:ascii="Arial" w:hAnsi="Arial" w:cs="Arial"/>
      <w:sz w:val="20"/>
      <w:szCs w:val="20"/>
    </w:rPr>
  </w:style>
  <w:style w:type="paragraph" w:customStyle="1" w:styleId="jose">
    <w:name w:val="jose"/>
    <w:basedOn w:val="Textoindependiente"/>
    <w:semiHidden/>
    <w:pPr>
      <w:ind w:left="567" w:right="567"/>
      <w:jc w:val="both"/>
    </w:pPr>
    <w:rPr>
      <w:rFonts w:ascii="Times New Roman" w:hAnsi="Times New Roman" w:cs="Times New Roman"/>
      <w:sz w:val="22"/>
      <w:szCs w:val="20"/>
      <w:lang w:val="es-ES_tradnl"/>
    </w:rPr>
  </w:style>
  <w:style w:type="paragraph" w:customStyle="1" w:styleId="para05">
    <w:name w:val="para05"/>
    <w:basedOn w:val="Normal"/>
    <w:semiHidden/>
    <w:pPr>
      <w:autoSpaceDE w:val="0"/>
      <w:autoSpaceDN w:val="0"/>
      <w:spacing w:line="360" w:lineRule="auto"/>
      <w:ind w:left="284"/>
      <w:jc w:val="both"/>
    </w:pPr>
    <w:rPr>
      <w:rFonts w:ascii="Arial" w:hAnsi="Arial"/>
      <w:sz w:val="22"/>
      <w:szCs w:val="20"/>
      <w:lang w:val="es-ES_tradnl"/>
    </w:rPr>
  </w:style>
  <w:style w:type="character" w:styleId="Refdenotaalpie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</vt:lpstr>
    </vt:vector>
  </TitlesOfParts>
  <Company>SUNAT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</dc:title>
  <dc:subject/>
  <dc:creator>SUNAT</dc:creator>
  <cp:keywords/>
  <cp:lastModifiedBy>Atilio Condezo Kennedy David</cp:lastModifiedBy>
  <cp:revision>2</cp:revision>
  <cp:lastPrinted>2012-03-30T15:46:00Z</cp:lastPrinted>
  <dcterms:created xsi:type="dcterms:W3CDTF">2025-06-12T21:01:00Z</dcterms:created>
  <dcterms:modified xsi:type="dcterms:W3CDTF">2025-06-12T21:01:00Z</dcterms:modified>
</cp:coreProperties>
</file>