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B6CCB" w14:textId="77777777" w:rsidR="001217A3" w:rsidRDefault="001217A3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11499093" w14:textId="77777777" w:rsidR="00163F62" w:rsidRDefault="00163F62" w:rsidP="00163F62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4E3C0F4C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7123C3C7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041A9C16" w14:textId="77777777" w:rsidR="00163F62" w:rsidRPr="002C4108" w:rsidRDefault="00773632" w:rsidP="00163F6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términos acumulados, el intercambio comercial del período enero-diciembre disminuyó </w:t>
      </w:r>
      <w:r w:rsidR="002C4108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,</w:t>
      </w:r>
      <w:r w:rsidR="002C4108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%, destacando el mayor retroceso de las importaciones (-27,0%) respecto de las exportaciones (-</w:t>
      </w:r>
      <w:r w:rsidR="00D36515">
        <w:rPr>
          <w:rFonts w:ascii="Arial" w:hAnsi="Arial"/>
          <w:sz w:val="22"/>
        </w:rPr>
        <w:t>1</w:t>
      </w:r>
      <w:r w:rsidR="002C4108">
        <w:rPr>
          <w:rFonts w:ascii="Arial" w:hAnsi="Arial"/>
          <w:sz w:val="22"/>
        </w:rPr>
        <w:t>2,7</w:t>
      </w:r>
      <w:r>
        <w:rPr>
          <w:rFonts w:ascii="Arial" w:hAnsi="Arial"/>
          <w:sz w:val="22"/>
        </w:rPr>
        <w:t>%), debido al contexto internacional desfavorable que caracterizó a la mayor parte del 2009</w:t>
      </w:r>
      <w:r w:rsidR="00163F62" w:rsidRPr="00E75F90">
        <w:rPr>
          <w:rFonts w:ascii="Arial" w:hAnsi="Arial" w:cs="Arial"/>
          <w:bCs/>
          <w:iCs/>
          <w:sz w:val="22"/>
          <w:szCs w:val="19"/>
          <w:lang w:val="es-ES_tradnl"/>
        </w:rPr>
        <w:t xml:space="preserve">. </w:t>
      </w:r>
    </w:p>
    <w:p w14:paraId="0BE2B5F6" w14:textId="77777777" w:rsidR="00163F62" w:rsidRDefault="00163F62" w:rsidP="00163F62">
      <w:pPr>
        <w:jc w:val="both"/>
        <w:rPr>
          <w:rFonts w:ascii="Arial" w:hAnsi="Arial" w:cs="Arial"/>
          <w:lang w:val="es-ES_tradnl"/>
        </w:rPr>
      </w:pPr>
    </w:p>
    <w:p w14:paraId="136B5A2A" w14:textId="77777777" w:rsidR="002C4108" w:rsidRDefault="002C4108" w:rsidP="00163F62">
      <w:pPr>
        <w:jc w:val="both"/>
        <w:rPr>
          <w:rFonts w:ascii="Arial" w:hAnsi="Arial" w:cs="Arial"/>
          <w:lang w:val="es-ES_tradnl"/>
        </w:rPr>
      </w:pPr>
    </w:p>
    <w:p w14:paraId="186EAECA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 enero-diciembre de 2009 las exportaciones sumaron US$ </w:t>
      </w:r>
      <w:r w:rsidR="00D36515">
        <w:rPr>
          <w:rFonts w:ascii="Arial" w:hAnsi="Arial" w:cs="Arial"/>
          <w:sz w:val="22"/>
        </w:rPr>
        <w:t>27 0</w:t>
      </w:r>
      <w:r w:rsidR="002C4108">
        <w:rPr>
          <w:rFonts w:ascii="Arial" w:hAnsi="Arial" w:cs="Arial"/>
          <w:sz w:val="22"/>
        </w:rPr>
        <w:t>80</w:t>
      </w:r>
      <w:r>
        <w:rPr>
          <w:rFonts w:ascii="Arial" w:hAnsi="Arial" w:cs="Arial"/>
          <w:sz w:val="22"/>
        </w:rPr>
        <w:t xml:space="preserve"> millones, monto que representó un retroceso de 1</w:t>
      </w:r>
      <w:r w:rsidR="002C4108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,</w:t>
      </w:r>
      <w:r w:rsidR="002C4108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% en relación a similar período del año anterior. La disminución del valor exportado en el período fue liderada por el sector petróleo y derivados (-2</w:t>
      </w:r>
      <w:r w:rsidR="00D36515">
        <w:rPr>
          <w:rFonts w:ascii="Arial" w:hAnsi="Arial" w:cs="Arial"/>
          <w:sz w:val="22"/>
        </w:rPr>
        <w:t>8,</w:t>
      </w:r>
      <w:r w:rsidR="002C4108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%), </w:t>
      </w:r>
      <w:r w:rsidR="00DE5A50">
        <w:rPr>
          <w:rFonts w:ascii="Arial" w:hAnsi="Arial" w:cs="Arial"/>
          <w:sz w:val="22"/>
        </w:rPr>
        <w:t xml:space="preserve"> </w:t>
      </w:r>
      <w:r w:rsidR="005D6485">
        <w:rPr>
          <w:rFonts w:ascii="Arial" w:hAnsi="Arial" w:cs="Arial"/>
          <w:sz w:val="22"/>
        </w:rPr>
        <w:t>seguida</w:t>
      </w:r>
      <w:r>
        <w:rPr>
          <w:rFonts w:ascii="Arial" w:hAnsi="Arial" w:cs="Arial"/>
          <w:sz w:val="22"/>
        </w:rPr>
        <w:t xml:space="preserve"> por el minero (-</w:t>
      </w:r>
      <w:r w:rsidR="00D36515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,</w:t>
      </w:r>
      <w:r w:rsidR="00D36515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%), agrícola (-7,</w:t>
      </w:r>
      <w:r w:rsidR="00D36515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%) y pesquero (-6,4%).</w:t>
      </w:r>
    </w:p>
    <w:p w14:paraId="69343154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2555B54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F9D69FF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términos acumulados las importaciones del período enero-diciembre disminuyeron 27,0%</w:t>
      </w:r>
      <w:r w:rsidR="00771FA8">
        <w:rPr>
          <w:rFonts w:ascii="Arial" w:hAnsi="Arial" w:cs="Arial"/>
          <w:sz w:val="22"/>
        </w:rPr>
        <w:t xml:space="preserve"> respecto al año anterior</w:t>
      </w:r>
      <w:r>
        <w:rPr>
          <w:rFonts w:ascii="Arial" w:hAnsi="Arial" w:cs="Arial"/>
          <w:sz w:val="22"/>
        </w:rPr>
        <w:t>, destacando el retroceso de las materias primas y productos intermedios (-31,3%), seguidas por los bienes de capital y materiales de construcción (-26,</w:t>
      </w:r>
      <w:r w:rsidR="002C4108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%) y bienes de consumo (-13,</w:t>
      </w:r>
      <w:r w:rsidR="00771FA8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%).</w:t>
      </w:r>
    </w:p>
    <w:p w14:paraId="04F85C98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704D78F" w14:textId="77777777" w:rsidR="00163F62" w:rsidRDefault="00163F62" w:rsidP="00163F62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Lima, </w:t>
      </w:r>
      <w:r w:rsidR="002C4108">
        <w:rPr>
          <w:rFonts w:ascii="Arial" w:hAnsi="Arial" w:cs="Arial"/>
          <w:sz w:val="24"/>
          <w:szCs w:val="24"/>
        </w:rPr>
        <w:t>Febrero 2025</w:t>
      </w:r>
      <w:r>
        <w:rPr>
          <w:rFonts w:ascii="Arial" w:hAnsi="Arial" w:cs="Arial"/>
          <w:sz w:val="24"/>
          <w:szCs w:val="24"/>
        </w:rPr>
        <w:t>.</w:t>
      </w:r>
    </w:p>
    <w:p w14:paraId="1FCE6676" w14:textId="77777777" w:rsidR="00163F62" w:rsidRDefault="00163F62" w:rsidP="00163F62"/>
    <w:p w14:paraId="4C3D8AB8" w14:textId="77777777" w:rsidR="001217A3" w:rsidRDefault="001217A3" w:rsidP="00163F62">
      <w:pPr>
        <w:pStyle w:val="jose"/>
        <w:ind w:left="142" w:right="0"/>
        <w:jc w:val="center"/>
        <w:rPr>
          <w:rFonts w:ascii="Arial" w:hAnsi="Arial" w:cs="Arial"/>
          <w:bCs/>
        </w:rPr>
      </w:pPr>
    </w:p>
    <w:sectPr w:rsidR="00121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pStyle w:val="Normal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38639793">
    <w:abstractNumId w:val="3"/>
  </w:num>
  <w:num w:numId="2" w16cid:durableId="373165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517773">
    <w:abstractNumId w:val="0"/>
  </w:num>
  <w:num w:numId="4" w16cid:durableId="860514649">
    <w:abstractNumId w:val="0"/>
  </w:num>
  <w:num w:numId="5" w16cid:durableId="1177421013">
    <w:abstractNumId w:val="0"/>
    <w:lvlOverride w:ilvl="0"/>
  </w:num>
  <w:num w:numId="6" w16cid:durableId="258029216">
    <w:abstractNumId w:val="1"/>
  </w:num>
  <w:num w:numId="7" w16cid:durableId="13026899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796011">
    <w:abstractNumId w:val="2"/>
  </w:num>
  <w:num w:numId="9" w16cid:durableId="4101294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3"/>
    <w:rsid w:val="001217A3"/>
    <w:rsid w:val="00163F62"/>
    <w:rsid w:val="001C125E"/>
    <w:rsid w:val="00204BAD"/>
    <w:rsid w:val="002C4108"/>
    <w:rsid w:val="00496F3E"/>
    <w:rsid w:val="005047D7"/>
    <w:rsid w:val="005D6485"/>
    <w:rsid w:val="00770833"/>
    <w:rsid w:val="00771FA8"/>
    <w:rsid w:val="00773632"/>
    <w:rsid w:val="008454B6"/>
    <w:rsid w:val="008923B9"/>
    <w:rsid w:val="00CD5665"/>
    <w:rsid w:val="00D36515"/>
    <w:rsid w:val="00DE5A50"/>
    <w:rsid w:val="00DF7573"/>
    <w:rsid w:val="00E75F90"/>
    <w:rsid w:val="00F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9B74C5"/>
  <w15:chartTrackingRefBased/>
  <w15:docId w15:val="{BA68AC9A-3B11-442E-9063-A5D6DD1E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7Car">
    <w:name w:val="Título 7 Car"/>
    <w:link w:val="Ttulo7"/>
    <w:uiPriority w:val="9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Pr>
      <w:rFonts w:ascii="Cambria" w:eastAsia="Times New Roman" w:hAnsi="Cambria" w:cs="Times New Roman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rPr>
      <w:rFonts w:ascii="Cambria" w:eastAsia="Times New Roman" w:hAnsi="Cambria" w:cs="Times New Roman"/>
      <w:i/>
      <w:iCs/>
      <w:color w:val="40404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sz w:val="24"/>
      <w:szCs w:val="24"/>
      <w:lang w:val="es-ES" w:eastAsia="es-ES"/>
    </w:rPr>
  </w:style>
  <w:style w:type="paragraph" w:styleId="Epgrafe">
    <w:name w:val="Epígrafe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styleId="Listaconvietas2">
    <w:name w:val="List Bullet 2"/>
    <w:basedOn w:val="Normal"/>
    <w:autoRedefine/>
    <w:uiPriority w:val="99"/>
    <w:semiHidden/>
    <w:unhideWhenUsed/>
    <w:pPr>
      <w:numPr>
        <w:numId w:val="5"/>
      </w:numPr>
    </w:pPr>
  </w:style>
  <w:style w:type="paragraph" w:styleId="Ttulo">
    <w:name w:val="Title"/>
    <w:basedOn w:val="Normal"/>
    <w:link w:val="TtuloCar"/>
    <w:uiPriority w:val="10"/>
    <w:semiHidden/>
    <w:qFormat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jc w:val="center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ind w:left="992" w:hanging="992"/>
      <w:jc w:val="both"/>
    </w:pPr>
    <w:rPr>
      <w:rFonts w:ascii="Arial" w:hAnsi="Arial"/>
      <w:sz w:val="20"/>
      <w:szCs w:val="20"/>
    </w:rPr>
  </w:style>
  <w:style w:type="character" w:customStyle="1" w:styleId="SangradetextonormalCar">
    <w:name w:val="Sangría de texto normal Car"/>
    <w:link w:val="Sangradetextonormal"/>
    <w:uiPriority w:val="99"/>
    <w:semiHidden/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semiHidden/>
    <w:qFormat/>
    <w:pPr>
      <w:ind w:left="1440"/>
      <w:jc w:val="both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locked/>
    <w:rPr>
      <w:rFonts w:ascii="Arial" w:hAnsi="Arial" w:cs="Arial" w:hint="default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customStyle="1" w:styleId="Textoindependiente2Car">
    <w:name w:val="Texto independiente 2 Car"/>
    <w:link w:val="Textoindependiente2"/>
    <w:semiHidden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jc w:val="center"/>
    </w:pPr>
    <w:rPr>
      <w:rFonts w:ascii="Arial" w:hAnsi="Arial"/>
      <w:b/>
      <w:sz w:val="28"/>
      <w:szCs w:val="20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sz w:val="16"/>
      <w:szCs w:val="16"/>
      <w:lang w:val="es-ES" w:eastAsia="es-ES"/>
    </w:rPr>
  </w:style>
  <w:style w:type="paragraph" w:styleId="Textodebloque">
    <w:name w:val="Block Text"/>
    <w:basedOn w:val="Normal"/>
    <w:semiHidden/>
    <w:unhideWhenUsed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customStyle="1" w:styleId="jose">
    <w:name w:val="jose"/>
    <w:basedOn w:val="Textoindependiente"/>
    <w:semiHidden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customStyle="1" w:styleId="para05">
    <w:name w:val="para05"/>
    <w:basedOn w:val="Normal"/>
    <w:semiHidden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</dc:creator>
  <cp:keywords/>
  <cp:lastModifiedBy>Atilio Condezo Kennedy David</cp:lastModifiedBy>
  <cp:revision>2</cp:revision>
  <cp:lastPrinted>2012-03-30T15:46:00Z</cp:lastPrinted>
  <dcterms:created xsi:type="dcterms:W3CDTF">2025-06-12T21:03:00Z</dcterms:created>
  <dcterms:modified xsi:type="dcterms:W3CDTF">2025-06-12T21:03:00Z</dcterms:modified>
</cp:coreProperties>
</file>