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109D2" w14:textId="77777777" w:rsidR="001217A3" w:rsidRDefault="001217A3">
      <w:pPr>
        <w:pStyle w:val="jose"/>
        <w:ind w:left="284" w:right="0"/>
        <w:jc w:val="center"/>
        <w:rPr>
          <w:rFonts w:ascii="Arial" w:hAnsi="Arial" w:cs="Arial"/>
          <w:b/>
        </w:rPr>
      </w:pPr>
    </w:p>
    <w:p w14:paraId="4CE27051" w14:textId="77777777" w:rsidR="001217A3" w:rsidRDefault="001217A3">
      <w:pPr>
        <w:pStyle w:val="jose"/>
        <w:ind w:left="142" w:right="0"/>
        <w:jc w:val="center"/>
        <w:rPr>
          <w:rFonts w:ascii="Arial" w:hAnsi="Arial" w:cs="Arial"/>
          <w:b/>
          <w:sz w:val="28"/>
          <w:szCs w:val="28"/>
          <w:u w:val="single"/>
        </w:rPr>
      </w:pPr>
      <w:r>
        <w:rPr>
          <w:rFonts w:ascii="Arial" w:hAnsi="Arial" w:cs="Arial"/>
          <w:b/>
          <w:sz w:val="28"/>
          <w:szCs w:val="28"/>
          <w:u w:val="single"/>
        </w:rPr>
        <w:t>ASPECTOS METODOLÓGICOS</w:t>
      </w:r>
    </w:p>
    <w:p w14:paraId="25FBA1A7" w14:textId="77777777" w:rsidR="001217A3" w:rsidRDefault="001217A3">
      <w:pPr>
        <w:pStyle w:val="Textodebloque"/>
        <w:ind w:left="0" w:right="0"/>
        <w:rPr>
          <w:sz w:val="24"/>
          <w:szCs w:val="24"/>
        </w:rPr>
      </w:pPr>
    </w:p>
    <w:p w14:paraId="41754F6C" w14:textId="77777777" w:rsidR="001217A3" w:rsidRDefault="001217A3">
      <w:pPr>
        <w:pStyle w:val="Textodebloque"/>
        <w:ind w:left="0" w:right="0"/>
        <w:rPr>
          <w:sz w:val="24"/>
          <w:szCs w:val="24"/>
        </w:rPr>
      </w:pPr>
    </w:p>
    <w:p w14:paraId="4C74AE36" w14:textId="64F4B8CB" w:rsidR="001217A3" w:rsidRDefault="001217A3">
      <w:pPr>
        <w:pStyle w:val="Textodebloque"/>
        <w:ind w:left="0" w:right="0"/>
        <w:rPr>
          <w:sz w:val="24"/>
          <w:szCs w:val="24"/>
        </w:rPr>
      </w:pPr>
      <w:r>
        <w:rPr>
          <w:sz w:val="24"/>
          <w:szCs w:val="24"/>
        </w:rPr>
        <w:t xml:space="preserve">A </w:t>
      </w:r>
      <w:r w:rsidR="0078684B">
        <w:rPr>
          <w:sz w:val="24"/>
          <w:szCs w:val="24"/>
        </w:rPr>
        <w:t>continuación,</w:t>
      </w:r>
      <w:r>
        <w:rPr>
          <w:sz w:val="24"/>
          <w:szCs w:val="24"/>
        </w:rPr>
        <w:t xml:space="preserve"> se detallan los principales elementos que se deben tomar en cuenta para interpretar correctamente la información presentada.</w:t>
      </w:r>
    </w:p>
    <w:p w14:paraId="334C2E80" w14:textId="77777777" w:rsidR="001217A3" w:rsidRDefault="001217A3">
      <w:pPr>
        <w:pStyle w:val="jose"/>
        <w:ind w:left="0" w:right="0"/>
        <w:rPr>
          <w:rFonts w:ascii="Arial" w:hAnsi="Arial" w:cs="Arial"/>
          <w:sz w:val="24"/>
          <w:szCs w:val="24"/>
        </w:rPr>
      </w:pPr>
    </w:p>
    <w:p w14:paraId="0CA0B906" w14:textId="77777777" w:rsidR="001217A3" w:rsidRDefault="001217A3">
      <w:pPr>
        <w:pStyle w:val="jose"/>
        <w:ind w:left="0" w:right="0"/>
        <w:rPr>
          <w:rFonts w:ascii="Arial" w:hAnsi="Arial" w:cs="Arial"/>
          <w:sz w:val="24"/>
          <w:szCs w:val="24"/>
        </w:rPr>
      </w:pPr>
    </w:p>
    <w:p w14:paraId="0CE6CA76" w14:textId="77777777" w:rsidR="001217A3" w:rsidRDefault="001217A3">
      <w:pPr>
        <w:pStyle w:val="jose"/>
        <w:ind w:left="0" w:right="0"/>
        <w:rPr>
          <w:rFonts w:ascii="Arial" w:hAnsi="Arial" w:cs="Arial"/>
          <w:sz w:val="24"/>
          <w:szCs w:val="24"/>
        </w:rPr>
      </w:pPr>
      <w:r>
        <w:rPr>
          <w:rFonts w:ascii="Arial" w:hAnsi="Arial" w:cs="Arial"/>
          <w:b/>
          <w:sz w:val="24"/>
          <w:szCs w:val="24"/>
        </w:rPr>
        <w:t>A. Información Básica</w:t>
      </w:r>
    </w:p>
    <w:p w14:paraId="0CF1DBF3" w14:textId="77777777" w:rsidR="001217A3" w:rsidRDefault="001217A3">
      <w:pPr>
        <w:pStyle w:val="jose"/>
        <w:ind w:left="0" w:right="0"/>
        <w:rPr>
          <w:rFonts w:ascii="Arial" w:hAnsi="Arial" w:cs="Arial"/>
          <w:sz w:val="24"/>
          <w:szCs w:val="24"/>
        </w:rPr>
      </w:pPr>
    </w:p>
    <w:p w14:paraId="358FACE7" w14:textId="77777777" w:rsidR="001217A3" w:rsidRDefault="001217A3">
      <w:pPr>
        <w:pStyle w:val="jose"/>
        <w:ind w:left="0" w:right="0"/>
        <w:rPr>
          <w:rFonts w:ascii="Arial" w:hAnsi="Arial" w:cs="Arial"/>
          <w:sz w:val="24"/>
          <w:szCs w:val="24"/>
        </w:rPr>
      </w:pPr>
      <w:r>
        <w:rPr>
          <w:rFonts w:ascii="Arial" w:hAnsi="Arial" w:cs="Arial"/>
          <w:sz w:val="24"/>
          <w:szCs w:val="24"/>
        </w:rPr>
        <w:t>Las estadísticas de Comercio Exterior son elaboradas sobre la base del procesamiento automatizado de la información que se genera a partir de la Declaración Aduanera de Mercancía (DAM) registrada por la SUNAT.</w:t>
      </w:r>
    </w:p>
    <w:p w14:paraId="63E8F986" w14:textId="77777777" w:rsidR="001217A3" w:rsidRDefault="001217A3">
      <w:pPr>
        <w:pStyle w:val="jose"/>
        <w:ind w:left="0" w:right="0"/>
        <w:rPr>
          <w:rFonts w:ascii="Arial" w:hAnsi="Arial" w:cs="Arial"/>
          <w:sz w:val="24"/>
          <w:szCs w:val="24"/>
        </w:rPr>
      </w:pPr>
    </w:p>
    <w:p w14:paraId="7BB98130" w14:textId="77777777" w:rsidR="001217A3" w:rsidRDefault="001217A3">
      <w:pPr>
        <w:pStyle w:val="jose"/>
        <w:ind w:left="0" w:right="0"/>
        <w:rPr>
          <w:rFonts w:ascii="Arial" w:hAnsi="Arial" w:cs="Arial"/>
          <w:sz w:val="24"/>
          <w:szCs w:val="24"/>
        </w:rPr>
      </w:pPr>
    </w:p>
    <w:p w14:paraId="169E03C7" w14:textId="77777777" w:rsidR="001217A3" w:rsidRDefault="001217A3">
      <w:pPr>
        <w:pStyle w:val="jose"/>
        <w:ind w:left="0" w:right="0"/>
        <w:rPr>
          <w:rFonts w:ascii="Arial" w:hAnsi="Arial" w:cs="Arial"/>
          <w:sz w:val="24"/>
          <w:szCs w:val="24"/>
        </w:rPr>
      </w:pPr>
      <w:r>
        <w:rPr>
          <w:rFonts w:ascii="Arial" w:hAnsi="Arial" w:cs="Arial"/>
          <w:b/>
          <w:sz w:val="24"/>
          <w:szCs w:val="24"/>
        </w:rPr>
        <w:t>B. Cobertura de la Información</w:t>
      </w:r>
    </w:p>
    <w:p w14:paraId="4703AE27" w14:textId="77777777" w:rsidR="001217A3" w:rsidRDefault="001217A3">
      <w:pPr>
        <w:pStyle w:val="jose"/>
        <w:ind w:left="0" w:right="0"/>
        <w:rPr>
          <w:rFonts w:ascii="Arial" w:hAnsi="Arial" w:cs="Arial"/>
          <w:sz w:val="24"/>
          <w:szCs w:val="24"/>
        </w:rPr>
      </w:pPr>
    </w:p>
    <w:p w14:paraId="733CE53B" w14:textId="77777777" w:rsidR="001217A3" w:rsidRDefault="001217A3">
      <w:pPr>
        <w:pStyle w:val="jose"/>
        <w:ind w:left="0" w:right="0"/>
        <w:rPr>
          <w:rFonts w:ascii="Arial" w:hAnsi="Arial" w:cs="Arial"/>
          <w:sz w:val="24"/>
          <w:szCs w:val="24"/>
        </w:rPr>
      </w:pPr>
      <w:r>
        <w:rPr>
          <w:rFonts w:ascii="Arial" w:hAnsi="Arial" w:cs="Arial"/>
          <w:sz w:val="24"/>
          <w:szCs w:val="24"/>
        </w:rPr>
        <w:t>Cabe resaltar que la información referida a importaciones para el consumo y exportaciones definitivas cuenta con una cobertura a nivel nacional. En lo referente al ámbito geográfico, la presente publicación comprende a las Intendencias de las Aduanas de Lima Metropolitana y Provincias.</w:t>
      </w:r>
    </w:p>
    <w:p w14:paraId="02330B30" w14:textId="77777777" w:rsidR="001217A3" w:rsidRDefault="001217A3">
      <w:pPr>
        <w:pStyle w:val="jose"/>
        <w:ind w:left="0" w:right="0"/>
        <w:rPr>
          <w:rFonts w:ascii="Arial" w:hAnsi="Arial" w:cs="Arial"/>
          <w:sz w:val="24"/>
          <w:szCs w:val="24"/>
        </w:rPr>
      </w:pPr>
    </w:p>
    <w:p w14:paraId="7B40E290" w14:textId="77777777" w:rsidR="001217A3" w:rsidRDefault="001217A3">
      <w:pPr>
        <w:pStyle w:val="jose"/>
        <w:ind w:left="0" w:right="0"/>
        <w:rPr>
          <w:rFonts w:ascii="Arial" w:hAnsi="Arial" w:cs="Arial"/>
          <w:sz w:val="24"/>
          <w:szCs w:val="24"/>
        </w:rPr>
      </w:pPr>
    </w:p>
    <w:p w14:paraId="03409C04" w14:textId="77777777" w:rsidR="001217A3" w:rsidRDefault="001217A3">
      <w:pPr>
        <w:pStyle w:val="jose"/>
        <w:ind w:left="0" w:right="0"/>
        <w:rPr>
          <w:rFonts w:ascii="Arial" w:hAnsi="Arial" w:cs="Arial"/>
          <w:sz w:val="24"/>
          <w:szCs w:val="24"/>
        </w:rPr>
      </w:pPr>
      <w:r>
        <w:rPr>
          <w:rFonts w:ascii="Arial" w:hAnsi="Arial" w:cs="Arial"/>
          <w:b/>
          <w:sz w:val="24"/>
          <w:szCs w:val="24"/>
        </w:rPr>
        <w:t>C. Registro de la Información</w:t>
      </w:r>
    </w:p>
    <w:p w14:paraId="60ADE6A5" w14:textId="77777777" w:rsidR="001217A3" w:rsidRDefault="001217A3">
      <w:pPr>
        <w:pStyle w:val="jose"/>
        <w:ind w:left="0" w:right="0"/>
        <w:rPr>
          <w:rFonts w:ascii="Arial" w:hAnsi="Arial" w:cs="Arial"/>
          <w:sz w:val="24"/>
          <w:szCs w:val="24"/>
        </w:rPr>
      </w:pPr>
    </w:p>
    <w:p w14:paraId="0A7633B2" w14:textId="77777777" w:rsidR="001217A3" w:rsidRDefault="001217A3">
      <w:pPr>
        <w:pStyle w:val="jose"/>
        <w:ind w:left="0" w:right="0"/>
        <w:rPr>
          <w:rFonts w:ascii="Arial" w:hAnsi="Arial" w:cs="Arial"/>
          <w:sz w:val="24"/>
          <w:szCs w:val="24"/>
        </w:rPr>
      </w:pPr>
      <w:r>
        <w:rPr>
          <w:rFonts w:ascii="Arial" w:hAnsi="Arial" w:cs="Arial"/>
          <w:sz w:val="24"/>
          <w:szCs w:val="24"/>
        </w:rPr>
        <w:t>El Sistema de Registro adoptado por la SUNAT es el Sistema de Comercio Especial. Este sistema se utiliza cuando: a) Las importaciones abarcan todos los bienes que son despachados por las Aduanas para su uso interno, y b) Los bienes que salen de la zona de libre circulación de un país compilador.</w:t>
      </w:r>
    </w:p>
    <w:p w14:paraId="73A9DF6B" w14:textId="77777777" w:rsidR="001217A3" w:rsidRDefault="001217A3">
      <w:pPr>
        <w:pStyle w:val="jose"/>
        <w:ind w:left="0" w:right="0"/>
        <w:rPr>
          <w:rFonts w:ascii="Arial" w:hAnsi="Arial" w:cs="Arial"/>
          <w:sz w:val="24"/>
          <w:szCs w:val="24"/>
        </w:rPr>
      </w:pPr>
    </w:p>
    <w:p w14:paraId="56ED0F12" w14:textId="77777777" w:rsidR="001217A3" w:rsidRDefault="001217A3">
      <w:pPr>
        <w:pStyle w:val="jose"/>
        <w:ind w:left="0" w:right="0"/>
        <w:rPr>
          <w:rFonts w:ascii="Arial" w:hAnsi="Arial" w:cs="Arial"/>
          <w:sz w:val="24"/>
          <w:szCs w:val="24"/>
        </w:rPr>
      </w:pPr>
      <w:r>
        <w:rPr>
          <w:rFonts w:ascii="Arial" w:hAnsi="Arial" w:cs="Arial"/>
          <w:sz w:val="24"/>
          <w:szCs w:val="24"/>
        </w:rPr>
        <w:t>En las estadísticas ordinarias de comercio exterior, la SUNAT considera como exportación definitiva la que involucra a aquellas mercancías cuyo destino final es el uso o consumo definitivo en el exterior. En lo que corresponde a importación para el consumo, se registran aquellas mercancías cuyo despacho es solicitado ante la aduana para uso o consumo interno.</w:t>
      </w:r>
    </w:p>
    <w:p w14:paraId="5F680179" w14:textId="77777777" w:rsidR="001217A3" w:rsidRDefault="001217A3">
      <w:pPr>
        <w:pStyle w:val="jose"/>
        <w:ind w:left="0" w:right="0"/>
        <w:rPr>
          <w:rFonts w:ascii="Arial" w:hAnsi="Arial" w:cs="Arial"/>
          <w:sz w:val="24"/>
          <w:szCs w:val="24"/>
        </w:rPr>
      </w:pPr>
    </w:p>
    <w:p w14:paraId="340D7A4A" w14:textId="77777777" w:rsidR="001217A3" w:rsidRDefault="001217A3">
      <w:pPr>
        <w:pStyle w:val="jose"/>
        <w:ind w:left="0" w:right="0"/>
        <w:rPr>
          <w:rFonts w:ascii="Arial" w:hAnsi="Arial" w:cs="Arial"/>
          <w:sz w:val="24"/>
          <w:szCs w:val="24"/>
        </w:rPr>
      </w:pPr>
      <w:r>
        <w:rPr>
          <w:rFonts w:ascii="Arial" w:hAnsi="Arial" w:cs="Arial"/>
          <w:sz w:val="24"/>
          <w:szCs w:val="24"/>
        </w:rPr>
        <w:t>Las estadísticas ordinarias de importación para el consumo no incorporan las transacciones especiales, como:</w:t>
      </w:r>
    </w:p>
    <w:p w14:paraId="041941FA" w14:textId="77777777" w:rsidR="001217A3" w:rsidRDefault="001217A3">
      <w:pPr>
        <w:pStyle w:val="jose"/>
        <w:ind w:left="0" w:right="0"/>
        <w:rPr>
          <w:rFonts w:ascii="Arial" w:hAnsi="Arial" w:cs="Arial"/>
          <w:sz w:val="24"/>
          <w:szCs w:val="24"/>
        </w:rPr>
      </w:pPr>
    </w:p>
    <w:p w14:paraId="5804C62C"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Servicio Diplomático Extranjero.</w:t>
      </w:r>
    </w:p>
    <w:p w14:paraId="4A336239"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Oro Monetario.</w:t>
      </w:r>
    </w:p>
    <w:p w14:paraId="304BEF30"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Mercancías que ingresaron a las zonas francas y que se incorporan a las estadísticas ordinarias de importación cuando se nacionalizan.</w:t>
      </w:r>
    </w:p>
    <w:p w14:paraId="6C23CD0A"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Mercancías que ingresan bajo el Régimen de Admisión Temporal para perfeccionamiento activo.</w:t>
      </w:r>
    </w:p>
    <w:p w14:paraId="347DF936"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lastRenderedPageBreak/>
        <w:t>Mercancías que ingresan bajo el Régimen de Admisión Temporal para reexportación en el mismo estado.</w:t>
      </w:r>
    </w:p>
    <w:p w14:paraId="5FCE5AC4"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Transacciones correspondientes a las Fuerzas Armadas.</w:t>
      </w:r>
    </w:p>
    <w:p w14:paraId="0A7CFC5B"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Encomiendas Postales.</w:t>
      </w:r>
    </w:p>
    <w:p w14:paraId="77E9D8CA"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Muestras.</w:t>
      </w:r>
    </w:p>
    <w:p w14:paraId="612EC441" w14:textId="77777777" w:rsidR="001217A3" w:rsidRDefault="001217A3">
      <w:pPr>
        <w:pStyle w:val="jose"/>
        <w:numPr>
          <w:ilvl w:val="0"/>
          <w:numId w:val="7"/>
        </w:numPr>
        <w:tabs>
          <w:tab w:val="num" w:pos="180"/>
        </w:tabs>
        <w:ind w:left="180" w:right="0" w:hanging="180"/>
        <w:jc w:val="left"/>
        <w:rPr>
          <w:rFonts w:ascii="Arial" w:hAnsi="Arial" w:cs="Arial"/>
          <w:sz w:val="24"/>
          <w:szCs w:val="24"/>
        </w:rPr>
      </w:pPr>
      <w:r>
        <w:rPr>
          <w:rFonts w:ascii="Arial" w:hAnsi="Arial" w:cs="Arial"/>
          <w:sz w:val="24"/>
          <w:szCs w:val="24"/>
        </w:rPr>
        <w:t>Equipaje y Menaje de Casa.</w:t>
      </w:r>
    </w:p>
    <w:p w14:paraId="5A2BC9A7" w14:textId="77777777" w:rsidR="001217A3" w:rsidRDefault="001217A3">
      <w:pPr>
        <w:pStyle w:val="jose"/>
        <w:numPr>
          <w:ilvl w:val="0"/>
          <w:numId w:val="7"/>
        </w:numPr>
        <w:tabs>
          <w:tab w:val="num" w:pos="180"/>
        </w:tabs>
        <w:ind w:left="180" w:right="0" w:hanging="180"/>
        <w:jc w:val="left"/>
        <w:rPr>
          <w:rFonts w:ascii="Arial" w:hAnsi="Arial" w:cs="Arial"/>
          <w:sz w:val="24"/>
          <w:szCs w:val="24"/>
        </w:rPr>
      </w:pPr>
      <w:r>
        <w:rPr>
          <w:rFonts w:ascii="Arial" w:hAnsi="Arial" w:cs="Arial"/>
          <w:sz w:val="24"/>
          <w:szCs w:val="24"/>
        </w:rPr>
        <w:t>Donaciones.</w:t>
      </w:r>
    </w:p>
    <w:p w14:paraId="5CE3F5EA" w14:textId="77777777" w:rsidR="001217A3" w:rsidRDefault="001217A3">
      <w:pPr>
        <w:pStyle w:val="jose"/>
        <w:ind w:left="0" w:right="0"/>
        <w:jc w:val="left"/>
        <w:rPr>
          <w:rFonts w:ascii="Arial" w:hAnsi="Arial" w:cs="Arial"/>
          <w:sz w:val="24"/>
          <w:szCs w:val="24"/>
        </w:rPr>
      </w:pPr>
    </w:p>
    <w:p w14:paraId="305E0194" w14:textId="77777777" w:rsidR="001217A3" w:rsidRDefault="001217A3">
      <w:pPr>
        <w:pStyle w:val="jose"/>
        <w:ind w:left="0" w:right="0"/>
        <w:rPr>
          <w:rFonts w:ascii="Arial" w:hAnsi="Arial" w:cs="Arial"/>
          <w:sz w:val="24"/>
          <w:szCs w:val="24"/>
        </w:rPr>
      </w:pPr>
      <w:r>
        <w:rPr>
          <w:rFonts w:ascii="Arial" w:hAnsi="Arial" w:cs="Arial"/>
          <w:sz w:val="24"/>
          <w:szCs w:val="24"/>
        </w:rPr>
        <w:t>Si bien no considera las transacciones especiales en los regímenes de importación para el consumo y exportación definitiva, la SUNAT registra estas estadísticas por separado.</w:t>
      </w:r>
    </w:p>
    <w:p w14:paraId="216F5000" w14:textId="77777777" w:rsidR="001217A3" w:rsidRDefault="001217A3">
      <w:pPr>
        <w:pStyle w:val="jose"/>
        <w:ind w:left="0" w:right="0"/>
        <w:jc w:val="left"/>
        <w:rPr>
          <w:rFonts w:ascii="Arial" w:hAnsi="Arial" w:cs="Arial"/>
          <w:sz w:val="24"/>
          <w:szCs w:val="24"/>
        </w:rPr>
      </w:pPr>
    </w:p>
    <w:p w14:paraId="465CE38C" w14:textId="77777777" w:rsidR="001217A3" w:rsidRDefault="001217A3">
      <w:pPr>
        <w:pStyle w:val="jose"/>
        <w:ind w:left="0" w:right="0"/>
        <w:rPr>
          <w:rFonts w:ascii="Arial" w:hAnsi="Arial" w:cs="Arial"/>
          <w:sz w:val="24"/>
          <w:szCs w:val="24"/>
        </w:rPr>
      </w:pPr>
      <w:r>
        <w:rPr>
          <w:rFonts w:ascii="Arial" w:hAnsi="Arial" w:cs="Arial"/>
          <w:sz w:val="24"/>
          <w:szCs w:val="24"/>
        </w:rPr>
        <w:t>En lo que respecta a la presentación de las estadísticas de exportaciones definitivas se debe tener en cuenta lo siguiente:</w:t>
      </w:r>
    </w:p>
    <w:p w14:paraId="749239A3" w14:textId="77777777" w:rsidR="001217A3" w:rsidRDefault="001217A3">
      <w:pPr>
        <w:pStyle w:val="jose"/>
        <w:ind w:left="0" w:right="0"/>
        <w:rPr>
          <w:rFonts w:ascii="Arial" w:hAnsi="Arial" w:cs="Arial"/>
          <w:sz w:val="24"/>
          <w:szCs w:val="24"/>
        </w:rPr>
      </w:pPr>
    </w:p>
    <w:p w14:paraId="28BA22DE"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Las exportaciones de plomo incluyen concentrados de plata debido al carácter polimetálico en la explotación de este mineral.</w:t>
      </w:r>
    </w:p>
    <w:p w14:paraId="07D873D8"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Se incorpora a las estadísticas lo registrado por abastecimientos de alimentos y combustibles a naves extranjeras.</w:t>
      </w:r>
    </w:p>
    <w:p w14:paraId="15E0ED1A"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 xml:space="preserve">No se incluyen las exportaciones temporales, particularmente las registradas por  </w:t>
      </w:r>
      <w:proofErr w:type="spellStart"/>
      <w:r>
        <w:rPr>
          <w:rFonts w:ascii="Arial" w:hAnsi="Arial" w:cs="Arial"/>
          <w:sz w:val="24"/>
          <w:szCs w:val="24"/>
        </w:rPr>
        <w:t>Minsur</w:t>
      </w:r>
      <w:proofErr w:type="spellEnd"/>
      <w:r>
        <w:rPr>
          <w:rFonts w:ascii="Arial" w:hAnsi="Arial" w:cs="Arial"/>
          <w:sz w:val="24"/>
          <w:szCs w:val="24"/>
        </w:rPr>
        <w:t xml:space="preserve"> S.A.</w:t>
      </w:r>
    </w:p>
    <w:p w14:paraId="70F4CACB" w14:textId="77777777" w:rsidR="001217A3" w:rsidRDefault="001217A3">
      <w:pPr>
        <w:pStyle w:val="jose"/>
        <w:tabs>
          <w:tab w:val="num" w:pos="1276"/>
        </w:tabs>
        <w:ind w:left="0" w:right="0"/>
        <w:rPr>
          <w:rFonts w:ascii="Arial" w:hAnsi="Arial" w:cs="Arial"/>
          <w:sz w:val="24"/>
          <w:szCs w:val="24"/>
        </w:rPr>
      </w:pPr>
    </w:p>
    <w:p w14:paraId="7A14D178" w14:textId="77777777" w:rsidR="001217A3" w:rsidRDefault="001217A3">
      <w:pPr>
        <w:pStyle w:val="jose"/>
        <w:ind w:left="0" w:right="0"/>
        <w:rPr>
          <w:rFonts w:ascii="Arial" w:hAnsi="Arial" w:cs="Arial"/>
          <w:sz w:val="24"/>
          <w:szCs w:val="24"/>
        </w:rPr>
      </w:pPr>
    </w:p>
    <w:p w14:paraId="0BB4CF06" w14:textId="77777777" w:rsidR="001217A3" w:rsidRDefault="001217A3">
      <w:pPr>
        <w:pStyle w:val="jose"/>
        <w:ind w:left="0" w:right="0"/>
        <w:rPr>
          <w:rFonts w:ascii="Arial" w:hAnsi="Arial" w:cs="Arial"/>
          <w:sz w:val="24"/>
          <w:szCs w:val="24"/>
        </w:rPr>
      </w:pPr>
      <w:r>
        <w:rPr>
          <w:rFonts w:ascii="Arial" w:hAnsi="Arial" w:cs="Arial"/>
          <w:b/>
          <w:sz w:val="24"/>
          <w:szCs w:val="24"/>
        </w:rPr>
        <w:t>D. Clasificación de Mercancías</w:t>
      </w:r>
    </w:p>
    <w:p w14:paraId="3276D858" w14:textId="77777777" w:rsidR="001217A3" w:rsidRDefault="001217A3">
      <w:pPr>
        <w:pStyle w:val="jose"/>
        <w:ind w:left="0" w:right="0"/>
        <w:rPr>
          <w:rFonts w:ascii="Arial" w:hAnsi="Arial" w:cs="Arial"/>
          <w:sz w:val="24"/>
          <w:szCs w:val="24"/>
        </w:rPr>
      </w:pPr>
    </w:p>
    <w:p w14:paraId="14568688" w14:textId="77777777" w:rsidR="001217A3" w:rsidRDefault="001217A3">
      <w:pPr>
        <w:pStyle w:val="jose"/>
        <w:ind w:left="0" w:right="0"/>
        <w:rPr>
          <w:rFonts w:ascii="Arial" w:hAnsi="Arial" w:cs="Arial"/>
          <w:sz w:val="24"/>
          <w:szCs w:val="24"/>
        </w:rPr>
      </w:pPr>
      <w:r>
        <w:rPr>
          <w:rFonts w:ascii="Arial" w:hAnsi="Arial" w:cs="Arial"/>
          <w:sz w:val="24"/>
          <w:szCs w:val="24"/>
        </w:rPr>
        <w:t>Se ha empleado la clasificación elaborada basada en la Nomenclatura del Sistema Armonizado de Designación y Codificación de Mercancías (S.A.) y de la Nomenclatura Común para los países miembros del Grupo Andino (NANDINA), basada en la V recomendación de Enmienda del Comité de Nomenclatura de la OMA.</w:t>
      </w:r>
    </w:p>
    <w:p w14:paraId="5673CBB9" w14:textId="77777777" w:rsidR="001217A3" w:rsidRDefault="001217A3">
      <w:pPr>
        <w:pStyle w:val="jose"/>
        <w:ind w:left="0" w:right="0"/>
        <w:rPr>
          <w:rFonts w:ascii="Arial" w:hAnsi="Arial" w:cs="Arial"/>
          <w:sz w:val="24"/>
          <w:szCs w:val="24"/>
        </w:rPr>
      </w:pPr>
    </w:p>
    <w:p w14:paraId="335B5A84" w14:textId="77777777" w:rsidR="001217A3" w:rsidRDefault="001217A3">
      <w:pPr>
        <w:pStyle w:val="jose"/>
        <w:ind w:left="0" w:right="0"/>
        <w:rPr>
          <w:rFonts w:ascii="Arial" w:hAnsi="Arial" w:cs="Arial"/>
          <w:sz w:val="24"/>
          <w:szCs w:val="24"/>
        </w:rPr>
      </w:pPr>
    </w:p>
    <w:p w14:paraId="52AC396B" w14:textId="77777777" w:rsidR="001217A3" w:rsidRDefault="001217A3">
      <w:pPr>
        <w:pStyle w:val="jose"/>
        <w:ind w:left="0" w:right="0"/>
        <w:rPr>
          <w:rFonts w:ascii="Arial" w:hAnsi="Arial" w:cs="Arial"/>
          <w:sz w:val="24"/>
          <w:szCs w:val="24"/>
        </w:rPr>
      </w:pPr>
      <w:r>
        <w:rPr>
          <w:rFonts w:ascii="Arial" w:hAnsi="Arial" w:cs="Arial"/>
          <w:b/>
          <w:sz w:val="24"/>
          <w:szCs w:val="24"/>
        </w:rPr>
        <w:t>E. Instancia de Registro</w:t>
      </w:r>
    </w:p>
    <w:p w14:paraId="342391F1" w14:textId="77777777" w:rsidR="001217A3" w:rsidRDefault="001217A3">
      <w:pPr>
        <w:pStyle w:val="jose"/>
        <w:ind w:left="0" w:right="0"/>
        <w:rPr>
          <w:rFonts w:ascii="Arial" w:hAnsi="Arial" w:cs="Arial"/>
          <w:sz w:val="24"/>
          <w:szCs w:val="24"/>
        </w:rPr>
      </w:pPr>
    </w:p>
    <w:p w14:paraId="53A29CBF" w14:textId="77777777" w:rsidR="001217A3" w:rsidRDefault="001217A3">
      <w:pPr>
        <w:pStyle w:val="jose"/>
        <w:ind w:left="0" w:right="0"/>
        <w:rPr>
          <w:rFonts w:ascii="Arial" w:hAnsi="Arial" w:cs="Arial"/>
          <w:sz w:val="24"/>
          <w:szCs w:val="24"/>
        </w:rPr>
      </w:pPr>
      <w:r>
        <w:rPr>
          <w:rFonts w:ascii="Arial" w:hAnsi="Arial" w:cs="Arial"/>
          <w:sz w:val="24"/>
          <w:szCs w:val="24"/>
        </w:rPr>
        <w:t>Para el caso de las importaciones, el momento de registro corresponde a la fecha de numeración de la DAM. En el caso de las exportaciones, el momento de registro es la fecha de embarque de las mercancías y debidamente regularizadas.</w:t>
      </w:r>
    </w:p>
    <w:p w14:paraId="20642F32" w14:textId="77777777" w:rsidR="001217A3" w:rsidRDefault="001217A3">
      <w:pPr>
        <w:pStyle w:val="jose"/>
        <w:ind w:left="0" w:right="0"/>
        <w:rPr>
          <w:rFonts w:ascii="Arial" w:hAnsi="Arial" w:cs="Arial"/>
          <w:sz w:val="24"/>
          <w:szCs w:val="24"/>
        </w:rPr>
      </w:pPr>
    </w:p>
    <w:p w14:paraId="3E73428B" w14:textId="77777777" w:rsidR="001217A3" w:rsidRDefault="001217A3">
      <w:pPr>
        <w:pStyle w:val="jose"/>
        <w:ind w:left="0" w:right="0"/>
        <w:rPr>
          <w:rFonts w:ascii="Arial" w:hAnsi="Arial" w:cs="Arial"/>
          <w:sz w:val="24"/>
          <w:szCs w:val="24"/>
        </w:rPr>
      </w:pPr>
    </w:p>
    <w:p w14:paraId="66CC9CDE" w14:textId="77777777" w:rsidR="001217A3" w:rsidRDefault="001217A3">
      <w:pPr>
        <w:pStyle w:val="jose"/>
        <w:ind w:left="0" w:right="0"/>
        <w:rPr>
          <w:rFonts w:ascii="Arial" w:hAnsi="Arial" w:cs="Arial"/>
          <w:sz w:val="24"/>
          <w:szCs w:val="24"/>
        </w:rPr>
      </w:pPr>
      <w:r>
        <w:rPr>
          <w:rFonts w:ascii="Arial" w:hAnsi="Arial" w:cs="Arial"/>
          <w:b/>
          <w:sz w:val="24"/>
          <w:szCs w:val="24"/>
        </w:rPr>
        <w:t>F. Valores</w:t>
      </w:r>
    </w:p>
    <w:p w14:paraId="52AAF0B3" w14:textId="77777777" w:rsidR="001217A3" w:rsidRDefault="001217A3">
      <w:pPr>
        <w:pStyle w:val="jose"/>
        <w:ind w:left="0" w:right="0"/>
        <w:rPr>
          <w:rFonts w:ascii="Arial" w:hAnsi="Arial" w:cs="Arial"/>
          <w:sz w:val="24"/>
          <w:szCs w:val="24"/>
        </w:rPr>
      </w:pPr>
    </w:p>
    <w:p w14:paraId="02E0ED21" w14:textId="77777777" w:rsidR="001217A3" w:rsidRDefault="001217A3">
      <w:pPr>
        <w:pStyle w:val="jose"/>
        <w:ind w:left="0" w:right="0"/>
        <w:rPr>
          <w:rFonts w:ascii="Arial" w:hAnsi="Arial" w:cs="Arial"/>
          <w:sz w:val="24"/>
          <w:szCs w:val="24"/>
        </w:rPr>
      </w:pPr>
      <w:r>
        <w:rPr>
          <w:rFonts w:ascii="Arial" w:hAnsi="Arial" w:cs="Arial"/>
          <w:sz w:val="24"/>
          <w:szCs w:val="24"/>
        </w:rPr>
        <w:t>Los valores consignados para las exportaciones se refieren a precios FOB (libre a bordo) en el puerto lugar de embarque de las mercancías.</w:t>
      </w:r>
    </w:p>
    <w:p w14:paraId="09F5C643" w14:textId="77777777" w:rsidR="001217A3" w:rsidRDefault="001217A3">
      <w:pPr>
        <w:pStyle w:val="jose"/>
        <w:ind w:left="0" w:right="0"/>
        <w:rPr>
          <w:rFonts w:ascii="Arial" w:hAnsi="Arial" w:cs="Arial"/>
          <w:sz w:val="24"/>
          <w:szCs w:val="24"/>
        </w:rPr>
      </w:pPr>
    </w:p>
    <w:p w14:paraId="34C39F75" w14:textId="77777777" w:rsidR="001217A3" w:rsidRDefault="001217A3">
      <w:pPr>
        <w:pStyle w:val="jose"/>
        <w:ind w:left="0" w:right="0"/>
        <w:rPr>
          <w:rFonts w:ascii="Arial" w:hAnsi="Arial" w:cs="Arial"/>
          <w:sz w:val="24"/>
          <w:szCs w:val="24"/>
        </w:rPr>
      </w:pPr>
      <w:r>
        <w:rPr>
          <w:rFonts w:ascii="Arial" w:hAnsi="Arial" w:cs="Arial"/>
          <w:sz w:val="24"/>
          <w:szCs w:val="24"/>
        </w:rPr>
        <w:t xml:space="preserve">En el caso del régimen de importación para el consumo, los valores se refieren a precios CIF que incluyen la valoración aduanera de bienes más el flete, seguros y </w:t>
      </w:r>
      <w:r>
        <w:rPr>
          <w:rFonts w:ascii="Arial" w:hAnsi="Arial" w:cs="Arial"/>
          <w:sz w:val="24"/>
          <w:szCs w:val="24"/>
        </w:rPr>
        <w:lastRenderedPageBreak/>
        <w:t>otros gastos incurridos cuando se traen las mercancías desde el lugar de embarque, en el extranjero, hasta el lugar de nacionalización en el Perú.</w:t>
      </w:r>
    </w:p>
    <w:p w14:paraId="4FC90EEE" w14:textId="77777777" w:rsidR="001217A3" w:rsidRDefault="001217A3">
      <w:pPr>
        <w:pStyle w:val="jose"/>
        <w:ind w:left="0" w:right="0"/>
        <w:rPr>
          <w:rFonts w:ascii="Arial" w:hAnsi="Arial" w:cs="Arial"/>
          <w:sz w:val="24"/>
          <w:szCs w:val="24"/>
        </w:rPr>
      </w:pPr>
      <w:r>
        <w:rPr>
          <w:rFonts w:ascii="Arial" w:hAnsi="Arial" w:cs="Arial"/>
          <w:sz w:val="24"/>
          <w:szCs w:val="24"/>
        </w:rPr>
        <w:t>Los valores consignados en monedas distintas al dólar norteamericano son convertidos a la moneda estadounidense, según el tipo de cambio promedio ponderado de venta, publicado por la Superintendencia de Banca y Seguros, vigente a la fecha de numeración de la declaración para importar y para la exportación la fecha que consigna el término de embarque.</w:t>
      </w:r>
    </w:p>
    <w:p w14:paraId="6F4E9D55" w14:textId="77777777" w:rsidR="001217A3" w:rsidRDefault="001217A3">
      <w:pPr>
        <w:pStyle w:val="jose"/>
        <w:ind w:left="0" w:right="0"/>
        <w:rPr>
          <w:rFonts w:ascii="Arial" w:hAnsi="Arial" w:cs="Arial"/>
          <w:sz w:val="24"/>
          <w:szCs w:val="24"/>
        </w:rPr>
      </w:pPr>
    </w:p>
    <w:p w14:paraId="35F6B85F" w14:textId="77777777" w:rsidR="001217A3" w:rsidRDefault="001217A3">
      <w:pPr>
        <w:pStyle w:val="jose"/>
        <w:ind w:left="0" w:right="0"/>
        <w:rPr>
          <w:rFonts w:ascii="Arial" w:hAnsi="Arial" w:cs="Arial"/>
          <w:sz w:val="24"/>
          <w:szCs w:val="24"/>
        </w:rPr>
      </w:pPr>
      <w:r>
        <w:rPr>
          <w:rFonts w:ascii="Arial" w:hAnsi="Arial" w:cs="Arial"/>
          <w:sz w:val="24"/>
          <w:szCs w:val="24"/>
        </w:rPr>
        <w:t>Los valores (FOB, CIF) globales están expresados en miles de dólares, considerando dos decimales.</w:t>
      </w:r>
    </w:p>
    <w:p w14:paraId="550BDCF7" w14:textId="77777777" w:rsidR="001217A3" w:rsidRDefault="001217A3">
      <w:pPr>
        <w:pStyle w:val="jose"/>
        <w:ind w:left="0" w:right="0"/>
        <w:rPr>
          <w:rFonts w:ascii="Arial" w:hAnsi="Arial" w:cs="Arial"/>
          <w:sz w:val="24"/>
          <w:szCs w:val="24"/>
        </w:rPr>
      </w:pPr>
    </w:p>
    <w:p w14:paraId="4328E25F" w14:textId="77777777" w:rsidR="001217A3" w:rsidRDefault="001217A3">
      <w:pPr>
        <w:pStyle w:val="jose"/>
        <w:ind w:left="0" w:right="0"/>
        <w:rPr>
          <w:rFonts w:ascii="Arial" w:hAnsi="Arial" w:cs="Arial"/>
          <w:sz w:val="24"/>
          <w:szCs w:val="24"/>
        </w:rPr>
      </w:pPr>
      <w:r>
        <w:rPr>
          <w:rFonts w:ascii="Arial" w:hAnsi="Arial" w:cs="Arial"/>
          <w:sz w:val="24"/>
          <w:szCs w:val="24"/>
        </w:rPr>
        <w:t>Respecto de los criterios de valoración adoptados por la SUNAT, con la aplicación plena del Acuerdo de Valoración de la Organización Mundial del Comercio, el valor en Aduana se establece de acuerdo al valor de las transacciones de las mercancías importadas.</w:t>
      </w:r>
    </w:p>
    <w:p w14:paraId="12812CE8" w14:textId="77777777" w:rsidR="001217A3" w:rsidRDefault="001217A3">
      <w:pPr>
        <w:pStyle w:val="jose"/>
        <w:ind w:left="283" w:right="0" w:hanging="283"/>
        <w:rPr>
          <w:rFonts w:ascii="Arial" w:hAnsi="Arial" w:cs="Arial"/>
          <w:sz w:val="24"/>
          <w:szCs w:val="24"/>
        </w:rPr>
      </w:pPr>
    </w:p>
    <w:p w14:paraId="00A48452" w14:textId="77777777" w:rsidR="001217A3" w:rsidRDefault="001217A3">
      <w:pPr>
        <w:pStyle w:val="jose"/>
        <w:ind w:left="0" w:right="0"/>
        <w:rPr>
          <w:rFonts w:ascii="Arial" w:hAnsi="Arial" w:cs="Arial"/>
          <w:sz w:val="24"/>
          <w:szCs w:val="24"/>
        </w:rPr>
      </w:pPr>
    </w:p>
    <w:p w14:paraId="4274EE91" w14:textId="77777777" w:rsidR="001217A3" w:rsidRDefault="001217A3">
      <w:pPr>
        <w:pStyle w:val="jose"/>
        <w:ind w:left="0" w:right="0"/>
        <w:rPr>
          <w:rFonts w:ascii="Arial" w:hAnsi="Arial" w:cs="Arial"/>
          <w:sz w:val="24"/>
          <w:szCs w:val="24"/>
        </w:rPr>
      </w:pPr>
      <w:r>
        <w:rPr>
          <w:rFonts w:ascii="Arial" w:hAnsi="Arial" w:cs="Arial"/>
          <w:b/>
          <w:sz w:val="24"/>
          <w:szCs w:val="24"/>
        </w:rPr>
        <w:t>G. Otras Consideraciones</w:t>
      </w:r>
    </w:p>
    <w:p w14:paraId="1AF11409" w14:textId="77777777" w:rsidR="001217A3" w:rsidRDefault="001217A3">
      <w:pPr>
        <w:pStyle w:val="jose"/>
        <w:ind w:left="0" w:right="0"/>
        <w:rPr>
          <w:rFonts w:ascii="Arial" w:hAnsi="Arial" w:cs="Arial"/>
          <w:sz w:val="24"/>
          <w:szCs w:val="24"/>
        </w:rPr>
      </w:pPr>
    </w:p>
    <w:p w14:paraId="2D9A56AB" w14:textId="77777777" w:rsidR="001217A3" w:rsidRDefault="001217A3">
      <w:pPr>
        <w:pStyle w:val="jose"/>
        <w:ind w:left="0" w:right="0"/>
        <w:rPr>
          <w:rFonts w:ascii="Arial" w:hAnsi="Arial" w:cs="Arial"/>
          <w:sz w:val="24"/>
          <w:szCs w:val="24"/>
        </w:rPr>
      </w:pPr>
      <w:r>
        <w:rPr>
          <w:rFonts w:ascii="Arial" w:hAnsi="Arial" w:cs="Arial"/>
          <w:sz w:val="24"/>
          <w:szCs w:val="24"/>
        </w:rPr>
        <w:t xml:space="preserve">En las estadísticas desagregadas de los regímenes de importación para el consumo y exportación definitiva, los pesos NETO o BRUTO se expresan en kilogramos, considerando dos decimales. </w:t>
      </w:r>
    </w:p>
    <w:p w14:paraId="14FB96D8" w14:textId="77777777" w:rsidR="001217A3" w:rsidRDefault="001217A3">
      <w:pPr>
        <w:pStyle w:val="jose"/>
        <w:ind w:left="0" w:right="0"/>
        <w:rPr>
          <w:rFonts w:ascii="Arial" w:hAnsi="Arial" w:cs="Arial"/>
          <w:sz w:val="24"/>
          <w:szCs w:val="24"/>
        </w:rPr>
      </w:pPr>
    </w:p>
    <w:p w14:paraId="12D6A334" w14:textId="77777777" w:rsidR="001217A3" w:rsidRDefault="001217A3">
      <w:pPr>
        <w:pStyle w:val="jose"/>
        <w:ind w:left="0" w:right="0"/>
        <w:rPr>
          <w:rFonts w:ascii="Arial" w:hAnsi="Arial" w:cs="Arial"/>
          <w:sz w:val="24"/>
          <w:szCs w:val="24"/>
        </w:rPr>
      </w:pPr>
      <w:r>
        <w:rPr>
          <w:rFonts w:ascii="Arial" w:hAnsi="Arial" w:cs="Arial"/>
          <w:sz w:val="24"/>
          <w:szCs w:val="24"/>
        </w:rPr>
        <w:t>La SUNAT publica lo referente a las importaciones según el país de origen. Para el caso de las exportaciones se clasifica según el país de destino, lo que se determina en el momento del embarque.</w:t>
      </w:r>
    </w:p>
    <w:p w14:paraId="4F3FC759" w14:textId="77777777" w:rsidR="001217A3" w:rsidRDefault="001217A3">
      <w:pPr>
        <w:pStyle w:val="jose"/>
        <w:ind w:left="0" w:right="0"/>
        <w:rPr>
          <w:rFonts w:ascii="Arial" w:hAnsi="Arial" w:cs="Arial"/>
          <w:sz w:val="24"/>
          <w:szCs w:val="24"/>
        </w:rPr>
      </w:pPr>
    </w:p>
    <w:p w14:paraId="5CCF89C8" w14:textId="77777777" w:rsidR="001217A3" w:rsidRDefault="001217A3">
      <w:pPr>
        <w:pStyle w:val="jose"/>
        <w:ind w:left="0" w:right="335"/>
        <w:rPr>
          <w:rFonts w:ascii="Arial" w:hAnsi="Arial" w:cs="Arial"/>
          <w:sz w:val="24"/>
          <w:szCs w:val="24"/>
        </w:rPr>
      </w:pPr>
    </w:p>
    <w:p w14:paraId="20E59F71" w14:textId="77777777" w:rsidR="001217A3" w:rsidRDefault="001217A3">
      <w:pPr>
        <w:pStyle w:val="jose"/>
        <w:ind w:left="0" w:right="335"/>
        <w:rPr>
          <w:rFonts w:ascii="Arial" w:hAnsi="Arial" w:cs="Arial"/>
          <w:sz w:val="24"/>
          <w:szCs w:val="24"/>
        </w:rPr>
      </w:pPr>
    </w:p>
    <w:p w14:paraId="2422671A" w14:textId="77777777" w:rsidR="001217A3" w:rsidRDefault="001217A3">
      <w:pPr>
        <w:pStyle w:val="jose"/>
        <w:ind w:left="0" w:right="335"/>
        <w:rPr>
          <w:rFonts w:ascii="Arial" w:hAnsi="Arial" w:cs="Arial"/>
          <w:sz w:val="24"/>
          <w:szCs w:val="24"/>
        </w:rPr>
      </w:pPr>
    </w:p>
    <w:p w14:paraId="56DA1AFF" w14:textId="77777777" w:rsidR="001217A3" w:rsidRDefault="001217A3">
      <w:pPr>
        <w:pStyle w:val="jose"/>
        <w:ind w:left="0" w:right="335"/>
        <w:rPr>
          <w:rFonts w:ascii="Arial" w:hAnsi="Arial" w:cs="Arial"/>
          <w:sz w:val="24"/>
          <w:szCs w:val="24"/>
        </w:rPr>
      </w:pPr>
    </w:p>
    <w:p w14:paraId="084A9E94" w14:textId="77777777" w:rsidR="001217A3" w:rsidRDefault="001217A3">
      <w:pPr>
        <w:pStyle w:val="jose"/>
        <w:ind w:left="0" w:right="335"/>
        <w:rPr>
          <w:rFonts w:ascii="Arial" w:hAnsi="Arial" w:cs="Arial"/>
          <w:sz w:val="24"/>
          <w:szCs w:val="24"/>
        </w:rPr>
      </w:pPr>
    </w:p>
    <w:p w14:paraId="31B2437F" w14:textId="77777777" w:rsidR="001217A3" w:rsidRDefault="001217A3">
      <w:pPr>
        <w:pStyle w:val="jose"/>
        <w:ind w:left="0" w:right="335"/>
        <w:rPr>
          <w:rFonts w:ascii="Arial" w:hAnsi="Arial" w:cs="Arial"/>
          <w:sz w:val="24"/>
          <w:szCs w:val="24"/>
        </w:rPr>
      </w:pPr>
    </w:p>
    <w:p w14:paraId="1ED42DAA" w14:textId="77777777" w:rsidR="001217A3" w:rsidRDefault="001217A3">
      <w:pPr>
        <w:pStyle w:val="jose"/>
        <w:ind w:left="0" w:right="335"/>
        <w:rPr>
          <w:rFonts w:ascii="Arial" w:hAnsi="Arial" w:cs="Arial"/>
        </w:rPr>
      </w:pPr>
    </w:p>
    <w:p w14:paraId="4CE89405" w14:textId="77777777" w:rsidR="001217A3" w:rsidRDefault="001217A3">
      <w:pPr>
        <w:pStyle w:val="jose"/>
        <w:ind w:left="0" w:right="335"/>
        <w:rPr>
          <w:rFonts w:ascii="Arial" w:hAnsi="Arial" w:cs="Arial"/>
        </w:rPr>
      </w:pPr>
    </w:p>
    <w:p w14:paraId="118365AD" w14:textId="77777777" w:rsidR="001217A3" w:rsidRDefault="001217A3">
      <w:pPr>
        <w:pStyle w:val="jose"/>
        <w:ind w:left="284" w:right="0"/>
        <w:jc w:val="left"/>
        <w:rPr>
          <w:rFonts w:ascii="Arial" w:hAnsi="Arial" w:cs="Arial"/>
          <w:sz w:val="24"/>
          <w:szCs w:val="24"/>
        </w:rPr>
      </w:pPr>
    </w:p>
    <w:p w14:paraId="78E059DD" w14:textId="77777777" w:rsidR="001217A3" w:rsidRDefault="001217A3" w:rsidP="002D13C5">
      <w:pPr>
        <w:pStyle w:val="jose"/>
        <w:ind w:left="0" w:right="0"/>
        <w:jc w:val="left"/>
        <w:rPr>
          <w:rFonts w:ascii="Arial" w:hAnsi="Arial" w:cs="Arial"/>
          <w:sz w:val="24"/>
          <w:szCs w:val="24"/>
        </w:rPr>
      </w:pPr>
    </w:p>
    <w:p w14:paraId="51E46015" w14:textId="77777777" w:rsidR="001217A3" w:rsidRDefault="001217A3">
      <w:pPr>
        <w:pStyle w:val="jose"/>
        <w:ind w:left="284" w:right="0"/>
        <w:jc w:val="left"/>
        <w:rPr>
          <w:rFonts w:ascii="Arial" w:hAnsi="Arial" w:cs="Arial"/>
          <w:sz w:val="24"/>
          <w:szCs w:val="24"/>
        </w:rPr>
      </w:pPr>
    </w:p>
    <w:p w14:paraId="4146D594" w14:textId="77777777" w:rsidR="001217A3" w:rsidRDefault="001217A3">
      <w:pPr>
        <w:pStyle w:val="jose"/>
        <w:ind w:left="284" w:right="0"/>
        <w:jc w:val="left"/>
        <w:rPr>
          <w:rFonts w:ascii="Arial" w:hAnsi="Arial" w:cs="Arial"/>
          <w:sz w:val="24"/>
          <w:szCs w:val="24"/>
        </w:rPr>
      </w:pPr>
    </w:p>
    <w:p w14:paraId="557C6156" w14:textId="77777777" w:rsidR="001217A3" w:rsidRDefault="001217A3">
      <w:pPr>
        <w:pStyle w:val="jose"/>
        <w:ind w:left="284" w:right="0"/>
        <w:jc w:val="left"/>
        <w:rPr>
          <w:rFonts w:ascii="Arial" w:hAnsi="Arial" w:cs="Arial"/>
          <w:sz w:val="24"/>
          <w:szCs w:val="24"/>
        </w:rPr>
      </w:pPr>
    </w:p>
    <w:p w14:paraId="1FAF0087" w14:textId="77777777" w:rsidR="001217A3" w:rsidRDefault="001217A3">
      <w:pPr>
        <w:pStyle w:val="jose"/>
        <w:ind w:left="284" w:right="0"/>
        <w:jc w:val="left"/>
        <w:rPr>
          <w:rFonts w:ascii="Arial" w:hAnsi="Arial" w:cs="Arial"/>
          <w:sz w:val="24"/>
          <w:szCs w:val="24"/>
        </w:rPr>
      </w:pPr>
    </w:p>
    <w:p w14:paraId="17B3FE2E" w14:textId="77777777" w:rsidR="001217A3" w:rsidRDefault="001217A3">
      <w:pPr>
        <w:pStyle w:val="jose"/>
        <w:ind w:left="284" w:right="0"/>
        <w:jc w:val="left"/>
        <w:rPr>
          <w:rFonts w:ascii="Arial" w:hAnsi="Arial" w:cs="Arial"/>
          <w:sz w:val="24"/>
          <w:szCs w:val="24"/>
        </w:rPr>
      </w:pPr>
    </w:p>
    <w:p w14:paraId="6F2AFAF5" w14:textId="77777777" w:rsidR="001217A3" w:rsidRDefault="001217A3">
      <w:pPr>
        <w:pStyle w:val="jose"/>
        <w:ind w:left="284" w:right="0"/>
        <w:jc w:val="left"/>
        <w:rPr>
          <w:rFonts w:ascii="Arial" w:hAnsi="Arial" w:cs="Arial"/>
          <w:sz w:val="24"/>
          <w:szCs w:val="24"/>
        </w:rPr>
      </w:pPr>
    </w:p>
    <w:p w14:paraId="5EEA7772" w14:textId="77777777" w:rsidR="001217A3" w:rsidRDefault="001217A3">
      <w:pPr>
        <w:pStyle w:val="jose"/>
        <w:ind w:left="284" w:right="0"/>
        <w:jc w:val="left"/>
        <w:rPr>
          <w:rFonts w:ascii="Arial" w:hAnsi="Arial" w:cs="Arial"/>
          <w:sz w:val="24"/>
          <w:szCs w:val="24"/>
        </w:rPr>
      </w:pPr>
    </w:p>
    <w:p w14:paraId="63F546B9" w14:textId="77777777" w:rsidR="001217A3" w:rsidRDefault="001217A3">
      <w:pPr>
        <w:pStyle w:val="jose"/>
        <w:ind w:left="284" w:right="0"/>
        <w:jc w:val="left"/>
        <w:rPr>
          <w:rFonts w:ascii="Arial" w:hAnsi="Arial" w:cs="Arial"/>
          <w:sz w:val="24"/>
          <w:szCs w:val="24"/>
        </w:rPr>
      </w:pPr>
    </w:p>
    <w:p w14:paraId="53A72024" w14:textId="77777777" w:rsidR="001217A3" w:rsidRDefault="001217A3">
      <w:pPr>
        <w:pStyle w:val="jose"/>
        <w:ind w:left="284" w:right="0"/>
        <w:jc w:val="left"/>
        <w:rPr>
          <w:rFonts w:ascii="Arial" w:hAnsi="Arial" w:cs="Arial"/>
          <w:sz w:val="24"/>
          <w:szCs w:val="24"/>
        </w:rPr>
      </w:pPr>
    </w:p>
    <w:p w14:paraId="4D88E55C" w14:textId="77777777" w:rsidR="001217A3" w:rsidRDefault="001217A3">
      <w:pPr>
        <w:pStyle w:val="NormalWeb"/>
        <w:spacing w:before="0" w:beforeAutospacing="0" w:after="0" w:afterAutospacing="0"/>
        <w:jc w:val="both"/>
        <w:rPr>
          <w:rFonts w:ascii="Arial" w:hAnsi="Arial" w:cs="Arial"/>
          <w:bCs/>
        </w:rPr>
      </w:pPr>
    </w:p>
    <w:sectPr w:rsidR="001217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FD08826"/>
    <w:lvl w:ilvl="0">
      <w:start w:val="1"/>
      <w:numFmt w:val="bullet"/>
      <w:pStyle w:val="Normal"/>
      <w:lvlText w:val=""/>
      <w:lvlJc w:val="left"/>
      <w:pPr>
        <w:tabs>
          <w:tab w:val="num" w:pos="643"/>
        </w:tabs>
        <w:ind w:left="643" w:hanging="360"/>
      </w:pPr>
      <w:rPr>
        <w:rFonts w:ascii="Symbol" w:hAnsi="Symbol" w:hint="default"/>
      </w:rPr>
    </w:lvl>
  </w:abstractNum>
  <w:abstractNum w:abstractNumId="1" w15:restartNumberingAfterBreak="0">
    <w:nsid w:val="6A8E05E3"/>
    <w:multiLevelType w:val="hybridMultilevel"/>
    <w:tmpl w:val="F036F864"/>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6CEA23DA"/>
    <w:multiLevelType w:val="hybridMultilevel"/>
    <w:tmpl w:val="2312D0BC"/>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792668FD"/>
    <w:multiLevelType w:val="multilevel"/>
    <w:tmpl w:val="200CC03A"/>
    <w:lvl w:ilvl="0">
      <w:start w:val="1"/>
      <w:numFmt w:val="decimal"/>
      <w:pStyle w:val="Ttulo1"/>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16cid:durableId="117261788">
    <w:abstractNumId w:val="3"/>
  </w:num>
  <w:num w:numId="2" w16cid:durableId="1405833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0213708">
    <w:abstractNumId w:val="0"/>
  </w:num>
  <w:num w:numId="4" w16cid:durableId="464549496">
    <w:abstractNumId w:val="0"/>
  </w:num>
  <w:num w:numId="5" w16cid:durableId="883521240">
    <w:abstractNumId w:val="0"/>
    <w:lvlOverride w:ilvl="0"/>
  </w:num>
  <w:num w:numId="6" w16cid:durableId="359670172">
    <w:abstractNumId w:val="1"/>
  </w:num>
  <w:num w:numId="7" w16cid:durableId="4809688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4439532">
    <w:abstractNumId w:val="2"/>
  </w:num>
  <w:num w:numId="9" w16cid:durableId="98385164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73"/>
    <w:rsid w:val="001217A3"/>
    <w:rsid w:val="002D13C5"/>
    <w:rsid w:val="0078684B"/>
    <w:rsid w:val="00871E0F"/>
    <w:rsid w:val="00DF757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51FA1"/>
  <w15:chartTrackingRefBased/>
  <w15:docId w15:val="{98EABDE4-6580-4457-83B6-90919EA7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pPr>
      <w:keepNext/>
      <w:numPr>
        <w:numId w:val="2"/>
      </w:numPr>
      <w:tabs>
        <w:tab w:val="left" w:pos="425"/>
      </w:tabs>
      <w:jc w:val="both"/>
      <w:outlineLvl w:val="0"/>
    </w:pPr>
    <w:rPr>
      <w:rFonts w:ascii="Helvetica" w:hAnsi="Helvetica"/>
      <w:b/>
      <w:sz w:val="28"/>
      <w:szCs w:val="20"/>
    </w:rPr>
  </w:style>
  <w:style w:type="paragraph" w:styleId="Ttulo2">
    <w:name w:val="heading 2"/>
    <w:basedOn w:val="Normal"/>
    <w:next w:val="Normal"/>
    <w:link w:val="Ttulo2Car"/>
    <w:uiPriority w:val="9"/>
    <w:qFormat/>
    <w:pPr>
      <w:keepNext/>
      <w:outlineLvl w:val="1"/>
    </w:pPr>
    <w:rPr>
      <w:rFonts w:ascii="Arial" w:hAnsi="Arial" w:cs="Arial"/>
      <w:b/>
      <w:bCs/>
      <w:sz w:val="22"/>
    </w:rPr>
  </w:style>
  <w:style w:type="paragraph" w:styleId="Ttulo3">
    <w:name w:val="heading 3"/>
    <w:basedOn w:val="Normal"/>
    <w:next w:val="Normal"/>
    <w:link w:val="Ttulo3Car"/>
    <w:uiPriority w:val="9"/>
    <w:qFormat/>
    <w:pPr>
      <w:keepNext/>
      <w:autoSpaceDE w:val="0"/>
      <w:autoSpaceDN w:val="0"/>
      <w:adjustRightInd w:val="0"/>
      <w:jc w:val="both"/>
      <w:outlineLvl w:val="2"/>
    </w:pPr>
    <w:rPr>
      <w:rFonts w:ascii="Arial" w:hAnsi="Arial" w:cs="Arial"/>
      <w:b/>
      <w:bCs/>
      <w:sz w:val="22"/>
      <w:lang w:val="es-PE"/>
    </w:rPr>
  </w:style>
  <w:style w:type="paragraph" w:styleId="Ttulo4">
    <w:name w:val="heading 4"/>
    <w:basedOn w:val="Normal"/>
    <w:next w:val="Normal"/>
    <w:link w:val="Ttulo4Car"/>
    <w:uiPriority w:val="9"/>
    <w:qFormat/>
    <w:pPr>
      <w:keepNext/>
      <w:numPr>
        <w:ilvl w:val="3"/>
        <w:numId w:val="2"/>
      </w:numPr>
      <w:jc w:val="both"/>
      <w:outlineLvl w:val="3"/>
    </w:pPr>
    <w:rPr>
      <w:rFonts w:ascii="Arial" w:hAnsi="Arial"/>
      <w:szCs w:val="20"/>
    </w:rPr>
  </w:style>
  <w:style w:type="paragraph" w:styleId="Ttulo5">
    <w:name w:val="heading 5"/>
    <w:basedOn w:val="Normal"/>
    <w:next w:val="Normal"/>
    <w:link w:val="Ttulo5Car"/>
    <w:uiPriority w:val="9"/>
    <w:qFormat/>
    <w:pPr>
      <w:keepNext/>
      <w:numPr>
        <w:ilvl w:val="4"/>
        <w:numId w:val="2"/>
      </w:numPr>
      <w:jc w:val="both"/>
      <w:outlineLvl w:val="4"/>
    </w:pPr>
    <w:rPr>
      <w:rFonts w:ascii="Arial" w:hAnsi="Arial"/>
      <w:sz w:val="28"/>
      <w:szCs w:val="20"/>
    </w:rPr>
  </w:style>
  <w:style w:type="paragraph" w:styleId="Ttulo6">
    <w:name w:val="heading 6"/>
    <w:basedOn w:val="Normal"/>
    <w:next w:val="Normal"/>
    <w:link w:val="Ttulo6Car"/>
    <w:uiPriority w:val="9"/>
    <w:qFormat/>
    <w:pPr>
      <w:keepNext/>
      <w:numPr>
        <w:ilvl w:val="5"/>
        <w:numId w:val="2"/>
      </w:numPr>
      <w:jc w:val="both"/>
      <w:outlineLvl w:val="5"/>
    </w:pPr>
    <w:rPr>
      <w:rFonts w:ascii="Arial" w:hAnsi="Arial"/>
      <w:sz w:val="36"/>
      <w:szCs w:val="20"/>
    </w:rPr>
  </w:style>
  <w:style w:type="paragraph" w:styleId="Ttulo7">
    <w:name w:val="heading 7"/>
    <w:basedOn w:val="Normal"/>
    <w:next w:val="Normal"/>
    <w:link w:val="Ttulo7Car"/>
    <w:uiPriority w:val="9"/>
    <w:semiHidden/>
    <w:qFormat/>
    <w:pPr>
      <w:keepNext/>
      <w:numPr>
        <w:ilvl w:val="6"/>
        <w:numId w:val="2"/>
      </w:numPr>
      <w:jc w:val="right"/>
      <w:outlineLvl w:val="6"/>
    </w:pPr>
    <w:rPr>
      <w:rFonts w:ascii="Arial" w:hAnsi="Arial"/>
      <w:b/>
      <w:sz w:val="28"/>
      <w:szCs w:val="20"/>
    </w:rPr>
  </w:style>
  <w:style w:type="paragraph" w:styleId="Ttulo8">
    <w:name w:val="heading 8"/>
    <w:basedOn w:val="Normal"/>
    <w:next w:val="Normal"/>
    <w:link w:val="Ttulo8Car"/>
    <w:uiPriority w:val="9"/>
    <w:semiHidden/>
    <w:qFormat/>
    <w:pPr>
      <w:keepNext/>
      <w:numPr>
        <w:ilvl w:val="7"/>
        <w:numId w:val="2"/>
      </w:numPr>
      <w:ind w:right="-284"/>
      <w:jc w:val="right"/>
      <w:outlineLvl w:val="7"/>
    </w:pPr>
    <w:rPr>
      <w:rFonts w:ascii="Arial" w:hAnsi="Arial"/>
      <w:b/>
      <w:sz w:val="32"/>
      <w:szCs w:val="20"/>
    </w:rPr>
  </w:style>
  <w:style w:type="paragraph" w:styleId="Ttulo9">
    <w:name w:val="heading 9"/>
    <w:basedOn w:val="Normal"/>
    <w:next w:val="Normal"/>
    <w:link w:val="Ttulo9Car"/>
    <w:uiPriority w:val="9"/>
    <w:semiHidden/>
    <w:qFormat/>
    <w:pPr>
      <w:keepNext/>
      <w:numPr>
        <w:ilvl w:val="8"/>
        <w:numId w:val="2"/>
      </w:numPr>
      <w:jc w:val="center"/>
      <w:outlineLvl w:val="8"/>
    </w:pPr>
    <w:rPr>
      <w:rFonts w:ascii="Arial" w:hAnsi="Arial"/>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Pr>
      <w:color w:val="0000FF"/>
      <w:u w:val="single"/>
    </w:rPr>
  </w:style>
  <w:style w:type="character" w:styleId="Hipervnculovisitado">
    <w:name w:val="FollowedHyperlink"/>
    <w:uiPriority w:val="99"/>
    <w:semiHidden/>
    <w:unhideWhenUsed/>
    <w:rPr>
      <w:color w:val="800080"/>
      <w:u w:val="single"/>
    </w:rPr>
  </w:style>
  <w:style w:type="character" w:customStyle="1" w:styleId="Ttulo1Car">
    <w:name w:val="Título 1 Car"/>
    <w:link w:val="Ttulo1"/>
    <w:uiPriority w:val="9"/>
    <w:rPr>
      <w:rFonts w:ascii="Cambria" w:eastAsia="Times New Roman" w:hAnsi="Cambria" w:cs="Times New Roman"/>
      <w:b/>
      <w:bCs/>
      <w:color w:val="365F91"/>
      <w:sz w:val="28"/>
      <w:szCs w:val="28"/>
      <w:lang w:val="es-ES" w:eastAsia="es-ES"/>
    </w:rPr>
  </w:style>
  <w:style w:type="character" w:customStyle="1" w:styleId="Ttulo2Car">
    <w:name w:val="Título 2 Car"/>
    <w:link w:val="Ttulo2"/>
    <w:uiPriority w:val="9"/>
    <w:rPr>
      <w:rFonts w:ascii="Cambria" w:eastAsia="Times New Roman" w:hAnsi="Cambria" w:cs="Times New Roman"/>
      <w:b/>
      <w:bCs/>
      <w:color w:val="4F81BD"/>
      <w:sz w:val="26"/>
      <w:szCs w:val="26"/>
      <w:lang w:val="es-ES" w:eastAsia="es-ES"/>
    </w:rPr>
  </w:style>
  <w:style w:type="character" w:customStyle="1" w:styleId="Ttulo3Car">
    <w:name w:val="Título 3 Car"/>
    <w:link w:val="Ttulo3"/>
    <w:uiPriority w:val="9"/>
    <w:rPr>
      <w:rFonts w:ascii="Cambria" w:eastAsia="Times New Roman" w:hAnsi="Cambria" w:cs="Times New Roman"/>
      <w:b/>
      <w:bCs/>
      <w:color w:val="4F81BD"/>
      <w:sz w:val="24"/>
      <w:szCs w:val="24"/>
      <w:lang w:val="es-ES" w:eastAsia="es-ES"/>
    </w:rPr>
  </w:style>
  <w:style w:type="character" w:customStyle="1" w:styleId="Ttulo4Car">
    <w:name w:val="Título 4 Car"/>
    <w:link w:val="Ttulo4"/>
    <w:uiPriority w:val="9"/>
    <w:rPr>
      <w:rFonts w:ascii="Cambria" w:eastAsia="Times New Roman" w:hAnsi="Cambria" w:cs="Times New Roman"/>
      <w:b/>
      <w:bCs/>
      <w:i/>
      <w:iCs/>
      <w:color w:val="4F81BD"/>
      <w:sz w:val="24"/>
      <w:szCs w:val="24"/>
      <w:lang w:val="es-ES" w:eastAsia="es-ES"/>
    </w:rPr>
  </w:style>
  <w:style w:type="character" w:customStyle="1" w:styleId="Ttulo5Car">
    <w:name w:val="Título 5 Car"/>
    <w:link w:val="Ttulo5"/>
    <w:uiPriority w:val="9"/>
    <w:rPr>
      <w:rFonts w:ascii="Cambria" w:eastAsia="Times New Roman" w:hAnsi="Cambria" w:cs="Times New Roman"/>
      <w:color w:val="243F60"/>
      <w:sz w:val="24"/>
      <w:szCs w:val="24"/>
      <w:lang w:val="es-ES" w:eastAsia="es-ES"/>
    </w:rPr>
  </w:style>
  <w:style w:type="character" w:customStyle="1" w:styleId="Ttulo6Car">
    <w:name w:val="Título 6 Car"/>
    <w:link w:val="Ttulo6"/>
    <w:uiPriority w:val="9"/>
    <w:rPr>
      <w:rFonts w:ascii="Cambria" w:eastAsia="Times New Roman" w:hAnsi="Cambria" w:cs="Times New Roman"/>
      <w:i/>
      <w:iCs/>
      <w:color w:val="243F60"/>
      <w:sz w:val="24"/>
      <w:szCs w:val="24"/>
      <w:lang w:val="es-ES" w:eastAsia="es-ES"/>
    </w:rPr>
  </w:style>
  <w:style w:type="paragraph" w:styleId="NormalWeb">
    <w:name w:val="Normal (Web)"/>
    <w:basedOn w:val="Normal"/>
    <w:uiPriority w:val="99"/>
    <w:semiHidden/>
    <w:unhideWhenUsed/>
    <w:pPr>
      <w:spacing w:before="100" w:beforeAutospacing="1" w:after="100" w:afterAutospacing="1"/>
    </w:pPr>
    <w:rPr>
      <w:rFonts w:ascii="Arial Unicode MS" w:eastAsia="Arial Unicode MS" w:hAnsi="Arial Unicode MS" w:cs="Arial Unicode MS"/>
    </w:rPr>
  </w:style>
  <w:style w:type="character" w:customStyle="1" w:styleId="Ttulo7Car">
    <w:name w:val="Título 7 Car"/>
    <w:link w:val="Ttulo7"/>
    <w:uiPriority w:val="9"/>
    <w:rPr>
      <w:rFonts w:ascii="Cambria" w:eastAsia="Times New Roman" w:hAnsi="Cambria" w:cs="Times New Roman"/>
      <w:i/>
      <w:iCs/>
      <w:color w:val="404040"/>
      <w:sz w:val="24"/>
      <w:szCs w:val="24"/>
      <w:lang w:val="es-ES" w:eastAsia="es-ES"/>
    </w:rPr>
  </w:style>
  <w:style w:type="character" w:customStyle="1" w:styleId="Ttulo8Car">
    <w:name w:val="Título 8 Car"/>
    <w:link w:val="Ttulo8"/>
    <w:uiPriority w:val="9"/>
    <w:rPr>
      <w:rFonts w:ascii="Cambria" w:eastAsia="Times New Roman" w:hAnsi="Cambria" w:cs="Times New Roman"/>
      <w:color w:val="404040"/>
      <w:lang w:val="es-ES" w:eastAsia="es-ES"/>
    </w:rPr>
  </w:style>
  <w:style w:type="character" w:customStyle="1" w:styleId="Ttulo9Car">
    <w:name w:val="Título 9 Car"/>
    <w:link w:val="Ttulo9"/>
    <w:uiPriority w:val="9"/>
    <w:rPr>
      <w:rFonts w:ascii="Cambria" w:eastAsia="Times New Roman" w:hAnsi="Cambria" w:cs="Times New Roman"/>
      <w:i/>
      <w:iCs/>
      <w:color w:val="404040"/>
      <w:lang w:val="es-ES" w:eastAsia="es-ES"/>
    </w:rPr>
  </w:style>
  <w:style w:type="paragraph" w:styleId="Textonotapie">
    <w:name w:val="footnote text"/>
    <w:basedOn w:val="Normal"/>
    <w:link w:val="TextonotapieCar"/>
    <w:uiPriority w:val="99"/>
    <w:semiHidden/>
    <w:unhideWhenUsed/>
    <w:rPr>
      <w:sz w:val="20"/>
      <w:szCs w:val="20"/>
    </w:rPr>
  </w:style>
  <w:style w:type="character" w:customStyle="1" w:styleId="TextonotapieCar">
    <w:name w:val="Texto nota pie Car"/>
    <w:link w:val="Textonotapie"/>
    <w:uiPriority w:val="99"/>
    <w:semiHidden/>
    <w:rPr>
      <w:lang w:val="es-ES" w:eastAsia="es-ES"/>
    </w:rPr>
  </w:style>
  <w:style w:type="paragraph" w:styleId="Encabezado">
    <w:name w:val="header"/>
    <w:basedOn w:val="Normal"/>
    <w:link w:val="EncabezadoCar"/>
    <w:uiPriority w:val="99"/>
    <w:semiHidden/>
    <w:unhideWhenUsed/>
    <w:pPr>
      <w:tabs>
        <w:tab w:val="center" w:pos="4419"/>
        <w:tab w:val="right" w:pos="8838"/>
      </w:tabs>
    </w:pPr>
  </w:style>
  <w:style w:type="character" w:customStyle="1" w:styleId="EncabezadoCar">
    <w:name w:val="Encabezado Car"/>
    <w:link w:val="Encabezado"/>
    <w:uiPriority w:val="99"/>
    <w:semiHidden/>
    <w:locked/>
    <w:rPr>
      <w:sz w:val="24"/>
      <w:szCs w:val="24"/>
      <w:lang w:val="es-ES" w:eastAsia="es-ES"/>
    </w:rPr>
  </w:style>
  <w:style w:type="paragraph" w:styleId="Piedepgina">
    <w:name w:val="footer"/>
    <w:basedOn w:val="Normal"/>
    <w:link w:val="PiedepginaCar"/>
    <w:uiPriority w:val="99"/>
    <w:semiHidden/>
    <w:unhideWhenUsed/>
    <w:pPr>
      <w:tabs>
        <w:tab w:val="center" w:pos="4419"/>
        <w:tab w:val="right" w:pos="8838"/>
      </w:tabs>
    </w:pPr>
  </w:style>
  <w:style w:type="character" w:customStyle="1" w:styleId="PiedepginaCar">
    <w:name w:val="Pie de página Car"/>
    <w:link w:val="Piedepgina"/>
    <w:uiPriority w:val="99"/>
    <w:semiHidden/>
    <w:locked/>
    <w:rPr>
      <w:sz w:val="24"/>
      <w:szCs w:val="24"/>
      <w:lang w:val="es-ES" w:eastAsia="es-ES"/>
    </w:rPr>
  </w:style>
  <w:style w:type="paragraph" w:styleId="Epgrafe">
    <w:name w:val="Epígrafe"/>
    <w:basedOn w:val="Normal"/>
    <w:next w:val="Normal"/>
    <w:semiHidden/>
    <w:qFormat/>
    <w:pPr>
      <w:spacing w:before="120" w:after="120"/>
    </w:pPr>
    <w:rPr>
      <w:b/>
      <w:bCs/>
      <w:sz w:val="20"/>
      <w:szCs w:val="20"/>
    </w:rPr>
  </w:style>
  <w:style w:type="paragraph" w:styleId="Listaconvietas2">
    <w:name w:val="List Bullet 2"/>
    <w:basedOn w:val="Normal"/>
    <w:autoRedefine/>
    <w:uiPriority w:val="99"/>
    <w:semiHidden/>
    <w:unhideWhenUsed/>
    <w:pPr>
      <w:numPr>
        <w:numId w:val="5"/>
      </w:numPr>
    </w:pPr>
  </w:style>
  <w:style w:type="paragraph" w:styleId="Ttulo">
    <w:name w:val="Title"/>
    <w:basedOn w:val="Normal"/>
    <w:link w:val="TtuloCar"/>
    <w:uiPriority w:val="10"/>
    <w:semiHidden/>
    <w:qFormat/>
    <w:pPr>
      <w:jc w:val="center"/>
    </w:pPr>
    <w:rPr>
      <w:rFonts w:ascii="Arial" w:hAnsi="Arial" w:cs="Arial"/>
      <w:b/>
      <w:bCs/>
    </w:rPr>
  </w:style>
  <w:style w:type="character" w:customStyle="1" w:styleId="TtuloCar">
    <w:name w:val="Título Car"/>
    <w:link w:val="Ttulo"/>
    <w:uiPriority w:val="10"/>
    <w:rPr>
      <w:rFonts w:ascii="Cambria" w:eastAsia="Times New Roman" w:hAnsi="Cambria" w:cs="Times New Roman"/>
      <w:color w:val="17365D"/>
      <w:spacing w:val="5"/>
      <w:kern w:val="28"/>
      <w:sz w:val="52"/>
      <w:szCs w:val="52"/>
      <w:lang w:val="es-ES" w:eastAsia="es-ES"/>
    </w:rPr>
  </w:style>
  <w:style w:type="paragraph" w:styleId="Textoindependiente">
    <w:name w:val="Body Text"/>
    <w:basedOn w:val="Normal"/>
    <w:link w:val="TextoindependienteCar"/>
    <w:uiPriority w:val="99"/>
    <w:semiHidden/>
    <w:unhideWhenUsed/>
    <w:pPr>
      <w:jc w:val="center"/>
    </w:pPr>
    <w:rPr>
      <w:rFonts w:ascii="Arial" w:hAnsi="Arial" w:cs="Arial"/>
      <w:sz w:val="20"/>
    </w:rPr>
  </w:style>
  <w:style w:type="character" w:customStyle="1" w:styleId="TextoindependienteCar">
    <w:name w:val="Texto independiente Car"/>
    <w:link w:val="Textoindependiente"/>
    <w:uiPriority w:val="99"/>
    <w:semiHidden/>
    <w:rPr>
      <w:sz w:val="24"/>
      <w:szCs w:val="24"/>
      <w:lang w:val="es-ES" w:eastAsia="es-ES"/>
    </w:rPr>
  </w:style>
  <w:style w:type="paragraph" w:styleId="Sangradetextonormal">
    <w:name w:val="Body Text Indent"/>
    <w:basedOn w:val="Normal"/>
    <w:link w:val="SangradetextonormalCar"/>
    <w:uiPriority w:val="99"/>
    <w:semiHidden/>
    <w:unhideWhenUsed/>
    <w:pPr>
      <w:ind w:left="992" w:hanging="992"/>
      <w:jc w:val="both"/>
    </w:pPr>
    <w:rPr>
      <w:rFonts w:ascii="Arial" w:hAnsi="Arial"/>
      <w:sz w:val="20"/>
      <w:szCs w:val="20"/>
    </w:rPr>
  </w:style>
  <w:style w:type="character" w:customStyle="1" w:styleId="SangradetextonormalCar">
    <w:name w:val="Sangría de texto normal Car"/>
    <w:link w:val="Sangradetextonormal"/>
    <w:uiPriority w:val="99"/>
    <w:semiHidden/>
    <w:rPr>
      <w:sz w:val="24"/>
      <w:szCs w:val="24"/>
      <w:lang w:val="es-ES" w:eastAsia="es-ES"/>
    </w:rPr>
  </w:style>
  <w:style w:type="paragraph" w:styleId="Subttulo">
    <w:name w:val="Subtitle"/>
    <w:basedOn w:val="Normal"/>
    <w:link w:val="SubttuloCar"/>
    <w:semiHidden/>
    <w:qFormat/>
    <w:pPr>
      <w:ind w:left="1440"/>
      <w:jc w:val="both"/>
    </w:pPr>
    <w:rPr>
      <w:rFonts w:ascii="Arial" w:hAnsi="Arial" w:cs="Arial"/>
      <w:b/>
      <w:bCs/>
    </w:rPr>
  </w:style>
  <w:style w:type="character" w:customStyle="1" w:styleId="SubttuloCar">
    <w:name w:val="Subtítulo Car"/>
    <w:link w:val="Subttulo"/>
    <w:locked/>
    <w:rPr>
      <w:rFonts w:ascii="Arial" w:hAnsi="Arial" w:cs="Arial" w:hint="default"/>
      <w:b/>
      <w:bCs/>
      <w:sz w:val="24"/>
      <w:szCs w:val="24"/>
      <w:lang w:val="es-ES" w:eastAsia="es-ES"/>
    </w:rPr>
  </w:style>
  <w:style w:type="paragraph" w:styleId="Textoindependiente2">
    <w:name w:val="Body Text 2"/>
    <w:basedOn w:val="Normal"/>
    <w:link w:val="Textoindependiente2Car"/>
    <w:semiHidden/>
    <w:unhideWhenUsed/>
    <w:pPr>
      <w:autoSpaceDE w:val="0"/>
      <w:autoSpaceDN w:val="0"/>
      <w:adjustRightInd w:val="0"/>
      <w:jc w:val="both"/>
    </w:pPr>
    <w:rPr>
      <w:rFonts w:ascii="Arial" w:hAnsi="Arial" w:cs="Arial"/>
      <w:sz w:val="22"/>
      <w:szCs w:val="19"/>
    </w:rPr>
  </w:style>
  <w:style w:type="character" w:customStyle="1" w:styleId="Textoindependiente2Car">
    <w:name w:val="Texto independiente 2 Car"/>
    <w:link w:val="Textoindependiente2"/>
    <w:semiHidden/>
    <w:rPr>
      <w:sz w:val="24"/>
      <w:szCs w:val="24"/>
      <w:lang w:val="es-ES" w:eastAsia="es-ES"/>
    </w:rPr>
  </w:style>
  <w:style w:type="paragraph" w:styleId="Textoindependiente3">
    <w:name w:val="Body Text 3"/>
    <w:basedOn w:val="Normal"/>
    <w:link w:val="Textoindependiente3Car"/>
    <w:uiPriority w:val="99"/>
    <w:semiHidden/>
    <w:unhideWhenUsed/>
    <w:pPr>
      <w:jc w:val="center"/>
    </w:pPr>
    <w:rPr>
      <w:rFonts w:ascii="Arial" w:hAnsi="Arial"/>
      <w:b/>
      <w:sz w:val="28"/>
      <w:szCs w:val="20"/>
    </w:rPr>
  </w:style>
  <w:style w:type="character" w:customStyle="1" w:styleId="Textoindependiente3Car">
    <w:name w:val="Texto independiente 3 Car"/>
    <w:link w:val="Textoindependiente3"/>
    <w:uiPriority w:val="99"/>
    <w:semiHidden/>
    <w:rPr>
      <w:sz w:val="16"/>
      <w:szCs w:val="16"/>
      <w:lang w:val="es-ES" w:eastAsia="es-ES"/>
    </w:rPr>
  </w:style>
  <w:style w:type="paragraph" w:styleId="Sangra3detindependiente">
    <w:name w:val="Body Text Indent 3"/>
    <w:basedOn w:val="Normal"/>
    <w:link w:val="Sangra3detindependienteCar"/>
    <w:uiPriority w:val="99"/>
    <w:semiHidden/>
    <w:unhideWhenUsed/>
    <w:pPr>
      <w:tabs>
        <w:tab w:val="left" w:pos="360"/>
      </w:tabs>
      <w:ind w:left="360"/>
      <w:jc w:val="both"/>
    </w:pPr>
    <w:rPr>
      <w:rFonts w:ascii="Arial" w:hAnsi="Arial"/>
      <w:sz w:val="20"/>
      <w:szCs w:val="20"/>
    </w:rPr>
  </w:style>
  <w:style w:type="character" w:customStyle="1" w:styleId="Sangra3detindependienteCar">
    <w:name w:val="Sangría 3 de t. independiente Car"/>
    <w:link w:val="Sangra3detindependiente"/>
    <w:uiPriority w:val="99"/>
    <w:semiHidden/>
    <w:rPr>
      <w:sz w:val="16"/>
      <w:szCs w:val="16"/>
      <w:lang w:val="es-ES" w:eastAsia="es-ES"/>
    </w:rPr>
  </w:style>
  <w:style w:type="paragraph" w:styleId="Textodebloque">
    <w:name w:val="Block Text"/>
    <w:basedOn w:val="Normal"/>
    <w:semiHidden/>
    <w:unhideWhenUsed/>
    <w:pPr>
      <w:ind w:left="284" w:right="335"/>
      <w:jc w:val="both"/>
    </w:pPr>
    <w:rPr>
      <w:rFonts w:ascii="Arial" w:hAnsi="Arial" w:cs="Arial"/>
      <w:sz w:val="20"/>
      <w:szCs w:val="20"/>
    </w:rPr>
  </w:style>
  <w:style w:type="paragraph" w:customStyle="1" w:styleId="jose">
    <w:name w:val="jose"/>
    <w:basedOn w:val="Textoindependiente"/>
    <w:semiHidden/>
    <w:pPr>
      <w:ind w:left="567" w:right="567"/>
      <w:jc w:val="both"/>
    </w:pPr>
    <w:rPr>
      <w:rFonts w:ascii="Times New Roman" w:hAnsi="Times New Roman" w:cs="Times New Roman"/>
      <w:sz w:val="22"/>
      <w:szCs w:val="20"/>
      <w:lang w:val="es-ES_tradnl"/>
    </w:rPr>
  </w:style>
  <w:style w:type="paragraph" w:customStyle="1" w:styleId="para05">
    <w:name w:val="para05"/>
    <w:basedOn w:val="Normal"/>
    <w:semiHidden/>
    <w:pPr>
      <w:autoSpaceDE w:val="0"/>
      <w:autoSpaceDN w:val="0"/>
      <w:spacing w:line="360" w:lineRule="auto"/>
      <w:ind w:left="284"/>
      <w:jc w:val="both"/>
    </w:pPr>
    <w:rPr>
      <w:rFonts w:ascii="Arial" w:hAnsi="Arial"/>
      <w:sz w:val="22"/>
      <w:szCs w:val="20"/>
      <w:lang w:val="es-ES_tradnl"/>
    </w:rPr>
  </w:style>
  <w:style w:type="character" w:styleId="Refdenotaalpie">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4118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PRESENTACIÓN</vt:lpstr>
    </vt:vector>
  </TitlesOfParts>
  <Company>SUNAT</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dc:title>
  <dc:subject/>
  <dc:creator>SUNAT</dc:creator>
  <cp:keywords/>
  <cp:lastModifiedBy>Atilio Condezo Kennedy David</cp:lastModifiedBy>
  <cp:revision>3</cp:revision>
  <cp:lastPrinted>2012-03-30T15:46:00Z</cp:lastPrinted>
  <dcterms:created xsi:type="dcterms:W3CDTF">2025-06-12T21:06:00Z</dcterms:created>
  <dcterms:modified xsi:type="dcterms:W3CDTF">2025-06-12T21:07:00Z</dcterms:modified>
</cp:coreProperties>
</file>