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4B8C" w14:textId="77777777" w:rsidR="001217A3" w:rsidRDefault="001217A3">
      <w:pPr>
        <w:pStyle w:val="jose"/>
        <w:ind w:left="284" w:right="0"/>
        <w:jc w:val="center"/>
        <w:rPr>
          <w:rFonts w:ascii="Arial" w:hAnsi="Arial" w:cs="Arial"/>
          <w:b/>
        </w:rPr>
      </w:pPr>
    </w:p>
    <w:p w14:paraId="5DF509F5" w14:textId="77777777" w:rsidR="00163F62" w:rsidRDefault="00163F62" w:rsidP="00163F62">
      <w:pPr>
        <w:pStyle w:val="jose"/>
        <w:ind w:left="0" w:right="0"/>
        <w:jc w:val="center"/>
        <w:rPr>
          <w:rFonts w:ascii="Arial" w:hAnsi="Arial" w:cs="Arial"/>
          <w:b/>
          <w:sz w:val="28"/>
          <w:szCs w:val="28"/>
          <w:u w:val="single"/>
        </w:rPr>
      </w:pPr>
      <w:r>
        <w:rPr>
          <w:rFonts w:ascii="Arial" w:hAnsi="Arial" w:cs="Arial"/>
          <w:b/>
          <w:sz w:val="28"/>
          <w:szCs w:val="28"/>
          <w:u w:val="single"/>
        </w:rPr>
        <w:t>PRESENTACIÓN</w:t>
      </w:r>
    </w:p>
    <w:p w14:paraId="1C8BDC84" w14:textId="77777777" w:rsidR="00163F62" w:rsidRDefault="00163F62" w:rsidP="00163F62">
      <w:pPr>
        <w:pStyle w:val="jose"/>
        <w:ind w:left="0" w:right="0"/>
        <w:rPr>
          <w:rFonts w:ascii="Arial" w:hAnsi="Arial" w:cs="Arial"/>
          <w:sz w:val="24"/>
          <w:szCs w:val="24"/>
        </w:rPr>
      </w:pPr>
    </w:p>
    <w:p w14:paraId="3C9765A2" w14:textId="77777777" w:rsidR="00163F62" w:rsidRDefault="00163F62" w:rsidP="00163F62">
      <w:pPr>
        <w:pStyle w:val="jose"/>
        <w:ind w:left="0" w:right="0"/>
        <w:rPr>
          <w:rFonts w:ascii="Arial" w:hAnsi="Arial" w:cs="Arial"/>
          <w:sz w:val="24"/>
          <w:szCs w:val="24"/>
        </w:rPr>
      </w:pPr>
    </w:p>
    <w:p w14:paraId="1722BBBD" w14:textId="77777777" w:rsidR="00163F62" w:rsidRDefault="00163F62" w:rsidP="00163F62">
      <w:pPr>
        <w:pStyle w:val="jose"/>
        <w:ind w:left="0" w:right="0"/>
        <w:rPr>
          <w:rFonts w:ascii="Arial" w:hAnsi="Arial" w:cs="Arial"/>
          <w:sz w:val="24"/>
          <w:szCs w:val="24"/>
        </w:rPr>
      </w:pPr>
      <w:r>
        <w:rPr>
          <w:rFonts w:ascii="Arial" w:hAnsi="Arial" w:cs="Arial"/>
          <w:sz w:val="24"/>
          <w:szCs w:val="24"/>
        </w:rPr>
        <w:t xml:space="preserve">En el año 2011 la economía peruana creció 6,9%, en línea con un entorno internacional menos favorable debido a la crisis de deuda en varios países de la Unión Europea.  </w:t>
      </w:r>
    </w:p>
    <w:p w14:paraId="2A890ADE" w14:textId="77777777" w:rsidR="00163F62" w:rsidRDefault="00163F62" w:rsidP="00163F62">
      <w:pPr>
        <w:pStyle w:val="jose"/>
        <w:ind w:left="0" w:right="0"/>
        <w:rPr>
          <w:rFonts w:ascii="Arial" w:hAnsi="Arial" w:cs="Arial"/>
          <w:sz w:val="24"/>
          <w:szCs w:val="24"/>
        </w:rPr>
      </w:pPr>
    </w:p>
    <w:p w14:paraId="6672ABE1" w14:textId="77777777" w:rsidR="00163F62" w:rsidRDefault="00163F62" w:rsidP="00163F62">
      <w:pPr>
        <w:jc w:val="both"/>
        <w:rPr>
          <w:rFonts w:ascii="Arial" w:hAnsi="Arial" w:cs="Arial"/>
          <w:lang w:val="es-ES_tradnl"/>
        </w:rPr>
      </w:pPr>
      <w:r>
        <w:rPr>
          <w:rFonts w:ascii="Arial" w:hAnsi="Arial" w:cs="Arial"/>
          <w:lang w:val="es-ES_tradnl"/>
        </w:rPr>
        <w:t>Por segundo año consecutivo, las cuentas externas de bienes de la economía peruana continúan mostrando resultados positivos. El intercambio comercial creció 2</w:t>
      </w:r>
      <w:r w:rsidR="00370B0C">
        <w:rPr>
          <w:rFonts w:ascii="Arial" w:hAnsi="Arial" w:cs="Arial"/>
          <w:lang w:val="es-ES_tradnl"/>
        </w:rPr>
        <w:t>8</w:t>
      </w:r>
      <w:r>
        <w:rPr>
          <w:rFonts w:ascii="Arial" w:hAnsi="Arial" w:cs="Arial"/>
          <w:lang w:val="es-ES_tradnl"/>
        </w:rPr>
        <w:t>,</w:t>
      </w:r>
      <w:r w:rsidR="00370B0C">
        <w:rPr>
          <w:rFonts w:ascii="Arial" w:hAnsi="Arial" w:cs="Arial"/>
          <w:lang w:val="es-ES_tradnl"/>
        </w:rPr>
        <w:t>1</w:t>
      </w:r>
      <w:r>
        <w:rPr>
          <w:rFonts w:ascii="Arial" w:hAnsi="Arial" w:cs="Arial"/>
          <w:lang w:val="es-ES_tradnl"/>
        </w:rPr>
        <w:t xml:space="preserve">% en 2011, asociado al dinamismo de la actividad exportadora e importadora. </w:t>
      </w:r>
    </w:p>
    <w:p w14:paraId="5838D0A5" w14:textId="77777777" w:rsidR="00163F62" w:rsidRDefault="00163F62" w:rsidP="00163F62">
      <w:pPr>
        <w:jc w:val="both"/>
        <w:rPr>
          <w:rFonts w:ascii="Arial" w:hAnsi="Arial" w:cs="Arial"/>
          <w:lang w:val="es-ES_tradnl"/>
        </w:rPr>
      </w:pPr>
    </w:p>
    <w:p w14:paraId="16A93817" w14:textId="77777777" w:rsidR="00163F62" w:rsidRDefault="00163F62" w:rsidP="00163F62">
      <w:pPr>
        <w:jc w:val="both"/>
        <w:rPr>
          <w:rFonts w:ascii="Arial" w:hAnsi="Arial" w:cs="Arial"/>
          <w:lang w:val="es-ES_tradnl"/>
        </w:rPr>
      </w:pPr>
      <w:r>
        <w:rPr>
          <w:rFonts w:ascii="Arial" w:hAnsi="Arial" w:cs="Arial"/>
          <w:lang w:val="es-ES_tradnl"/>
        </w:rPr>
        <w:t xml:space="preserve">Respecto a las exportaciones, destaca la mayor expansión de las exportaciones no tradicionales respecto de las exportaciones tradicionales, debido principalmente a la desaceleración en las ventas al exterior de harina de pescado. En el caso de las importaciones, las materias primas y productos intermedios fue el rubro que más creció, explicado por las mayores compras de combustibles; seguido de los bienes de capital y materiales de construcción y bienes de consumo. </w:t>
      </w:r>
    </w:p>
    <w:p w14:paraId="74D97E47" w14:textId="77777777" w:rsidR="00163F62" w:rsidRDefault="00163F62" w:rsidP="00163F62">
      <w:pPr>
        <w:jc w:val="both"/>
        <w:rPr>
          <w:rFonts w:ascii="Arial" w:hAnsi="Arial" w:cs="Arial"/>
          <w:lang w:val="es-ES_tradnl"/>
        </w:rPr>
      </w:pPr>
    </w:p>
    <w:p w14:paraId="56CE6546" w14:textId="77777777" w:rsidR="00163F62" w:rsidRDefault="00163F62" w:rsidP="00163F62">
      <w:pPr>
        <w:pStyle w:val="jose"/>
        <w:ind w:left="0" w:right="0"/>
        <w:rPr>
          <w:rFonts w:ascii="Arial" w:hAnsi="Arial" w:cs="Arial"/>
          <w:sz w:val="24"/>
          <w:szCs w:val="24"/>
        </w:rPr>
      </w:pPr>
      <w:r>
        <w:rPr>
          <w:rFonts w:ascii="Arial" w:hAnsi="Arial" w:cs="Arial"/>
          <w:sz w:val="24"/>
          <w:szCs w:val="24"/>
        </w:rPr>
        <w:t>Debido a que el comercio exterior participa cada vez más en la actividad económica, resulta imprescindible contar con información estadística oportuna y confiable de este sector, con la finalidad de proporcionar adecuados elementos para el análisis y toma de decisiones. Por ello, a través de su Portal, la SUNAT pone ahora a disposición de los diversos agentes económicos el “Anuario Estadístico de Comercio Exterior 2011”.</w:t>
      </w:r>
    </w:p>
    <w:p w14:paraId="47101575" w14:textId="77777777" w:rsidR="00163F62" w:rsidRDefault="00163F62" w:rsidP="00163F62">
      <w:pPr>
        <w:pStyle w:val="jose"/>
        <w:ind w:left="0" w:right="0"/>
        <w:rPr>
          <w:rFonts w:ascii="Arial" w:hAnsi="Arial" w:cs="Arial"/>
          <w:sz w:val="24"/>
          <w:szCs w:val="24"/>
        </w:rPr>
      </w:pPr>
    </w:p>
    <w:p w14:paraId="4F13F9FA" w14:textId="77777777" w:rsidR="00163F62" w:rsidRDefault="00163F62" w:rsidP="00163F62">
      <w:pPr>
        <w:pStyle w:val="jose"/>
        <w:ind w:left="0" w:right="0"/>
        <w:rPr>
          <w:rFonts w:ascii="Arial" w:hAnsi="Arial" w:cs="Arial"/>
          <w:sz w:val="24"/>
          <w:szCs w:val="24"/>
        </w:rPr>
      </w:pPr>
      <w:r>
        <w:rPr>
          <w:rFonts w:ascii="Arial" w:hAnsi="Arial" w:cs="Arial"/>
          <w:sz w:val="24"/>
          <w:szCs w:val="24"/>
        </w:rPr>
        <w:t>El documento está subdividido en dos partes. La primera comprende los aspectos metodológicos, comentarios sobre el comportamiento del comercio exterior de bienes, así como las estadísticas agregadas; mientras que la segunda está referida al cuerpo del documento, donde se desagregan las estadísticas de los regímenes de importación para el consumo y exportación definitiva.</w:t>
      </w:r>
    </w:p>
    <w:p w14:paraId="4C69C8CE" w14:textId="77777777" w:rsidR="00163F62" w:rsidRDefault="00163F62" w:rsidP="00163F62">
      <w:pPr>
        <w:pStyle w:val="jose"/>
        <w:ind w:left="0" w:right="0"/>
        <w:rPr>
          <w:rFonts w:ascii="Arial" w:hAnsi="Arial" w:cs="Arial"/>
          <w:sz w:val="24"/>
          <w:szCs w:val="24"/>
        </w:rPr>
      </w:pPr>
    </w:p>
    <w:p w14:paraId="114970A3" w14:textId="77777777" w:rsidR="00163F62" w:rsidRDefault="00163F62" w:rsidP="00163F62">
      <w:pPr>
        <w:pStyle w:val="jose"/>
        <w:ind w:left="0" w:right="0"/>
        <w:rPr>
          <w:rFonts w:ascii="Arial" w:hAnsi="Arial" w:cs="Arial"/>
          <w:sz w:val="24"/>
          <w:szCs w:val="24"/>
        </w:rPr>
      </w:pPr>
      <w:r>
        <w:rPr>
          <w:rFonts w:ascii="Arial" w:hAnsi="Arial" w:cs="Arial"/>
          <w:sz w:val="24"/>
          <w:szCs w:val="24"/>
        </w:rPr>
        <w:t xml:space="preserve">Con la presentación del “Anuario Estadístico de Comercio Exterior 2011”, la SUNAT espera que este documento se convierta en un documento de consulta permanente cuando se analice la evolución del comercio exterior de bienes. </w:t>
      </w:r>
    </w:p>
    <w:p w14:paraId="4972E2F9" w14:textId="77777777" w:rsidR="00163F62" w:rsidRDefault="00163F62" w:rsidP="00163F62">
      <w:pPr>
        <w:pStyle w:val="jose"/>
        <w:ind w:left="0" w:right="0"/>
        <w:rPr>
          <w:rFonts w:ascii="Arial" w:hAnsi="Arial" w:cs="Arial"/>
          <w:sz w:val="24"/>
          <w:szCs w:val="24"/>
        </w:rPr>
      </w:pPr>
    </w:p>
    <w:p w14:paraId="577A486A" w14:textId="77777777" w:rsidR="00163F62" w:rsidRDefault="00163F62" w:rsidP="00163F62">
      <w:pPr>
        <w:pStyle w:val="jose"/>
        <w:ind w:left="0" w:right="0"/>
        <w:rPr>
          <w:rFonts w:ascii="Arial" w:hAnsi="Arial" w:cs="Arial"/>
          <w:sz w:val="24"/>
          <w:szCs w:val="24"/>
        </w:rPr>
      </w:pPr>
    </w:p>
    <w:p w14:paraId="0939022C" w14:textId="77777777" w:rsidR="00163F62" w:rsidRDefault="00163F62" w:rsidP="00163F62">
      <w:pPr>
        <w:pStyle w:val="jose"/>
        <w:ind w:left="0" w:right="0"/>
        <w:rPr>
          <w:rFonts w:ascii="Arial" w:hAnsi="Arial" w:cs="Arial"/>
          <w:sz w:val="24"/>
          <w:szCs w:val="24"/>
        </w:rPr>
      </w:pPr>
    </w:p>
    <w:p w14:paraId="6B150888" w14:textId="77777777" w:rsidR="00163F62" w:rsidRDefault="00163F62" w:rsidP="00163F62">
      <w:pPr>
        <w:pStyle w:val="jose"/>
        <w:ind w:left="0" w:right="0"/>
        <w:rPr>
          <w:rFonts w:ascii="Arial" w:hAnsi="Arial" w:cs="Arial"/>
        </w:rPr>
      </w:pPr>
    </w:p>
    <w:p w14:paraId="20F52C3D" w14:textId="77777777" w:rsidR="00163F62" w:rsidRDefault="00163F62" w:rsidP="00163F62">
      <w:pPr>
        <w:pStyle w:val="jose"/>
        <w:ind w:left="284" w:right="0"/>
        <w:rPr>
          <w:rFonts w:ascii="Arial" w:hAnsi="Arial" w:cs="Arial"/>
        </w:rPr>
      </w:pPr>
    </w:p>
    <w:p w14:paraId="78AEEA1C" w14:textId="77777777" w:rsidR="00163F62" w:rsidRDefault="00163F62" w:rsidP="00163F62">
      <w:pPr>
        <w:pStyle w:val="jose"/>
        <w:ind w:left="284" w:right="0"/>
        <w:rPr>
          <w:rFonts w:ascii="Arial" w:hAnsi="Arial" w:cs="Arial"/>
        </w:rPr>
      </w:pPr>
    </w:p>
    <w:p w14:paraId="69583F16" w14:textId="77777777" w:rsidR="00163F62" w:rsidRDefault="00163F62" w:rsidP="00163F62">
      <w:pPr>
        <w:pStyle w:val="jose"/>
        <w:ind w:left="284" w:right="0"/>
        <w:rPr>
          <w:rFonts w:ascii="Arial" w:hAnsi="Arial" w:cs="Arial"/>
        </w:rPr>
      </w:pPr>
    </w:p>
    <w:p w14:paraId="79792633" w14:textId="77777777" w:rsidR="00163F62" w:rsidRDefault="00163F62" w:rsidP="00163F62">
      <w:pPr>
        <w:pStyle w:val="jose"/>
        <w:ind w:left="284" w:right="0"/>
        <w:jc w:val="right"/>
        <w:rPr>
          <w:rFonts w:ascii="Arial" w:hAnsi="Arial" w:cs="Arial"/>
          <w:sz w:val="24"/>
          <w:szCs w:val="24"/>
        </w:rPr>
      </w:pPr>
      <w:r>
        <w:rPr>
          <w:rFonts w:ascii="Arial" w:hAnsi="Arial" w:cs="Arial"/>
          <w:sz w:val="24"/>
          <w:szCs w:val="24"/>
        </w:rPr>
        <w:t xml:space="preserve">Lima, </w:t>
      </w:r>
      <w:r w:rsidR="00370B0C">
        <w:rPr>
          <w:rFonts w:ascii="Arial" w:hAnsi="Arial" w:cs="Arial"/>
          <w:sz w:val="24"/>
          <w:szCs w:val="24"/>
        </w:rPr>
        <w:t>febrero</w:t>
      </w:r>
      <w:r>
        <w:rPr>
          <w:rFonts w:ascii="Arial" w:hAnsi="Arial" w:cs="Arial"/>
          <w:sz w:val="24"/>
          <w:szCs w:val="24"/>
        </w:rPr>
        <w:t xml:space="preserve"> 20</w:t>
      </w:r>
      <w:r w:rsidR="00370B0C">
        <w:rPr>
          <w:rFonts w:ascii="Arial" w:hAnsi="Arial" w:cs="Arial"/>
          <w:sz w:val="24"/>
          <w:szCs w:val="24"/>
        </w:rPr>
        <w:t>25</w:t>
      </w:r>
      <w:r>
        <w:rPr>
          <w:rFonts w:ascii="Arial" w:hAnsi="Arial" w:cs="Arial"/>
          <w:sz w:val="24"/>
          <w:szCs w:val="24"/>
        </w:rPr>
        <w:t>.</w:t>
      </w:r>
    </w:p>
    <w:p w14:paraId="37BB725B" w14:textId="77777777" w:rsidR="00163F62" w:rsidRDefault="00163F62" w:rsidP="00163F62"/>
    <w:p w14:paraId="2D1EE267" w14:textId="77777777" w:rsidR="001217A3" w:rsidRDefault="001217A3" w:rsidP="00163F62">
      <w:pPr>
        <w:pStyle w:val="jose"/>
        <w:ind w:left="142" w:right="0"/>
        <w:jc w:val="center"/>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1299459001">
    <w:abstractNumId w:val="3"/>
  </w:num>
  <w:num w:numId="2" w16cid:durableId="489105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964907">
    <w:abstractNumId w:val="0"/>
  </w:num>
  <w:num w:numId="4" w16cid:durableId="1953130319">
    <w:abstractNumId w:val="0"/>
  </w:num>
  <w:num w:numId="5" w16cid:durableId="2095861344">
    <w:abstractNumId w:val="0"/>
    <w:lvlOverride w:ilvl="0"/>
  </w:num>
  <w:num w:numId="6" w16cid:durableId="2054424559">
    <w:abstractNumId w:val="1"/>
  </w:num>
  <w:num w:numId="7" w16cid:durableId="20381968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9908153">
    <w:abstractNumId w:val="2"/>
  </w:num>
  <w:num w:numId="9" w16cid:durableId="1726296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163F62"/>
    <w:rsid w:val="00370B0C"/>
    <w:rsid w:val="008F3A2C"/>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A1EE"/>
  <w15:chartTrackingRefBased/>
  <w15:docId w15:val="{57189DC4-E84A-44D6-B5AB-81DC840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Pr>
      <w:color w:val="0000FF"/>
      <w:u w:val="single"/>
    </w:rPr>
  </w:style>
  <w:style w:type="character" w:styleId="Hipervnculovisitado">
    <w:name w:val="FollowedHyperlink"/>
    <w:uiPriority w:val="99"/>
    <w:semiHidden/>
    <w:unhideWhenUsed/>
    <w:rPr>
      <w:color w:val="800080"/>
      <w:u w:val="single"/>
    </w:rPr>
  </w:style>
  <w:style w:type="character" w:customStyle="1" w:styleId="Ttulo1Car">
    <w:name w:val="Título 1 Ca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link w:val="Ttulo8"/>
    <w:uiPriority w:val="9"/>
    <w:rPr>
      <w:rFonts w:ascii="Cambria" w:eastAsia="Times New Roman" w:hAnsi="Cambria" w:cs="Times New Roman"/>
      <w:color w:val="404040"/>
      <w:lang w:val="es-ES" w:eastAsia="es-ES"/>
    </w:rPr>
  </w:style>
  <w:style w:type="character" w:customStyle="1" w:styleId="Ttulo9Car">
    <w:name w:val="Título 9 Ca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dc:creator>
  <cp:keywords/>
  <cp:lastModifiedBy>Atilio Condezo Kennedy David</cp:lastModifiedBy>
  <cp:revision>2</cp:revision>
  <cp:lastPrinted>2012-03-30T15:46:00Z</cp:lastPrinted>
  <dcterms:created xsi:type="dcterms:W3CDTF">2025-06-12T21:07:00Z</dcterms:created>
  <dcterms:modified xsi:type="dcterms:W3CDTF">2025-06-12T21:07:00Z</dcterms:modified>
</cp:coreProperties>
</file>