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82E1A" w14:textId="77777777" w:rsidR="006B0C3D" w:rsidRDefault="006B0C3D">
      <w:pPr>
        <w:pStyle w:val="jose"/>
        <w:ind w:left="284" w:right="0"/>
        <w:jc w:val="center"/>
        <w:rPr>
          <w:rFonts w:ascii="Arial" w:hAnsi="Arial" w:cs="Arial"/>
          <w:b/>
        </w:rPr>
      </w:pPr>
    </w:p>
    <w:p w14:paraId="3E3D67DF" w14:textId="77777777" w:rsidR="00775A72" w:rsidRDefault="00775A72" w:rsidP="00775A72">
      <w:pPr>
        <w:pStyle w:val="jose"/>
        <w:ind w:left="284" w:right="0"/>
        <w:jc w:val="left"/>
        <w:rPr>
          <w:rFonts w:ascii="Arial" w:hAnsi="Arial" w:cs="Arial"/>
          <w:sz w:val="24"/>
          <w:szCs w:val="24"/>
        </w:rPr>
      </w:pPr>
    </w:p>
    <w:p w14:paraId="54C6BA57" w14:textId="77777777" w:rsidR="00D137DB" w:rsidRPr="00BF0BE1" w:rsidRDefault="00D137DB" w:rsidP="00D137DB">
      <w:pPr>
        <w:pStyle w:val="Ttulo"/>
        <w:rPr>
          <w:bCs w:val="0"/>
          <w:sz w:val="28"/>
          <w:szCs w:val="28"/>
          <w:u w:val="single"/>
          <w:lang w:val="es-ES_tradnl"/>
        </w:rPr>
      </w:pPr>
      <w:r w:rsidRPr="00BF0BE1">
        <w:rPr>
          <w:bCs w:val="0"/>
          <w:sz w:val="28"/>
          <w:szCs w:val="28"/>
          <w:u w:val="single"/>
          <w:lang w:val="es-ES_tradnl"/>
        </w:rPr>
        <w:t>INTERCAMBIO COMERCIAL</w:t>
      </w:r>
    </w:p>
    <w:p w14:paraId="66E77DC2" w14:textId="77777777" w:rsidR="00D137DB" w:rsidRDefault="00D137DB">
      <w:pPr>
        <w:pStyle w:val="Ttulo"/>
        <w:jc w:val="both"/>
        <w:rPr>
          <w:b w:val="0"/>
          <w:bCs w:val="0"/>
          <w:lang w:val="es-ES_tradnl"/>
        </w:rPr>
      </w:pPr>
    </w:p>
    <w:p w14:paraId="59D079BB" w14:textId="77777777" w:rsidR="00D137DB" w:rsidRDefault="00D137DB">
      <w:pPr>
        <w:pStyle w:val="Ttulo"/>
        <w:jc w:val="both"/>
        <w:rPr>
          <w:b w:val="0"/>
          <w:bCs w:val="0"/>
          <w:lang w:val="es-ES_tradnl"/>
        </w:rPr>
      </w:pPr>
    </w:p>
    <w:p w14:paraId="2DDAD73F" w14:textId="77777777" w:rsidR="0037484B" w:rsidRDefault="00861764">
      <w:pPr>
        <w:pStyle w:val="Ttulo"/>
        <w:jc w:val="both"/>
        <w:rPr>
          <w:b w:val="0"/>
          <w:bCs w:val="0"/>
        </w:rPr>
      </w:pPr>
      <w:r>
        <w:rPr>
          <w:b w:val="0"/>
          <w:bCs w:val="0"/>
          <w:lang w:val="es-ES_tradnl"/>
        </w:rPr>
        <w:t xml:space="preserve">En </w:t>
      </w:r>
      <w:r w:rsidRPr="00861764">
        <w:rPr>
          <w:b w:val="0"/>
          <w:bCs w:val="0"/>
          <w:lang w:val="es-ES_tradnl"/>
        </w:rPr>
        <w:t>201</w:t>
      </w:r>
      <w:r w:rsidR="00B82B73">
        <w:rPr>
          <w:b w:val="0"/>
          <w:bCs w:val="0"/>
          <w:lang w:val="es-ES_tradnl"/>
        </w:rPr>
        <w:t>2</w:t>
      </w:r>
      <w:r w:rsidRPr="00861764">
        <w:rPr>
          <w:b w:val="0"/>
          <w:bCs w:val="0"/>
          <w:lang w:val="es-ES_tradnl"/>
        </w:rPr>
        <w:t xml:space="preserve">, el intercambio comercial </w:t>
      </w:r>
      <w:r w:rsidR="00301544">
        <w:rPr>
          <w:b w:val="0"/>
          <w:bCs w:val="0"/>
          <w:lang w:val="es-ES_tradnl"/>
        </w:rPr>
        <w:t xml:space="preserve">del Perú con el resto del mundo </w:t>
      </w:r>
      <w:r w:rsidR="00FD593A">
        <w:rPr>
          <w:b w:val="0"/>
          <w:bCs w:val="0"/>
          <w:lang w:val="es-ES_tradnl"/>
        </w:rPr>
        <w:t xml:space="preserve">ascendió a </w:t>
      </w:r>
      <w:r w:rsidRPr="00861764">
        <w:rPr>
          <w:b w:val="0"/>
          <w:bCs w:val="0"/>
          <w:lang w:val="es-ES_tradnl"/>
        </w:rPr>
        <w:t xml:space="preserve">US$ </w:t>
      </w:r>
      <w:r w:rsidR="00F577CB">
        <w:rPr>
          <w:b w:val="0"/>
          <w:bCs w:val="0"/>
          <w:lang w:val="es-ES_tradnl"/>
        </w:rPr>
        <w:t>8</w:t>
      </w:r>
      <w:r w:rsidR="00B82B73">
        <w:rPr>
          <w:b w:val="0"/>
          <w:bCs w:val="0"/>
          <w:lang w:val="es-ES_tradnl"/>
        </w:rPr>
        <w:t xml:space="preserve">8 </w:t>
      </w:r>
      <w:r w:rsidR="000F532C">
        <w:rPr>
          <w:b w:val="0"/>
          <w:bCs w:val="0"/>
          <w:lang w:val="es-ES_tradnl"/>
        </w:rPr>
        <w:t>52</w:t>
      </w:r>
      <w:r w:rsidR="00A605D0">
        <w:rPr>
          <w:b w:val="0"/>
          <w:bCs w:val="0"/>
          <w:lang w:val="es-ES_tradnl"/>
        </w:rPr>
        <w:t>6</w:t>
      </w:r>
      <w:r w:rsidRPr="00861764">
        <w:rPr>
          <w:b w:val="0"/>
          <w:bCs w:val="0"/>
          <w:lang w:val="es-ES_tradnl"/>
        </w:rPr>
        <w:t xml:space="preserve"> millones, </w:t>
      </w:r>
      <w:r w:rsidR="00142FCD">
        <w:rPr>
          <w:b w:val="0"/>
          <w:bCs w:val="0"/>
          <w:lang w:val="es-ES_tradnl"/>
        </w:rPr>
        <w:t>monto que</w:t>
      </w:r>
      <w:r w:rsidR="00FD593A">
        <w:rPr>
          <w:b w:val="0"/>
          <w:bCs w:val="0"/>
          <w:lang w:val="es-ES_tradnl"/>
        </w:rPr>
        <w:t xml:space="preserve"> representó </w:t>
      </w:r>
      <w:r w:rsidRPr="00861764">
        <w:rPr>
          <w:b w:val="0"/>
          <w:bCs w:val="0"/>
          <w:lang w:val="es-ES_tradnl"/>
        </w:rPr>
        <w:t xml:space="preserve">un crecimiento de </w:t>
      </w:r>
      <w:r w:rsidR="000F532C">
        <w:rPr>
          <w:b w:val="0"/>
          <w:bCs w:val="0"/>
          <w:lang w:val="es-ES_tradnl"/>
        </w:rPr>
        <w:t>5,1</w:t>
      </w:r>
      <w:r w:rsidR="00F577CB">
        <w:rPr>
          <w:b w:val="0"/>
          <w:bCs w:val="0"/>
          <w:lang w:val="es-ES_tradnl"/>
        </w:rPr>
        <w:t>%</w:t>
      </w:r>
      <w:r w:rsidR="00FD593A">
        <w:rPr>
          <w:b w:val="0"/>
          <w:bCs w:val="0"/>
          <w:lang w:val="es-ES_tradnl"/>
        </w:rPr>
        <w:t xml:space="preserve"> r</w:t>
      </w:r>
      <w:r w:rsidRPr="00861764">
        <w:rPr>
          <w:b w:val="0"/>
          <w:bCs w:val="0"/>
          <w:lang w:val="es-ES_tradnl"/>
        </w:rPr>
        <w:t>especto de</w:t>
      </w:r>
      <w:r w:rsidR="00142FCD">
        <w:rPr>
          <w:b w:val="0"/>
          <w:bCs w:val="0"/>
          <w:lang w:val="es-ES_tradnl"/>
        </w:rPr>
        <w:t xml:space="preserve"> lo registrado </w:t>
      </w:r>
      <w:r w:rsidR="00FD593A">
        <w:rPr>
          <w:b w:val="0"/>
          <w:bCs w:val="0"/>
          <w:lang w:val="es-ES_tradnl"/>
        </w:rPr>
        <w:t xml:space="preserve">en el </w:t>
      </w:r>
      <w:r w:rsidR="00305B50">
        <w:rPr>
          <w:b w:val="0"/>
          <w:bCs w:val="0"/>
          <w:lang w:val="es-ES_tradnl"/>
        </w:rPr>
        <w:t>año anterior</w:t>
      </w:r>
      <w:r w:rsidR="00D91169">
        <w:rPr>
          <w:b w:val="0"/>
          <w:bCs w:val="0"/>
          <w:lang w:val="es-ES_tradnl"/>
        </w:rPr>
        <w:t>.</w:t>
      </w:r>
      <w:r w:rsidR="00D91169" w:rsidRPr="00D91169">
        <w:rPr>
          <w:b w:val="0"/>
          <w:bCs w:val="0"/>
        </w:rPr>
        <w:t xml:space="preserve"> </w:t>
      </w:r>
    </w:p>
    <w:p w14:paraId="3F805D56" w14:textId="77777777" w:rsidR="0037484B" w:rsidRDefault="0037484B">
      <w:pPr>
        <w:pStyle w:val="Ttulo"/>
        <w:jc w:val="both"/>
        <w:rPr>
          <w:b w:val="0"/>
          <w:bCs w:val="0"/>
        </w:rPr>
      </w:pPr>
    </w:p>
    <w:p w14:paraId="3A8970BA" w14:textId="77777777" w:rsidR="00D91169" w:rsidRDefault="00142FCD">
      <w:pPr>
        <w:pStyle w:val="Ttulo"/>
        <w:jc w:val="both"/>
        <w:rPr>
          <w:b w:val="0"/>
          <w:bCs w:val="0"/>
          <w:lang w:val="es-ES_tradnl"/>
        </w:rPr>
      </w:pPr>
      <w:r>
        <w:rPr>
          <w:b w:val="0"/>
          <w:bCs w:val="0"/>
        </w:rPr>
        <w:t xml:space="preserve">El </w:t>
      </w:r>
      <w:r w:rsidR="00D91169" w:rsidRPr="00F577CB">
        <w:rPr>
          <w:b w:val="0"/>
          <w:bCs w:val="0"/>
        </w:rPr>
        <w:t>comerci</w:t>
      </w:r>
      <w:r>
        <w:rPr>
          <w:b w:val="0"/>
          <w:bCs w:val="0"/>
        </w:rPr>
        <w:t>o exterior</w:t>
      </w:r>
      <w:r w:rsidR="00D91169" w:rsidRPr="00F577CB">
        <w:rPr>
          <w:b w:val="0"/>
          <w:bCs w:val="0"/>
        </w:rPr>
        <w:t xml:space="preserve"> registra cada vez más participación en la actividad económica del país. La exportación más la importación, como porcentaje del Producto Bruto Interno (PBI) </w:t>
      </w:r>
      <w:r w:rsidR="00B82B73">
        <w:rPr>
          <w:b w:val="0"/>
          <w:bCs w:val="0"/>
        </w:rPr>
        <w:t>ascendi</w:t>
      </w:r>
      <w:r w:rsidR="00D91169" w:rsidRPr="00F577CB">
        <w:rPr>
          <w:b w:val="0"/>
          <w:bCs w:val="0"/>
        </w:rPr>
        <w:t xml:space="preserve">ó a </w:t>
      </w:r>
      <w:r w:rsidR="00D91169">
        <w:rPr>
          <w:b w:val="0"/>
          <w:bCs w:val="0"/>
        </w:rPr>
        <w:t>4</w:t>
      </w:r>
      <w:r w:rsidR="00B82B73">
        <w:rPr>
          <w:b w:val="0"/>
          <w:bCs w:val="0"/>
        </w:rPr>
        <w:t>4</w:t>
      </w:r>
      <w:r w:rsidR="00D91169" w:rsidRPr="00F577CB">
        <w:rPr>
          <w:b w:val="0"/>
          <w:bCs w:val="0"/>
        </w:rPr>
        <w:t>% en 201</w:t>
      </w:r>
      <w:r w:rsidR="00B82B73">
        <w:rPr>
          <w:b w:val="0"/>
          <w:bCs w:val="0"/>
        </w:rPr>
        <w:t>2</w:t>
      </w:r>
      <w:r w:rsidR="00D91169" w:rsidRPr="00F577CB">
        <w:rPr>
          <w:b w:val="0"/>
          <w:bCs w:val="0"/>
        </w:rPr>
        <w:t>.</w:t>
      </w:r>
    </w:p>
    <w:p w14:paraId="45B66A29" w14:textId="77777777" w:rsidR="00D91169" w:rsidRDefault="00D91169">
      <w:pPr>
        <w:pStyle w:val="Ttulo"/>
        <w:jc w:val="both"/>
        <w:rPr>
          <w:b w:val="0"/>
          <w:bCs w:val="0"/>
          <w:lang w:val="es-ES_tradnl"/>
        </w:rPr>
      </w:pPr>
    </w:p>
    <w:p w14:paraId="02137187" w14:textId="77777777" w:rsidR="006D1E87" w:rsidRDefault="00142FCD">
      <w:pPr>
        <w:pStyle w:val="Ttulo"/>
        <w:jc w:val="both"/>
        <w:rPr>
          <w:b w:val="0"/>
          <w:lang w:val="es-PE"/>
        </w:rPr>
      </w:pPr>
      <w:r>
        <w:rPr>
          <w:b w:val="0"/>
          <w:lang w:val="es-PE"/>
        </w:rPr>
        <w:t xml:space="preserve">Según bloques comerciales, el </w:t>
      </w:r>
      <w:r w:rsidR="006D1E87" w:rsidRPr="006D1E87">
        <w:rPr>
          <w:b w:val="0"/>
          <w:lang w:val="es-PE"/>
        </w:rPr>
        <w:t xml:space="preserve">intercambio comercial </w:t>
      </w:r>
      <w:r>
        <w:rPr>
          <w:b w:val="0"/>
          <w:lang w:val="es-PE"/>
        </w:rPr>
        <w:t xml:space="preserve">peruano </w:t>
      </w:r>
      <w:r w:rsidR="006D1E87" w:rsidRPr="006D1E87">
        <w:rPr>
          <w:b w:val="0"/>
          <w:lang w:val="es-PE"/>
        </w:rPr>
        <w:t xml:space="preserve">mantuvo tasas de crecimiento positivas de dos dígitos con </w:t>
      </w:r>
      <w:r w:rsidR="009D07F7">
        <w:rPr>
          <w:b w:val="0"/>
          <w:lang w:val="es-PE"/>
        </w:rPr>
        <w:t>los principales bloques comerciales</w:t>
      </w:r>
      <w:r w:rsidR="00742792">
        <w:rPr>
          <w:rStyle w:val="Refdenotaalpie"/>
          <w:b w:val="0"/>
          <w:lang w:val="es-PE"/>
        </w:rPr>
        <w:footnoteReference w:id="1"/>
      </w:r>
      <w:r w:rsidR="009D07F7">
        <w:rPr>
          <w:b w:val="0"/>
          <w:lang w:val="es-PE"/>
        </w:rPr>
        <w:t xml:space="preserve">, caso de APEC, Unión Europea (UE), Comunidad Andina (CAN) y </w:t>
      </w:r>
      <w:r w:rsidR="009D07F7" w:rsidRPr="009D07F7">
        <w:rPr>
          <w:b w:val="0"/>
          <w:lang w:val="es-PE"/>
        </w:rPr>
        <w:t>MERCOSUR</w:t>
      </w:r>
      <w:r w:rsidR="009D07F7">
        <w:rPr>
          <w:b w:val="0"/>
          <w:lang w:val="es-PE"/>
        </w:rPr>
        <w:t>.</w:t>
      </w:r>
      <w:r w:rsidR="00A72F65">
        <w:rPr>
          <w:b w:val="0"/>
          <w:lang w:val="es-PE"/>
        </w:rPr>
        <w:t xml:space="preserve"> </w:t>
      </w:r>
    </w:p>
    <w:p w14:paraId="3EF6F839" w14:textId="77777777" w:rsidR="006D1E87" w:rsidRDefault="006D1E87">
      <w:pPr>
        <w:pStyle w:val="Ttulo"/>
        <w:jc w:val="both"/>
        <w:rPr>
          <w:b w:val="0"/>
          <w:lang w:val="es-PE"/>
        </w:rPr>
      </w:pPr>
    </w:p>
    <w:p w14:paraId="61D5311B" w14:textId="1D99FFF7" w:rsidR="008B0991" w:rsidRDefault="008B0991" w:rsidP="008B0991">
      <w:pPr>
        <w:pStyle w:val="Ttulo"/>
        <w:jc w:val="both"/>
        <w:rPr>
          <w:b w:val="0"/>
          <w:bCs w:val="0"/>
          <w:lang w:val="es-ES_tradnl"/>
        </w:rPr>
      </w:pPr>
      <w:r w:rsidRPr="00301544">
        <w:rPr>
          <w:b w:val="0"/>
          <w:bCs w:val="0"/>
          <w:lang w:val="es-ES_tradnl"/>
        </w:rPr>
        <w:t xml:space="preserve">El </w:t>
      </w:r>
      <w:r>
        <w:rPr>
          <w:b w:val="0"/>
          <w:bCs w:val="0"/>
          <w:lang w:val="es-ES_tradnl"/>
        </w:rPr>
        <w:t>comercio</w:t>
      </w:r>
      <w:r w:rsidRPr="00301544">
        <w:rPr>
          <w:b w:val="0"/>
          <w:bCs w:val="0"/>
          <w:lang w:val="es-ES_tradnl"/>
        </w:rPr>
        <w:t xml:space="preserve"> con </w:t>
      </w:r>
      <w:r w:rsidRPr="003122FF">
        <w:rPr>
          <w:b w:val="0"/>
          <w:bCs w:val="0"/>
          <w:u w:val="single"/>
          <w:lang w:val="es-ES_tradnl"/>
        </w:rPr>
        <w:t>APEC</w:t>
      </w:r>
      <w:r w:rsidRPr="00301544">
        <w:rPr>
          <w:b w:val="0"/>
          <w:bCs w:val="0"/>
          <w:lang w:val="es-ES_tradnl"/>
        </w:rPr>
        <w:t xml:space="preserve">, </w:t>
      </w:r>
      <w:r>
        <w:rPr>
          <w:b w:val="0"/>
          <w:bCs w:val="0"/>
          <w:lang w:val="es-ES_tradnl"/>
        </w:rPr>
        <w:t xml:space="preserve">principal socio comercial del Perú con una participación del </w:t>
      </w:r>
      <w:r w:rsidRPr="00301544">
        <w:rPr>
          <w:b w:val="0"/>
          <w:bCs w:val="0"/>
          <w:lang w:val="es-ES_tradnl"/>
        </w:rPr>
        <w:t>5</w:t>
      </w:r>
      <w:r>
        <w:rPr>
          <w:b w:val="0"/>
          <w:bCs w:val="0"/>
          <w:lang w:val="es-ES_tradnl"/>
        </w:rPr>
        <w:t>6</w:t>
      </w:r>
      <w:r w:rsidRPr="00301544">
        <w:rPr>
          <w:b w:val="0"/>
          <w:bCs w:val="0"/>
          <w:lang w:val="es-ES_tradnl"/>
        </w:rPr>
        <w:t xml:space="preserve">% del total, creció </w:t>
      </w:r>
      <w:r>
        <w:rPr>
          <w:b w:val="0"/>
          <w:bCs w:val="0"/>
          <w:lang w:val="es-ES_tradnl"/>
        </w:rPr>
        <w:t>6,</w:t>
      </w:r>
      <w:r w:rsidR="009A2F40">
        <w:rPr>
          <w:b w:val="0"/>
          <w:bCs w:val="0"/>
          <w:lang w:val="es-ES_tradnl"/>
        </w:rPr>
        <w:t>6</w:t>
      </w:r>
      <w:r>
        <w:rPr>
          <w:b w:val="0"/>
          <w:bCs w:val="0"/>
          <w:lang w:val="es-ES_tradnl"/>
        </w:rPr>
        <w:t>%</w:t>
      </w:r>
      <w:r w:rsidRPr="00301544">
        <w:rPr>
          <w:b w:val="0"/>
          <w:bCs w:val="0"/>
          <w:lang w:val="es-ES_tradnl"/>
        </w:rPr>
        <w:t xml:space="preserve"> </w:t>
      </w:r>
      <w:r>
        <w:rPr>
          <w:b w:val="0"/>
          <w:bCs w:val="0"/>
          <w:lang w:val="es-ES_tradnl"/>
        </w:rPr>
        <w:t xml:space="preserve">en el </w:t>
      </w:r>
      <w:r w:rsidRPr="00301544">
        <w:rPr>
          <w:b w:val="0"/>
          <w:bCs w:val="0"/>
          <w:lang w:val="es-ES_tradnl"/>
        </w:rPr>
        <w:t>20</w:t>
      </w:r>
      <w:r>
        <w:rPr>
          <w:b w:val="0"/>
          <w:bCs w:val="0"/>
          <w:lang w:val="es-ES_tradnl"/>
        </w:rPr>
        <w:t>12</w:t>
      </w:r>
      <w:r w:rsidRPr="00301544">
        <w:rPr>
          <w:b w:val="0"/>
          <w:bCs w:val="0"/>
          <w:lang w:val="es-ES_tradnl"/>
        </w:rPr>
        <w:t xml:space="preserve">, </w:t>
      </w:r>
      <w:r>
        <w:rPr>
          <w:b w:val="0"/>
          <w:bCs w:val="0"/>
          <w:lang w:val="es-ES_tradnl"/>
        </w:rPr>
        <w:t xml:space="preserve">al incrementarse </w:t>
      </w:r>
      <w:r w:rsidRPr="00301544">
        <w:rPr>
          <w:b w:val="0"/>
          <w:bCs w:val="0"/>
          <w:lang w:val="es-ES_tradnl"/>
        </w:rPr>
        <w:t xml:space="preserve">las importaciones </w:t>
      </w:r>
      <w:r>
        <w:rPr>
          <w:b w:val="0"/>
          <w:bCs w:val="0"/>
          <w:lang w:val="es-ES_tradnl"/>
        </w:rPr>
        <w:t xml:space="preserve">(11,3%) y </w:t>
      </w:r>
      <w:r w:rsidRPr="00301544">
        <w:rPr>
          <w:b w:val="0"/>
          <w:bCs w:val="0"/>
          <w:lang w:val="es-ES_tradnl"/>
        </w:rPr>
        <w:t xml:space="preserve">exportaciones </w:t>
      </w:r>
      <w:r>
        <w:rPr>
          <w:b w:val="0"/>
          <w:bCs w:val="0"/>
          <w:lang w:val="es-ES_tradnl"/>
        </w:rPr>
        <w:t>(2,</w:t>
      </w:r>
      <w:r w:rsidR="009A2F40">
        <w:rPr>
          <w:b w:val="0"/>
          <w:bCs w:val="0"/>
          <w:lang w:val="es-ES_tradnl"/>
        </w:rPr>
        <w:t>5</w:t>
      </w:r>
      <w:r>
        <w:rPr>
          <w:b w:val="0"/>
          <w:bCs w:val="0"/>
          <w:lang w:val="es-ES_tradnl"/>
        </w:rPr>
        <w:t>%)</w:t>
      </w:r>
      <w:r w:rsidRPr="00301544">
        <w:rPr>
          <w:b w:val="0"/>
          <w:bCs w:val="0"/>
          <w:lang w:val="es-ES_tradnl"/>
        </w:rPr>
        <w:t xml:space="preserve">. </w:t>
      </w:r>
      <w:r w:rsidRPr="006D1E87">
        <w:rPr>
          <w:b w:val="0"/>
          <w:bCs w:val="0"/>
          <w:lang w:val="es-PE"/>
        </w:rPr>
        <w:t xml:space="preserve">Según países, </w:t>
      </w:r>
      <w:r w:rsidRPr="000645AF">
        <w:rPr>
          <w:b w:val="0"/>
          <w:bCs w:val="0"/>
          <w:lang w:val="es-PE"/>
        </w:rPr>
        <w:t xml:space="preserve">China con una participación del 31% del total se consolida como el </w:t>
      </w:r>
      <w:r>
        <w:rPr>
          <w:b w:val="0"/>
          <w:bCs w:val="0"/>
          <w:lang w:val="es-PE"/>
        </w:rPr>
        <w:t xml:space="preserve">más importante </w:t>
      </w:r>
      <w:r w:rsidRPr="000645AF">
        <w:rPr>
          <w:b w:val="0"/>
          <w:bCs w:val="0"/>
          <w:lang w:val="es-PE"/>
        </w:rPr>
        <w:t>socio comercial, seguido de Estados Unidos (2</w:t>
      </w:r>
      <w:r w:rsidR="009A2F40">
        <w:rPr>
          <w:b w:val="0"/>
          <w:bCs w:val="0"/>
          <w:lang w:val="es-PE"/>
        </w:rPr>
        <w:t>9</w:t>
      </w:r>
      <w:r w:rsidRPr="000645AF">
        <w:rPr>
          <w:b w:val="0"/>
          <w:bCs w:val="0"/>
          <w:lang w:val="es-PE"/>
        </w:rPr>
        <w:t xml:space="preserve">% del total), Canadá </w:t>
      </w:r>
      <w:r>
        <w:rPr>
          <w:b w:val="0"/>
          <w:bCs w:val="0"/>
          <w:lang w:val="es-PE"/>
        </w:rPr>
        <w:t xml:space="preserve">(8% del total) </w:t>
      </w:r>
      <w:r w:rsidRPr="000645AF">
        <w:rPr>
          <w:b w:val="0"/>
          <w:bCs w:val="0"/>
          <w:lang w:val="es-PE"/>
        </w:rPr>
        <w:t>y Japón</w:t>
      </w:r>
      <w:r>
        <w:rPr>
          <w:b w:val="0"/>
          <w:bCs w:val="0"/>
          <w:lang w:val="es-PE"/>
        </w:rPr>
        <w:t xml:space="preserve"> (8% del total), entre otros países. </w:t>
      </w:r>
    </w:p>
    <w:p w14:paraId="4AC9C6BA" w14:textId="77777777" w:rsidR="008B0991" w:rsidRDefault="008B0991" w:rsidP="008B0991">
      <w:pPr>
        <w:pStyle w:val="Ttulo"/>
        <w:jc w:val="both"/>
        <w:rPr>
          <w:b w:val="0"/>
          <w:bCs w:val="0"/>
          <w:lang w:val="es-ES_tradnl"/>
        </w:rPr>
      </w:pPr>
    </w:p>
    <w:p w14:paraId="39D9B951" w14:textId="77777777" w:rsidR="008B0991" w:rsidRDefault="008B0991" w:rsidP="008B0991">
      <w:pPr>
        <w:pStyle w:val="Ttulo"/>
        <w:jc w:val="both"/>
        <w:rPr>
          <w:b w:val="0"/>
          <w:bCs w:val="0"/>
          <w:lang w:val="es-ES_tradnl"/>
        </w:rPr>
      </w:pPr>
      <w:r w:rsidRPr="003122FF">
        <w:rPr>
          <w:b w:val="0"/>
          <w:bCs w:val="0"/>
          <w:lang w:val="es-PE"/>
        </w:rPr>
        <w:t xml:space="preserve">El comercio con la </w:t>
      </w:r>
      <w:r w:rsidRPr="003122FF">
        <w:rPr>
          <w:b w:val="0"/>
          <w:bCs w:val="0"/>
          <w:u w:val="single"/>
          <w:lang w:val="es-PE"/>
        </w:rPr>
        <w:t>Unión Europea</w:t>
      </w:r>
      <w:r w:rsidRPr="003122FF">
        <w:rPr>
          <w:b w:val="0"/>
          <w:bCs w:val="0"/>
          <w:lang w:val="es-PE"/>
        </w:rPr>
        <w:t xml:space="preserve"> (UE), que es el segundo bloque más importante con una participación del 15% del total registró un crecimiento de </w:t>
      </w:r>
      <w:r>
        <w:rPr>
          <w:b w:val="0"/>
          <w:bCs w:val="0"/>
          <w:lang w:val="es-PE"/>
        </w:rPr>
        <w:t>2,4</w:t>
      </w:r>
      <w:r w:rsidRPr="003122FF">
        <w:rPr>
          <w:b w:val="0"/>
          <w:bCs w:val="0"/>
          <w:lang w:val="es-PE"/>
        </w:rPr>
        <w:t>% en 2012, debido a que las importaciones crecieron 2</w:t>
      </w:r>
      <w:r>
        <w:rPr>
          <w:b w:val="0"/>
          <w:bCs w:val="0"/>
          <w:lang w:val="es-PE"/>
        </w:rPr>
        <w:t>1,6</w:t>
      </w:r>
      <w:r w:rsidRPr="003122FF">
        <w:rPr>
          <w:b w:val="0"/>
          <w:bCs w:val="0"/>
          <w:lang w:val="es-PE"/>
        </w:rPr>
        <w:t xml:space="preserve">% y las exportaciones retrocedieron </w:t>
      </w:r>
      <w:r>
        <w:rPr>
          <w:b w:val="0"/>
          <w:bCs w:val="0"/>
          <w:lang w:val="es-PE"/>
        </w:rPr>
        <w:t>6,7</w:t>
      </w:r>
      <w:r w:rsidRPr="003122FF">
        <w:rPr>
          <w:b w:val="0"/>
          <w:bCs w:val="0"/>
          <w:lang w:val="es-PE"/>
        </w:rPr>
        <w:t xml:space="preserve">%. </w:t>
      </w:r>
      <w:r w:rsidRPr="00361033">
        <w:rPr>
          <w:b w:val="0"/>
          <w:bCs w:val="0"/>
          <w:lang w:val="es-ES_tradnl"/>
        </w:rPr>
        <w:t>Un poco menos del 80% del total exportado a la UE son productos tradicionales, registrando una gran dependencia por las ventas del sector minero, siendo el cobre el mineral más destacado del resto. En lo que respecta a las no tradicionales, se produce una mayor diversificación, debido a la demanda europea por alimentos, seguido de productos pesqueros y confecciones, entre los más importantes.</w:t>
      </w:r>
    </w:p>
    <w:p w14:paraId="70A739E8" w14:textId="77777777" w:rsidR="008B0991" w:rsidRDefault="008B0991" w:rsidP="008B0991">
      <w:pPr>
        <w:pStyle w:val="Ttulo"/>
        <w:jc w:val="both"/>
        <w:rPr>
          <w:b w:val="0"/>
          <w:bCs w:val="0"/>
          <w:lang w:val="es-ES_tradnl"/>
        </w:rPr>
      </w:pPr>
    </w:p>
    <w:p w14:paraId="5A655F2F" w14:textId="2BB1B3E4" w:rsidR="008B0991" w:rsidRPr="006D1E87" w:rsidRDefault="008B0991" w:rsidP="008B0991">
      <w:pPr>
        <w:pStyle w:val="Ttulo"/>
        <w:jc w:val="both"/>
        <w:rPr>
          <w:b w:val="0"/>
          <w:bCs w:val="0"/>
          <w:lang w:val="es-PE"/>
        </w:rPr>
      </w:pPr>
      <w:r w:rsidRPr="003122FF">
        <w:rPr>
          <w:b w:val="0"/>
          <w:bCs w:val="0"/>
          <w:lang w:val="es-PE"/>
        </w:rPr>
        <w:t xml:space="preserve">Por su parte, el intercambio comercial con el </w:t>
      </w:r>
      <w:r w:rsidRPr="003122FF">
        <w:rPr>
          <w:b w:val="0"/>
          <w:bCs w:val="0"/>
          <w:u w:val="single"/>
          <w:lang w:val="es-PE"/>
        </w:rPr>
        <w:t>MERCOSUR</w:t>
      </w:r>
      <w:r w:rsidRPr="003122FF">
        <w:rPr>
          <w:b w:val="0"/>
          <w:bCs w:val="0"/>
          <w:lang w:val="es-PE"/>
        </w:rPr>
        <w:t xml:space="preserve">, bloque que representa el </w:t>
      </w:r>
      <w:r w:rsidR="00CD0080">
        <w:rPr>
          <w:b w:val="0"/>
          <w:bCs w:val="0"/>
          <w:lang w:val="es-PE"/>
        </w:rPr>
        <w:t>7</w:t>
      </w:r>
      <w:r w:rsidRPr="003122FF">
        <w:rPr>
          <w:b w:val="0"/>
          <w:bCs w:val="0"/>
          <w:lang w:val="es-PE"/>
        </w:rPr>
        <w:t>% del comercio del Perú con el resto del mundo, creció 6,</w:t>
      </w:r>
      <w:r>
        <w:rPr>
          <w:b w:val="0"/>
          <w:bCs w:val="0"/>
          <w:lang w:val="es-PE"/>
        </w:rPr>
        <w:t>1</w:t>
      </w:r>
      <w:r w:rsidRPr="003122FF">
        <w:rPr>
          <w:b w:val="0"/>
          <w:bCs w:val="0"/>
          <w:lang w:val="es-PE"/>
        </w:rPr>
        <w:t>% en 2012. En el desagregado, las exportaciones (</w:t>
      </w:r>
      <w:r>
        <w:rPr>
          <w:b w:val="0"/>
          <w:bCs w:val="0"/>
          <w:lang w:val="es-PE"/>
        </w:rPr>
        <w:t>7,</w:t>
      </w:r>
      <w:r w:rsidR="00CD0080">
        <w:rPr>
          <w:b w:val="0"/>
          <w:bCs w:val="0"/>
          <w:lang w:val="es-PE"/>
        </w:rPr>
        <w:t>2</w:t>
      </w:r>
      <w:r w:rsidRPr="003122FF">
        <w:rPr>
          <w:b w:val="0"/>
          <w:bCs w:val="0"/>
          <w:lang w:val="es-PE"/>
        </w:rPr>
        <w:t>%) crecieron a un mayor ritmo que las importaciones (</w:t>
      </w:r>
      <w:r>
        <w:rPr>
          <w:b w:val="0"/>
          <w:bCs w:val="0"/>
          <w:lang w:val="es-PE"/>
        </w:rPr>
        <w:t>5,7</w:t>
      </w:r>
      <w:r w:rsidRPr="003122FF">
        <w:rPr>
          <w:b w:val="0"/>
          <w:bCs w:val="0"/>
          <w:lang w:val="es-PE"/>
        </w:rPr>
        <w:t>%).</w:t>
      </w:r>
      <w:r>
        <w:rPr>
          <w:b w:val="0"/>
          <w:bCs w:val="0"/>
          <w:lang w:val="es-PE"/>
        </w:rPr>
        <w:t xml:space="preserve"> </w:t>
      </w:r>
      <w:r w:rsidRPr="006D1E87">
        <w:rPr>
          <w:b w:val="0"/>
          <w:bCs w:val="0"/>
          <w:lang w:val="es-PE"/>
        </w:rPr>
        <w:t xml:space="preserve">Una de las características del comercio con este bloque comercial, es que el Perú registra un saldo negativo con cada uno de </w:t>
      </w:r>
      <w:r>
        <w:rPr>
          <w:b w:val="0"/>
          <w:bCs w:val="0"/>
          <w:lang w:val="es-PE"/>
        </w:rPr>
        <w:t>sus</w:t>
      </w:r>
      <w:r w:rsidRPr="006D1E87">
        <w:rPr>
          <w:b w:val="0"/>
          <w:bCs w:val="0"/>
          <w:lang w:val="es-PE"/>
        </w:rPr>
        <w:t xml:space="preserve"> integrantes</w:t>
      </w:r>
      <w:r>
        <w:rPr>
          <w:b w:val="0"/>
          <w:bCs w:val="0"/>
          <w:lang w:val="es-PE"/>
        </w:rPr>
        <w:t>.</w:t>
      </w:r>
      <w:r w:rsidRPr="006D1E87">
        <w:rPr>
          <w:b w:val="0"/>
          <w:bCs w:val="0"/>
          <w:lang w:val="es-PE"/>
        </w:rPr>
        <w:t xml:space="preserve"> </w:t>
      </w:r>
    </w:p>
    <w:p w14:paraId="7E01691C" w14:textId="77777777" w:rsidR="008B0991" w:rsidRPr="006D1E87" w:rsidRDefault="008B0991" w:rsidP="008B0991">
      <w:pPr>
        <w:pStyle w:val="Ttulo"/>
        <w:jc w:val="both"/>
        <w:rPr>
          <w:b w:val="0"/>
          <w:bCs w:val="0"/>
          <w:lang w:val="es-PE"/>
        </w:rPr>
      </w:pPr>
    </w:p>
    <w:p w14:paraId="0234AD25" w14:textId="7DC5473C" w:rsidR="008B0991" w:rsidRDefault="008B0991" w:rsidP="008B0991">
      <w:pPr>
        <w:pStyle w:val="Ttulo"/>
        <w:jc w:val="both"/>
        <w:rPr>
          <w:b w:val="0"/>
          <w:lang w:val="es-PE"/>
        </w:rPr>
      </w:pPr>
      <w:r>
        <w:rPr>
          <w:b w:val="0"/>
          <w:bCs w:val="0"/>
          <w:lang w:val="es-ES_tradnl"/>
        </w:rPr>
        <w:t xml:space="preserve">Finalmente, el </w:t>
      </w:r>
      <w:r w:rsidRPr="008444EA">
        <w:rPr>
          <w:b w:val="0"/>
          <w:bCs w:val="0"/>
          <w:lang w:val="es-ES_tradnl"/>
        </w:rPr>
        <w:t>intercambio comercial con la</w:t>
      </w:r>
      <w:r>
        <w:rPr>
          <w:b w:val="0"/>
          <w:bCs w:val="0"/>
          <w:lang w:val="es-ES_tradnl"/>
        </w:rPr>
        <w:t xml:space="preserve"> </w:t>
      </w:r>
      <w:r w:rsidRPr="00C476B7">
        <w:rPr>
          <w:b w:val="0"/>
          <w:bCs w:val="0"/>
          <w:u w:val="single"/>
          <w:lang w:val="es-ES_tradnl"/>
        </w:rPr>
        <w:t>Comunidad Andina</w:t>
      </w:r>
      <w:r>
        <w:rPr>
          <w:b w:val="0"/>
          <w:bCs w:val="0"/>
          <w:lang w:val="es-ES_tradnl"/>
        </w:rPr>
        <w:t xml:space="preserve"> (</w:t>
      </w:r>
      <w:r w:rsidRPr="00C476B7">
        <w:rPr>
          <w:b w:val="0"/>
          <w:bCs w:val="0"/>
          <w:lang w:val="es-ES_tradnl"/>
        </w:rPr>
        <w:t>CAN)</w:t>
      </w:r>
      <w:r>
        <w:rPr>
          <w:b w:val="0"/>
          <w:bCs w:val="0"/>
          <w:lang w:val="es-ES_tradnl"/>
        </w:rPr>
        <w:t xml:space="preserve"> </w:t>
      </w:r>
      <w:r w:rsidRPr="008444EA">
        <w:rPr>
          <w:b w:val="0"/>
          <w:bCs w:val="0"/>
          <w:lang w:val="es-ES_tradnl"/>
        </w:rPr>
        <w:t xml:space="preserve">que representó el </w:t>
      </w:r>
      <w:r>
        <w:rPr>
          <w:b w:val="0"/>
          <w:bCs w:val="0"/>
          <w:lang w:val="es-ES_tradnl"/>
        </w:rPr>
        <w:t xml:space="preserve">7% </w:t>
      </w:r>
      <w:r w:rsidRPr="008444EA">
        <w:rPr>
          <w:b w:val="0"/>
          <w:bCs w:val="0"/>
          <w:lang w:val="es-ES_tradnl"/>
        </w:rPr>
        <w:t>del comercio del Perú con el resto del mundo</w:t>
      </w:r>
      <w:r>
        <w:rPr>
          <w:b w:val="0"/>
          <w:bCs w:val="0"/>
          <w:lang w:val="es-ES_tradnl"/>
        </w:rPr>
        <w:t>, creci</w:t>
      </w:r>
      <w:r w:rsidRPr="008444EA">
        <w:rPr>
          <w:b w:val="0"/>
          <w:bCs w:val="0"/>
          <w:lang w:val="es-ES_tradnl"/>
        </w:rPr>
        <w:t xml:space="preserve">ó </w:t>
      </w:r>
      <w:r>
        <w:rPr>
          <w:b w:val="0"/>
          <w:bCs w:val="0"/>
          <w:lang w:val="es-ES_tradnl"/>
        </w:rPr>
        <w:t>8,</w:t>
      </w:r>
      <w:r w:rsidR="00CD0080">
        <w:rPr>
          <w:b w:val="0"/>
          <w:bCs w:val="0"/>
          <w:lang w:val="es-ES_tradnl"/>
        </w:rPr>
        <w:t>5</w:t>
      </w:r>
      <w:r>
        <w:rPr>
          <w:b w:val="0"/>
          <w:bCs w:val="0"/>
          <w:lang w:val="es-ES_tradnl"/>
        </w:rPr>
        <w:t>%</w:t>
      </w:r>
      <w:r w:rsidRPr="008444EA">
        <w:rPr>
          <w:b w:val="0"/>
          <w:bCs w:val="0"/>
          <w:lang w:val="es-ES_tradnl"/>
        </w:rPr>
        <w:t xml:space="preserve"> durante el 201</w:t>
      </w:r>
      <w:r>
        <w:rPr>
          <w:b w:val="0"/>
          <w:bCs w:val="0"/>
          <w:lang w:val="es-ES_tradnl"/>
        </w:rPr>
        <w:t>2</w:t>
      </w:r>
      <w:r w:rsidRPr="008444EA">
        <w:rPr>
          <w:b w:val="0"/>
          <w:bCs w:val="0"/>
          <w:lang w:val="es-ES_tradnl"/>
        </w:rPr>
        <w:t xml:space="preserve">. </w:t>
      </w:r>
      <w:r>
        <w:rPr>
          <w:b w:val="0"/>
          <w:bCs w:val="0"/>
          <w:lang w:val="es-ES_tradnl"/>
        </w:rPr>
        <w:t xml:space="preserve">Según estructura del </w:t>
      </w:r>
      <w:r w:rsidRPr="008444EA">
        <w:rPr>
          <w:b w:val="0"/>
          <w:bCs w:val="0"/>
          <w:lang w:val="es-ES_tradnl"/>
        </w:rPr>
        <w:t xml:space="preserve">comercio con </w:t>
      </w:r>
      <w:r>
        <w:rPr>
          <w:b w:val="0"/>
          <w:bCs w:val="0"/>
          <w:lang w:val="es-ES_tradnl"/>
        </w:rPr>
        <w:t>los países andinos</w:t>
      </w:r>
      <w:r w:rsidRPr="008444EA">
        <w:rPr>
          <w:b w:val="0"/>
          <w:bCs w:val="0"/>
          <w:lang w:val="es-ES_tradnl"/>
        </w:rPr>
        <w:t xml:space="preserve">, </w:t>
      </w:r>
      <w:r>
        <w:rPr>
          <w:b w:val="0"/>
          <w:bCs w:val="0"/>
          <w:lang w:val="es-ES_tradnl"/>
        </w:rPr>
        <w:t xml:space="preserve">las importaciones </w:t>
      </w:r>
      <w:r>
        <w:rPr>
          <w:b w:val="0"/>
          <w:bCs w:val="0"/>
          <w:lang w:val="es-ES_tradnl"/>
        </w:rPr>
        <w:lastRenderedPageBreak/>
        <w:t xml:space="preserve">registraron una participación del </w:t>
      </w:r>
      <w:r w:rsidRPr="008444EA">
        <w:rPr>
          <w:b w:val="0"/>
          <w:bCs w:val="0"/>
          <w:lang w:val="es-ES_tradnl"/>
        </w:rPr>
        <w:t>6</w:t>
      </w:r>
      <w:r>
        <w:rPr>
          <w:b w:val="0"/>
          <w:bCs w:val="0"/>
          <w:lang w:val="es-ES_tradnl"/>
        </w:rPr>
        <w:t>3%</w:t>
      </w:r>
      <w:r w:rsidRPr="008444EA">
        <w:rPr>
          <w:b w:val="0"/>
          <w:bCs w:val="0"/>
          <w:lang w:val="es-ES_tradnl"/>
        </w:rPr>
        <w:t xml:space="preserve"> del </w:t>
      </w:r>
      <w:r>
        <w:rPr>
          <w:b w:val="0"/>
          <w:bCs w:val="0"/>
          <w:lang w:val="es-ES_tradnl"/>
        </w:rPr>
        <w:t>total</w:t>
      </w:r>
      <w:r w:rsidRPr="008444EA">
        <w:rPr>
          <w:b w:val="0"/>
          <w:bCs w:val="0"/>
          <w:lang w:val="es-ES_tradnl"/>
        </w:rPr>
        <w:t>, siendo los combustibles el grupo de producto más comercializado.</w:t>
      </w:r>
    </w:p>
    <w:p w14:paraId="203017F8" w14:textId="77777777" w:rsidR="00285EB1" w:rsidRDefault="00285EB1" w:rsidP="00BF0BE1">
      <w:pPr>
        <w:pStyle w:val="Textoindependiente2"/>
        <w:autoSpaceDE/>
        <w:autoSpaceDN/>
        <w:adjustRightInd/>
        <w:jc w:val="center"/>
        <w:rPr>
          <w:b/>
          <w:sz w:val="28"/>
          <w:szCs w:val="28"/>
          <w:u w:val="single"/>
        </w:rPr>
      </w:pPr>
    </w:p>
    <w:p w14:paraId="70144514" w14:textId="77777777" w:rsidR="00273B36" w:rsidRPr="00BF0BE1" w:rsidRDefault="008462A4" w:rsidP="00BF0BE1">
      <w:pPr>
        <w:pStyle w:val="Textoindependiente2"/>
        <w:autoSpaceDE/>
        <w:autoSpaceDN/>
        <w:adjustRightInd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</w:t>
      </w:r>
      <w:r w:rsidR="00BF0BE1" w:rsidRPr="00BF0BE1">
        <w:rPr>
          <w:b/>
          <w:sz w:val="28"/>
          <w:szCs w:val="28"/>
          <w:u w:val="single"/>
        </w:rPr>
        <w:t>XPORTACIONES</w:t>
      </w:r>
    </w:p>
    <w:p w14:paraId="54AB151D" w14:textId="77777777" w:rsidR="002931CE" w:rsidRDefault="002931CE">
      <w:pPr>
        <w:pStyle w:val="Textoindependiente2"/>
        <w:autoSpaceDE/>
        <w:autoSpaceDN/>
        <w:adjustRightInd/>
        <w:rPr>
          <w:sz w:val="24"/>
          <w:szCs w:val="24"/>
        </w:rPr>
      </w:pPr>
    </w:p>
    <w:p w14:paraId="4255D553" w14:textId="77777777" w:rsidR="00BF0BE1" w:rsidRDefault="002931CE">
      <w:pPr>
        <w:pStyle w:val="Textoindependiente2"/>
        <w:autoSpaceDE/>
        <w:autoSpaceDN/>
        <w:adjustRightInd/>
        <w:rPr>
          <w:sz w:val="24"/>
          <w:szCs w:val="24"/>
        </w:rPr>
      </w:pPr>
      <w:r w:rsidRPr="002931CE">
        <w:rPr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 w:rsidRPr="002931CE">
        <w:rPr>
          <w:sz w:val="24"/>
          <w:szCs w:val="24"/>
        </w:rPr>
        <w:t>201</w:t>
      </w:r>
      <w:r w:rsidR="005B1E5C">
        <w:rPr>
          <w:sz w:val="24"/>
          <w:szCs w:val="24"/>
        </w:rPr>
        <w:t>2</w:t>
      </w:r>
      <w:r w:rsidRPr="002931CE">
        <w:rPr>
          <w:sz w:val="24"/>
          <w:szCs w:val="24"/>
        </w:rPr>
        <w:t xml:space="preserve"> el valor de las exportaciones ascendió a US$ 4</w:t>
      </w:r>
      <w:r w:rsidR="00016282">
        <w:rPr>
          <w:sz w:val="24"/>
          <w:szCs w:val="24"/>
        </w:rPr>
        <w:t>6 3</w:t>
      </w:r>
      <w:r w:rsidR="00CA79B7">
        <w:rPr>
          <w:sz w:val="24"/>
          <w:szCs w:val="24"/>
        </w:rPr>
        <w:t>78</w:t>
      </w:r>
      <w:r w:rsidR="00016282">
        <w:rPr>
          <w:sz w:val="24"/>
          <w:szCs w:val="24"/>
        </w:rPr>
        <w:t xml:space="preserve"> </w:t>
      </w:r>
      <w:r w:rsidRPr="002931CE">
        <w:rPr>
          <w:sz w:val="24"/>
          <w:szCs w:val="24"/>
        </w:rPr>
        <w:t>millones, monto que representó un</w:t>
      </w:r>
      <w:r w:rsidR="00E72BE6">
        <w:rPr>
          <w:sz w:val="24"/>
          <w:szCs w:val="24"/>
        </w:rPr>
        <w:t xml:space="preserve"> estancamiento respecto del </w:t>
      </w:r>
      <w:r w:rsidRPr="002931CE">
        <w:rPr>
          <w:sz w:val="24"/>
          <w:szCs w:val="24"/>
        </w:rPr>
        <w:t>año anterior</w:t>
      </w:r>
      <w:r w:rsidR="0092573B">
        <w:rPr>
          <w:sz w:val="24"/>
          <w:szCs w:val="24"/>
        </w:rPr>
        <w:t xml:space="preserve">, en </w:t>
      </w:r>
      <w:r w:rsidR="002F0157">
        <w:rPr>
          <w:sz w:val="24"/>
          <w:szCs w:val="24"/>
        </w:rPr>
        <w:t>un contexto de desaceleración del crecimiento del comercio mundial</w:t>
      </w:r>
      <w:r w:rsidRPr="002931CE">
        <w:rPr>
          <w:sz w:val="24"/>
          <w:szCs w:val="24"/>
        </w:rPr>
        <w:t>.</w:t>
      </w:r>
      <w:r w:rsidR="00DD7091">
        <w:rPr>
          <w:sz w:val="24"/>
          <w:szCs w:val="24"/>
        </w:rPr>
        <w:t xml:space="preserve"> </w:t>
      </w:r>
      <w:r w:rsidR="00DD7091" w:rsidRPr="00DD7091">
        <w:rPr>
          <w:sz w:val="24"/>
          <w:szCs w:val="24"/>
        </w:rPr>
        <w:t>En el desagregado</w:t>
      </w:r>
      <w:r w:rsidR="00DD7091">
        <w:rPr>
          <w:sz w:val="24"/>
          <w:szCs w:val="24"/>
        </w:rPr>
        <w:t>,</w:t>
      </w:r>
      <w:r w:rsidR="00DD7091" w:rsidRPr="00DD7091">
        <w:rPr>
          <w:sz w:val="24"/>
          <w:szCs w:val="24"/>
        </w:rPr>
        <w:t xml:space="preserve"> las tradicionales </w:t>
      </w:r>
      <w:r w:rsidR="00DD7091">
        <w:rPr>
          <w:sz w:val="24"/>
          <w:szCs w:val="24"/>
        </w:rPr>
        <w:t xml:space="preserve">disminuyeron </w:t>
      </w:r>
      <w:r w:rsidR="00CA79B7">
        <w:rPr>
          <w:sz w:val="24"/>
          <w:szCs w:val="24"/>
        </w:rPr>
        <w:t>2</w:t>
      </w:r>
      <w:r w:rsidR="00016282">
        <w:rPr>
          <w:sz w:val="24"/>
          <w:szCs w:val="24"/>
        </w:rPr>
        <w:t>,</w:t>
      </w:r>
      <w:r w:rsidR="00CA79B7">
        <w:rPr>
          <w:sz w:val="24"/>
          <w:szCs w:val="24"/>
        </w:rPr>
        <w:t>7</w:t>
      </w:r>
      <w:r w:rsidR="00DD7091" w:rsidRPr="00DD7091">
        <w:rPr>
          <w:sz w:val="24"/>
          <w:szCs w:val="24"/>
        </w:rPr>
        <w:t>%</w:t>
      </w:r>
      <w:r w:rsidR="00DD7091">
        <w:rPr>
          <w:sz w:val="24"/>
          <w:szCs w:val="24"/>
        </w:rPr>
        <w:t>, pero</w:t>
      </w:r>
      <w:r w:rsidR="00DD7091" w:rsidRPr="00DD7091">
        <w:rPr>
          <w:sz w:val="24"/>
          <w:szCs w:val="24"/>
        </w:rPr>
        <w:t xml:space="preserve"> las no tradicionales </w:t>
      </w:r>
      <w:r w:rsidR="00DD7091">
        <w:rPr>
          <w:sz w:val="24"/>
          <w:szCs w:val="24"/>
        </w:rPr>
        <w:t>crecieron 9,</w:t>
      </w:r>
      <w:r w:rsidR="00CA79B7">
        <w:rPr>
          <w:sz w:val="24"/>
          <w:szCs w:val="24"/>
        </w:rPr>
        <w:t>3</w:t>
      </w:r>
      <w:r w:rsidR="00DD7091">
        <w:rPr>
          <w:sz w:val="24"/>
          <w:szCs w:val="24"/>
        </w:rPr>
        <w:t>%</w:t>
      </w:r>
      <w:r w:rsidR="00DD7091" w:rsidRPr="00DD7091">
        <w:rPr>
          <w:sz w:val="24"/>
          <w:szCs w:val="24"/>
        </w:rPr>
        <w:t>.</w:t>
      </w:r>
    </w:p>
    <w:p w14:paraId="71E5982F" w14:textId="77777777" w:rsidR="002931CE" w:rsidRDefault="002931CE">
      <w:pPr>
        <w:pStyle w:val="Textoindependiente2"/>
        <w:autoSpaceDE/>
        <w:autoSpaceDN/>
        <w:adjustRightInd/>
        <w:rPr>
          <w:sz w:val="24"/>
          <w:szCs w:val="24"/>
        </w:rPr>
      </w:pPr>
    </w:p>
    <w:p w14:paraId="100C2469" w14:textId="77777777" w:rsidR="002931CE" w:rsidRDefault="008A3699">
      <w:pPr>
        <w:pStyle w:val="Textoindependiente2"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Según </w:t>
      </w:r>
      <w:r w:rsidR="00DD7091">
        <w:rPr>
          <w:sz w:val="24"/>
          <w:szCs w:val="24"/>
        </w:rPr>
        <w:t>composición</w:t>
      </w:r>
      <w:r w:rsidR="007245BF">
        <w:rPr>
          <w:sz w:val="24"/>
          <w:szCs w:val="24"/>
        </w:rPr>
        <w:t>,</w:t>
      </w:r>
      <w:r w:rsidR="00DD70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 </w:t>
      </w:r>
      <w:r w:rsidRPr="008A3699">
        <w:rPr>
          <w:sz w:val="24"/>
          <w:szCs w:val="24"/>
        </w:rPr>
        <w:t>75% de</w:t>
      </w:r>
      <w:r w:rsidR="00DD7091">
        <w:rPr>
          <w:sz w:val="24"/>
          <w:szCs w:val="24"/>
        </w:rPr>
        <w:t xml:space="preserve">l total exportado </w:t>
      </w:r>
      <w:r>
        <w:rPr>
          <w:sz w:val="24"/>
          <w:szCs w:val="24"/>
        </w:rPr>
        <w:t xml:space="preserve">correspondieron a </w:t>
      </w:r>
      <w:r w:rsidRPr="008A3699">
        <w:rPr>
          <w:sz w:val="24"/>
          <w:szCs w:val="24"/>
        </w:rPr>
        <w:t>productos tradicionales</w:t>
      </w:r>
      <w:r w:rsidR="00DD7091">
        <w:rPr>
          <w:sz w:val="24"/>
          <w:szCs w:val="24"/>
        </w:rPr>
        <w:t>; el 24% a productos</w:t>
      </w:r>
      <w:r w:rsidRPr="008A3699">
        <w:rPr>
          <w:sz w:val="24"/>
          <w:szCs w:val="24"/>
        </w:rPr>
        <w:t xml:space="preserve"> no tradicionales</w:t>
      </w:r>
      <w:r w:rsidR="00DD7091">
        <w:rPr>
          <w:sz w:val="24"/>
          <w:szCs w:val="24"/>
        </w:rPr>
        <w:t xml:space="preserve">; y </w:t>
      </w:r>
      <w:r w:rsidRPr="008A3699">
        <w:rPr>
          <w:sz w:val="24"/>
          <w:szCs w:val="24"/>
        </w:rPr>
        <w:t>el restante 1% es explicado por el rubro Otros.</w:t>
      </w:r>
    </w:p>
    <w:p w14:paraId="3CDD81D3" w14:textId="77777777" w:rsidR="00327F26" w:rsidRDefault="00327F26">
      <w:pPr>
        <w:pStyle w:val="Textoindependiente2"/>
        <w:autoSpaceDE/>
        <w:autoSpaceDN/>
        <w:adjustRightInd/>
        <w:rPr>
          <w:sz w:val="24"/>
          <w:szCs w:val="24"/>
        </w:rPr>
      </w:pPr>
    </w:p>
    <w:p w14:paraId="18CA3F8A" w14:textId="77777777" w:rsidR="00327F26" w:rsidRPr="00327F26" w:rsidRDefault="007E2602" w:rsidP="00327F26">
      <w:pPr>
        <w:pStyle w:val="Textoindependiente2"/>
        <w:rPr>
          <w:sz w:val="24"/>
          <w:szCs w:val="24"/>
        </w:rPr>
      </w:pPr>
      <w:proofErr w:type="gramStart"/>
      <w:r>
        <w:rPr>
          <w:sz w:val="24"/>
          <w:szCs w:val="24"/>
        </w:rPr>
        <w:t>En relación a</w:t>
      </w:r>
      <w:proofErr w:type="gramEnd"/>
      <w:r>
        <w:rPr>
          <w:sz w:val="24"/>
          <w:szCs w:val="24"/>
        </w:rPr>
        <w:t xml:space="preserve"> l</w:t>
      </w:r>
      <w:r w:rsidR="00327F26" w:rsidRPr="00327F26">
        <w:rPr>
          <w:sz w:val="24"/>
          <w:szCs w:val="24"/>
        </w:rPr>
        <w:t xml:space="preserve">as </w:t>
      </w:r>
      <w:r w:rsidR="00327F26" w:rsidRPr="007245BF">
        <w:rPr>
          <w:sz w:val="24"/>
          <w:szCs w:val="24"/>
          <w:u w:val="single"/>
        </w:rPr>
        <w:t>exportaciones tradicionales</w:t>
      </w:r>
      <w:r>
        <w:rPr>
          <w:b/>
          <w:sz w:val="24"/>
          <w:szCs w:val="24"/>
        </w:rPr>
        <w:t xml:space="preserve">, </w:t>
      </w:r>
      <w:r w:rsidRPr="007E2602">
        <w:rPr>
          <w:sz w:val="24"/>
          <w:szCs w:val="24"/>
        </w:rPr>
        <w:t>éstas ascendieron a</w:t>
      </w:r>
      <w:r w:rsidR="00327F26" w:rsidRPr="00327F26">
        <w:rPr>
          <w:sz w:val="24"/>
          <w:szCs w:val="24"/>
        </w:rPr>
        <w:t xml:space="preserve"> US$ 3</w:t>
      </w:r>
      <w:r w:rsidR="00044D71">
        <w:rPr>
          <w:sz w:val="24"/>
          <w:szCs w:val="24"/>
        </w:rPr>
        <w:t xml:space="preserve">4 </w:t>
      </w:r>
      <w:r w:rsidR="00667ACB">
        <w:rPr>
          <w:sz w:val="24"/>
          <w:szCs w:val="24"/>
        </w:rPr>
        <w:t>8</w:t>
      </w:r>
      <w:r w:rsidR="00CA79B7">
        <w:rPr>
          <w:sz w:val="24"/>
          <w:szCs w:val="24"/>
        </w:rPr>
        <w:t>94</w:t>
      </w:r>
      <w:r w:rsidR="00327F26" w:rsidRPr="00327F26">
        <w:rPr>
          <w:sz w:val="24"/>
          <w:szCs w:val="24"/>
        </w:rPr>
        <w:t xml:space="preserve"> millones</w:t>
      </w:r>
      <w:r w:rsidR="00B429C8">
        <w:rPr>
          <w:sz w:val="24"/>
          <w:szCs w:val="24"/>
        </w:rPr>
        <w:t xml:space="preserve"> en 2012</w:t>
      </w:r>
      <w:r w:rsidR="00327F26" w:rsidRPr="00327F26">
        <w:rPr>
          <w:sz w:val="24"/>
          <w:szCs w:val="24"/>
        </w:rPr>
        <w:t>, monto que representó un</w:t>
      </w:r>
      <w:r w:rsidR="00044D71">
        <w:rPr>
          <w:sz w:val="24"/>
          <w:szCs w:val="24"/>
        </w:rPr>
        <w:t>a</w:t>
      </w:r>
      <w:r w:rsidR="00327F26" w:rsidRPr="00327F26">
        <w:rPr>
          <w:sz w:val="24"/>
          <w:szCs w:val="24"/>
        </w:rPr>
        <w:t xml:space="preserve"> c</w:t>
      </w:r>
      <w:r w:rsidR="00044D71">
        <w:rPr>
          <w:sz w:val="24"/>
          <w:szCs w:val="24"/>
        </w:rPr>
        <w:t>aída</w:t>
      </w:r>
      <w:r w:rsidR="00327F26" w:rsidRPr="00327F26">
        <w:rPr>
          <w:sz w:val="24"/>
          <w:szCs w:val="24"/>
        </w:rPr>
        <w:t xml:space="preserve"> de </w:t>
      </w:r>
      <w:r w:rsidR="00CA79B7">
        <w:rPr>
          <w:sz w:val="24"/>
          <w:szCs w:val="24"/>
        </w:rPr>
        <w:t>2</w:t>
      </w:r>
      <w:r w:rsidR="00667ACB">
        <w:rPr>
          <w:sz w:val="24"/>
          <w:szCs w:val="24"/>
        </w:rPr>
        <w:t>,</w:t>
      </w:r>
      <w:r w:rsidR="00CA79B7">
        <w:rPr>
          <w:sz w:val="24"/>
          <w:szCs w:val="24"/>
        </w:rPr>
        <w:t>7</w:t>
      </w:r>
      <w:r w:rsidR="00327F26" w:rsidRPr="00327F26">
        <w:rPr>
          <w:sz w:val="24"/>
          <w:szCs w:val="24"/>
        </w:rPr>
        <w:t xml:space="preserve">% si se le compara con </w:t>
      </w:r>
      <w:r w:rsidR="00327F26">
        <w:rPr>
          <w:sz w:val="24"/>
          <w:szCs w:val="24"/>
        </w:rPr>
        <w:t xml:space="preserve">el </w:t>
      </w:r>
      <w:r w:rsidR="00B429C8">
        <w:rPr>
          <w:sz w:val="24"/>
          <w:szCs w:val="24"/>
        </w:rPr>
        <w:t>año anterior</w:t>
      </w:r>
      <w:r w:rsidR="00327F26" w:rsidRPr="00327F26">
        <w:rPr>
          <w:sz w:val="24"/>
          <w:szCs w:val="24"/>
        </w:rPr>
        <w:t xml:space="preserve">. </w:t>
      </w:r>
      <w:r w:rsidR="00044D71">
        <w:rPr>
          <w:sz w:val="24"/>
          <w:szCs w:val="24"/>
        </w:rPr>
        <w:t>El comportamiento en el desagregado es variado. Por un lado, disminuyeron las exportaciones del sector agrícola (-35,</w:t>
      </w:r>
      <w:r w:rsidR="00667ACB">
        <w:rPr>
          <w:sz w:val="24"/>
          <w:szCs w:val="24"/>
        </w:rPr>
        <w:t>2</w:t>
      </w:r>
      <w:r w:rsidR="00044D71">
        <w:rPr>
          <w:sz w:val="24"/>
          <w:szCs w:val="24"/>
        </w:rPr>
        <w:t>%) y minero (-</w:t>
      </w:r>
      <w:r w:rsidR="00CA79B7">
        <w:rPr>
          <w:sz w:val="24"/>
          <w:szCs w:val="24"/>
        </w:rPr>
        <w:t>3</w:t>
      </w:r>
      <w:r w:rsidR="00667ACB">
        <w:rPr>
          <w:sz w:val="24"/>
          <w:szCs w:val="24"/>
        </w:rPr>
        <w:t>,</w:t>
      </w:r>
      <w:r w:rsidR="00CA79B7">
        <w:rPr>
          <w:sz w:val="24"/>
          <w:szCs w:val="24"/>
        </w:rPr>
        <w:t>7</w:t>
      </w:r>
      <w:r w:rsidR="00044D71">
        <w:rPr>
          <w:sz w:val="24"/>
          <w:szCs w:val="24"/>
        </w:rPr>
        <w:t xml:space="preserve">%); pero crecieron las del sector </w:t>
      </w:r>
      <w:r w:rsidR="008C2DBD">
        <w:rPr>
          <w:sz w:val="24"/>
          <w:szCs w:val="24"/>
        </w:rPr>
        <w:t>pesquero (9,4%) y p</w:t>
      </w:r>
      <w:r w:rsidR="00044D71">
        <w:rPr>
          <w:sz w:val="24"/>
          <w:szCs w:val="24"/>
        </w:rPr>
        <w:t>etróleo y gas natural (9,4%).</w:t>
      </w:r>
      <w:r w:rsidR="00327F26" w:rsidRPr="00327F26">
        <w:rPr>
          <w:sz w:val="24"/>
          <w:szCs w:val="24"/>
        </w:rPr>
        <w:t xml:space="preserve"> </w:t>
      </w:r>
    </w:p>
    <w:p w14:paraId="21F45A57" w14:textId="77777777" w:rsidR="00327F26" w:rsidRPr="00327F26" w:rsidRDefault="00327F26" w:rsidP="00327F26">
      <w:pPr>
        <w:pStyle w:val="Textoindependiente2"/>
        <w:rPr>
          <w:sz w:val="24"/>
          <w:szCs w:val="24"/>
        </w:rPr>
      </w:pPr>
      <w:r w:rsidRPr="00327F26">
        <w:rPr>
          <w:sz w:val="24"/>
          <w:szCs w:val="24"/>
        </w:rPr>
        <w:t xml:space="preserve"> </w:t>
      </w:r>
    </w:p>
    <w:p w14:paraId="363A80D7" w14:textId="77777777" w:rsidR="00B429C8" w:rsidRDefault="00327F26" w:rsidP="00327F26">
      <w:pPr>
        <w:pStyle w:val="Textoindependiente2"/>
        <w:autoSpaceDE/>
        <w:autoSpaceDN/>
        <w:adjustRightInd/>
        <w:rPr>
          <w:sz w:val="24"/>
          <w:szCs w:val="24"/>
        </w:rPr>
      </w:pPr>
      <w:r w:rsidRPr="00327F26">
        <w:rPr>
          <w:sz w:val="24"/>
          <w:szCs w:val="24"/>
        </w:rPr>
        <w:t>Cabe señalar la enorme dependencia de los minerales en la estructura de las exportaciones peruanas, ya que el sector minero explicó el 76% de las exportaciones tradicionales registradas en el 201</w:t>
      </w:r>
      <w:r w:rsidR="007245BF">
        <w:rPr>
          <w:sz w:val="24"/>
          <w:szCs w:val="24"/>
        </w:rPr>
        <w:t>2</w:t>
      </w:r>
      <w:r w:rsidRPr="00327F26">
        <w:rPr>
          <w:sz w:val="24"/>
          <w:szCs w:val="24"/>
        </w:rPr>
        <w:t xml:space="preserve">. </w:t>
      </w:r>
    </w:p>
    <w:p w14:paraId="7D6D8BA6" w14:textId="77777777" w:rsidR="00B429C8" w:rsidRDefault="00B429C8" w:rsidP="00327F26">
      <w:pPr>
        <w:pStyle w:val="Textoindependiente2"/>
        <w:autoSpaceDE/>
        <w:autoSpaceDN/>
        <w:adjustRightInd/>
        <w:rPr>
          <w:sz w:val="24"/>
          <w:szCs w:val="24"/>
        </w:rPr>
      </w:pPr>
    </w:p>
    <w:p w14:paraId="6E934D72" w14:textId="77777777" w:rsidR="00327F26" w:rsidRDefault="007245BF" w:rsidP="00327F26">
      <w:pPr>
        <w:pStyle w:val="Textoindependiente2"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B429C8">
        <w:rPr>
          <w:sz w:val="24"/>
          <w:szCs w:val="24"/>
        </w:rPr>
        <w:t>cobre (US$ 10 7</w:t>
      </w:r>
      <w:r w:rsidR="00667ACB">
        <w:rPr>
          <w:sz w:val="24"/>
          <w:szCs w:val="24"/>
        </w:rPr>
        <w:t>3</w:t>
      </w:r>
      <w:r w:rsidR="00CA79B7">
        <w:rPr>
          <w:sz w:val="24"/>
          <w:szCs w:val="24"/>
        </w:rPr>
        <w:t>3</w:t>
      </w:r>
      <w:r w:rsidR="00B429C8">
        <w:rPr>
          <w:sz w:val="24"/>
          <w:szCs w:val="24"/>
        </w:rPr>
        <w:t xml:space="preserve"> millones) y el oro (US$ 9 </w:t>
      </w:r>
      <w:r w:rsidR="00667ACB">
        <w:rPr>
          <w:sz w:val="24"/>
          <w:szCs w:val="24"/>
        </w:rPr>
        <w:t>7</w:t>
      </w:r>
      <w:r w:rsidR="00750F02">
        <w:rPr>
          <w:sz w:val="24"/>
          <w:szCs w:val="24"/>
        </w:rPr>
        <w:t>68</w:t>
      </w:r>
      <w:r w:rsidR="00B429C8">
        <w:rPr>
          <w:sz w:val="24"/>
          <w:szCs w:val="24"/>
        </w:rPr>
        <w:t xml:space="preserve"> millones), </w:t>
      </w:r>
      <w:r w:rsidR="00894460">
        <w:rPr>
          <w:sz w:val="24"/>
          <w:szCs w:val="24"/>
        </w:rPr>
        <w:t xml:space="preserve">ambos mineros, </w:t>
      </w:r>
      <w:r w:rsidR="00B429C8">
        <w:rPr>
          <w:sz w:val="24"/>
          <w:szCs w:val="24"/>
        </w:rPr>
        <w:t xml:space="preserve">fueron los dos principales productos de exportación tradicional en 2012, pero con un comportamiento dispar; por un lado, las exportaciones de oro disminuyeron </w:t>
      </w:r>
      <w:r w:rsidR="00750F02">
        <w:rPr>
          <w:sz w:val="24"/>
          <w:szCs w:val="24"/>
        </w:rPr>
        <w:t>4</w:t>
      </w:r>
      <w:r w:rsidR="00667ACB">
        <w:rPr>
          <w:sz w:val="24"/>
          <w:szCs w:val="24"/>
        </w:rPr>
        <w:t>,</w:t>
      </w:r>
      <w:r w:rsidR="00750F02">
        <w:rPr>
          <w:sz w:val="24"/>
          <w:szCs w:val="24"/>
        </w:rPr>
        <w:t>6</w:t>
      </w:r>
      <w:r w:rsidR="00B429C8">
        <w:rPr>
          <w:sz w:val="24"/>
          <w:szCs w:val="24"/>
        </w:rPr>
        <w:t xml:space="preserve">%, </w:t>
      </w:r>
      <w:r w:rsidR="00894460">
        <w:rPr>
          <w:sz w:val="24"/>
          <w:szCs w:val="24"/>
        </w:rPr>
        <w:t xml:space="preserve">pero </w:t>
      </w:r>
      <w:r w:rsidR="00B429C8">
        <w:rPr>
          <w:sz w:val="24"/>
          <w:szCs w:val="24"/>
        </w:rPr>
        <w:t>las de cobre crecieron 0,</w:t>
      </w:r>
      <w:r w:rsidR="00750F02">
        <w:rPr>
          <w:sz w:val="24"/>
          <w:szCs w:val="24"/>
        </w:rPr>
        <w:t>2</w:t>
      </w:r>
      <w:r w:rsidR="00B429C8">
        <w:rPr>
          <w:sz w:val="24"/>
          <w:szCs w:val="24"/>
        </w:rPr>
        <w:t>%</w:t>
      </w:r>
      <w:r w:rsidR="00327F26" w:rsidRPr="00327F26">
        <w:rPr>
          <w:sz w:val="24"/>
          <w:szCs w:val="24"/>
        </w:rPr>
        <w:t>.</w:t>
      </w:r>
    </w:p>
    <w:p w14:paraId="240F0F38" w14:textId="77777777" w:rsidR="002931CE" w:rsidRDefault="002931CE">
      <w:pPr>
        <w:pStyle w:val="Textoindependiente2"/>
        <w:autoSpaceDE/>
        <w:autoSpaceDN/>
        <w:adjustRightInd/>
        <w:rPr>
          <w:sz w:val="24"/>
          <w:szCs w:val="24"/>
        </w:rPr>
      </w:pPr>
    </w:p>
    <w:p w14:paraId="70C7941C" w14:textId="77777777" w:rsidR="00894460" w:rsidRDefault="00EC1540" w:rsidP="00894460">
      <w:pPr>
        <w:pStyle w:val="Textoindependiente2"/>
        <w:rPr>
          <w:sz w:val="24"/>
          <w:szCs w:val="24"/>
        </w:rPr>
      </w:pPr>
      <w:r>
        <w:rPr>
          <w:sz w:val="24"/>
          <w:szCs w:val="24"/>
        </w:rPr>
        <w:t xml:space="preserve">Por su parte, </w:t>
      </w:r>
      <w:r w:rsidRPr="00EC1540">
        <w:rPr>
          <w:sz w:val="24"/>
          <w:szCs w:val="24"/>
        </w:rPr>
        <w:t xml:space="preserve">las </w:t>
      </w:r>
      <w:r w:rsidRPr="007245BF">
        <w:rPr>
          <w:sz w:val="24"/>
          <w:szCs w:val="24"/>
          <w:u w:val="single"/>
        </w:rPr>
        <w:t>exportaciones no tradicionales</w:t>
      </w:r>
      <w:r w:rsidRPr="00EC1540">
        <w:rPr>
          <w:sz w:val="24"/>
          <w:szCs w:val="24"/>
        </w:rPr>
        <w:t xml:space="preserve"> ascendieron a US$ 1</w:t>
      </w:r>
      <w:r w:rsidR="00894460">
        <w:rPr>
          <w:sz w:val="24"/>
          <w:szCs w:val="24"/>
        </w:rPr>
        <w:t xml:space="preserve">1 </w:t>
      </w:r>
      <w:r w:rsidR="00750F02">
        <w:rPr>
          <w:sz w:val="24"/>
          <w:szCs w:val="24"/>
        </w:rPr>
        <w:t>148</w:t>
      </w:r>
      <w:r w:rsidRPr="00EC1540">
        <w:rPr>
          <w:sz w:val="24"/>
          <w:szCs w:val="24"/>
        </w:rPr>
        <w:t xml:space="preserve"> millones</w:t>
      </w:r>
      <w:r w:rsidR="00894460">
        <w:rPr>
          <w:sz w:val="24"/>
          <w:szCs w:val="24"/>
        </w:rPr>
        <w:t xml:space="preserve"> en 2012</w:t>
      </w:r>
      <w:r w:rsidRPr="00EC1540">
        <w:rPr>
          <w:sz w:val="24"/>
          <w:szCs w:val="24"/>
        </w:rPr>
        <w:t xml:space="preserve">, monto que representó un crecimiento de </w:t>
      </w:r>
      <w:r w:rsidR="00894460">
        <w:rPr>
          <w:sz w:val="24"/>
          <w:szCs w:val="24"/>
        </w:rPr>
        <w:t>9,</w:t>
      </w:r>
      <w:r w:rsidR="00750F02">
        <w:rPr>
          <w:sz w:val="24"/>
          <w:szCs w:val="24"/>
        </w:rPr>
        <w:t>3</w:t>
      </w:r>
      <w:r w:rsidRPr="00EC1540">
        <w:rPr>
          <w:sz w:val="24"/>
          <w:szCs w:val="24"/>
        </w:rPr>
        <w:t xml:space="preserve">% respecto del nivel alcanzado en el año precedente. </w:t>
      </w:r>
    </w:p>
    <w:p w14:paraId="3389DBED" w14:textId="77777777" w:rsidR="00894460" w:rsidRDefault="00894460" w:rsidP="00894460">
      <w:pPr>
        <w:pStyle w:val="Textoindependiente2"/>
        <w:rPr>
          <w:sz w:val="24"/>
          <w:szCs w:val="24"/>
        </w:rPr>
      </w:pPr>
    </w:p>
    <w:p w14:paraId="4AC6E059" w14:textId="77777777" w:rsidR="00EC1540" w:rsidRPr="00EC1540" w:rsidRDefault="008C2DBD" w:rsidP="00894460">
      <w:pPr>
        <w:pStyle w:val="Textoindependiente2"/>
        <w:rPr>
          <w:sz w:val="24"/>
          <w:szCs w:val="24"/>
        </w:rPr>
      </w:pPr>
      <w:r>
        <w:rPr>
          <w:sz w:val="24"/>
          <w:szCs w:val="24"/>
        </w:rPr>
        <w:t>A nivel desagregado, las exportaciones de productos considerados como varios (incluidos joyería)</w:t>
      </w:r>
      <w:r w:rsidR="00771C02">
        <w:rPr>
          <w:sz w:val="24"/>
          <w:szCs w:val="24"/>
        </w:rPr>
        <w:t xml:space="preserve"> fueron los que más crecieron (72,</w:t>
      </w:r>
      <w:r w:rsidR="00750F02">
        <w:rPr>
          <w:sz w:val="24"/>
          <w:szCs w:val="24"/>
        </w:rPr>
        <w:t>4</w:t>
      </w:r>
      <w:r w:rsidR="00771C02">
        <w:rPr>
          <w:sz w:val="24"/>
          <w:szCs w:val="24"/>
        </w:rPr>
        <w:t xml:space="preserve">%); le siguieron las del sector </w:t>
      </w:r>
      <w:r w:rsidR="00EC1540" w:rsidRPr="00EC1540">
        <w:rPr>
          <w:sz w:val="24"/>
          <w:szCs w:val="24"/>
        </w:rPr>
        <w:t xml:space="preserve">minero no metálico </w:t>
      </w:r>
      <w:r w:rsidR="00771C02">
        <w:rPr>
          <w:sz w:val="24"/>
          <w:szCs w:val="24"/>
        </w:rPr>
        <w:t>(</w:t>
      </w:r>
      <w:r w:rsidR="00894460">
        <w:rPr>
          <w:sz w:val="24"/>
          <w:szCs w:val="24"/>
        </w:rPr>
        <w:t>46,</w:t>
      </w:r>
      <w:r w:rsidR="0066503C">
        <w:rPr>
          <w:sz w:val="24"/>
          <w:szCs w:val="24"/>
        </w:rPr>
        <w:t>8</w:t>
      </w:r>
      <w:r w:rsidR="00EC1540" w:rsidRPr="00EC1540">
        <w:rPr>
          <w:sz w:val="24"/>
          <w:szCs w:val="24"/>
        </w:rPr>
        <w:t>%)</w:t>
      </w:r>
      <w:r w:rsidR="00771C02">
        <w:rPr>
          <w:sz w:val="24"/>
          <w:szCs w:val="24"/>
        </w:rPr>
        <w:t xml:space="preserve">, </w:t>
      </w:r>
      <w:r w:rsidR="00894460">
        <w:rPr>
          <w:sz w:val="24"/>
          <w:szCs w:val="24"/>
        </w:rPr>
        <w:t>siderúrgico-metalúrgico (</w:t>
      </w:r>
      <w:r w:rsidR="00750F02">
        <w:rPr>
          <w:sz w:val="24"/>
          <w:szCs w:val="24"/>
        </w:rPr>
        <w:t>9</w:t>
      </w:r>
      <w:r w:rsidR="00894460">
        <w:rPr>
          <w:sz w:val="24"/>
          <w:szCs w:val="24"/>
        </w:rPr>
        <w:t>,</w:t>
      </w:r>
      <w:r w:rsidR="00750F02">
        <w:rPr>
          <w:sz w:val="24"/>
          <w:szCs w:val="24"/>
        </w:rPr>
        <w:t>6</w:t>
      </w:r>
      <w:r w:rsidR="00894460">
        <w:rPr>
          <w:sz w:val="24"/>
          <w:szCs w:val="24"/>
        </w:rPr>
        <w:t xml:space="preserve">%), </w:t>
      </w:r>
      <w:proofErr w:type="gramStart"/>
      <w:r w:rsidR="00894460">
        <w:rPr>
          <w:sz w:val="24"/>
          <w:szCs w:val="24"/>
        </w:rPr>
        <w:t>metal-mecánico</w:t>
      </w:r>
      <w:proofErr w:type="gramEnd"/>
      <w:r w:rsidR="00894460">
        <w:rPr>
          <w:sz w:val="24"/>
          <w:szCs w:val="24"/>
        </w:rPr>
        <w:t xml:space="preserve"> (1</w:t>
      </w:r>
      <w:r w:rsidR="0066503C">
        <w:rPr>
          <w:sz w:val="24"/>
          <w:szCs w:val="24"/>
        </w:rPr>
        <w:t>3,</w:t>
      </w:r>
      <w:r w:rsidR="00750F02">
        <w:rPr>
          <w:sz w:val="24"/>
          <w:szCs w:val="24"/>
        </w:rPr>
        <w:t>7</w:t>
      </w:r>
      <w:r w:rsidR="00894460">
        <w:rPr>
          <w:sz w:val="24"/>
          <w:szCs w:val="24"/>
        </w:rPr>
        <w:t>%), textil (9,</w:t>
      </w:r>
      <w:r w:rsidR="0066503C">
        <w:rPr>
          <w:sz w:val="24"/>
          <w:szCs w:val="24"/>
        </w:rPr>
        <w:t>4</w:t>
      </w:r>
      <w:r w:rsidR="00894460">
        <w:rPr>
          <w:sz w:val="24"/>
          <w:szCs w:val="24"/>
        </w:rPr>
        <w:t>%)</w:t>
      </w:r>
      <w:r w:rsidR="00771C02">
        <w:rPr>
          <w:sz w:val="24"/>
          <w:szCs w:val="24"/>
        </w:rPr>
        <w:t xml:space="preserve">, </w:t>
      </w:r>
      <w:r w:rsidR="0066503C">
        <w:rPr>
          <w:sz w:val="24"/>
          <w:szCs w:val="24"/>
        </w:rPr>
        <w:t xml:space="preserve">maderas y papeles (9,1%) y </w:t>
      </w:r>
      <w:r w:rsidR="00894460">
        <w:rPr>
          <w:sz w:val="24"/>
          <w:szCs w:val="24"/>
        </w:rPr>
        <w:t>agropecuario (</w:t>
      </w:r>
      <w:r w:rsidR="00750F02">
        <w:rPr>
          <w:sz w:val="24"/>
          <w:szCs w:val="24"/>
        </w:rPr>
        <w:t>7</w:t>
      </w:r>
      <w:r w:rsidR="00771C02">
        <w:rPr>
          <w:sz w:val="24"/>
          <w:szCs w:val="24"/>
        </w:rPr>
        <w:t>,</w:t>
      </w:r>
      <w:r w:rsidR="00750F02">
        <w:rPr>
          <w:sz w:val="24"/>
          <w:szCs w:val="24"/>
        </w:rPr>
        <w:t>9</w:t>
      </w:r>
      <w:r w:rsidR="00894460">
        <w:rPr>
          <w:sz w:val="24"/>
          <w:szCs w:val="24"/>
        </w:rPr>
        <w:t>%); en contraste, disminuyeron las exportaciones de</w:t>
      </w:r>
      <w:r w:rsidR="00771C02">
        <w:rPr>
          <w:sz w:val="24"/>
          <w:szCs w:val="24"/>
        </w:rPr>
        <w:t xml:space="preserve"> artesanías (-74,</w:t>
      </w:r>
      <w:r w:rsidR="0066503C">
        <w:rPr>
          <w:sz w:val="24"/>
          <w:szCs w:val="24"/>
        </w:rPr>
        <w:t>3</w:t>
      </w:r>
      <w:r w:rsidR="00771C02">
        <w:rPr>
          <w:sz w:val="24"/>
          <w:szCs w:val="24"/>
        </w:rPr>
        <w:t xml:space="preserve">%), </w:t>
      </w:r>
      <w:r w:rsidR="0066503C">
        <w:rPr>
          <w:sz w:val="24"/>
          <w:szCs w:val="24"/>
        </w:rPr>
        <w:t>pieles y cueros (-5,</w:t>
      </w:r>
      <w:r w:rsidR="00750F02">
        <w:rPr>
          <w:sz w:val="24"/>
          <w:szCs w:val="24"/>
        </w:rPr>
        <w:t>6</w:t>
      </w:r>
      <w:r w:rsidR="0066503C">
        <w:rPr>
          <w:sz w:val="24"/>
          <w:szCs w:val="24"/>
        </w:rPr>
        <w:t xml:space="preserve">%), </w:t>
      </w:r>
      <w:r w:rsidR="00771C02">
        <w:rPr>
          <w:sz w:val="24"/>
          <w:szCs w:val="24"/>
        </w:rPr>
        <w:t>productos pesqueros (-</w:t>
      </w:r>
      <w:r w:rsidR="00750F02">
        <w:rPr>
          <w:sz w:val="24"/>
          <w:szCs w:val="24"/>
        </w:rPr>
        <w:t>1</w:t>
      </w:r>
      <w:r w:rsidR="00771C02">
        <w:rPr>
          <w:sz w:val="24"/>
          <w:szCs w:val="24"/>
        </w:rPr>
        <w:t>,</w:t>
      </w:r>
      <w:r w:rsidR="00750F02">
        <w:rPr>
          <w:sz w:val="24"/>
          <w:szCs w:val="24"/>
        </w:rPr>
        <w:t>1</w:t>
      </w:r>
      <w:r w:rsidR="00771C02">
        <w:rPr>
          <w:sz w:val="24"/>
          <w:szCs w:val="24"/>
        </w:rPr>
        <w:t xml:space="preserve">%) y </w:t>
      </w:r>
      <w:r w:rsidR="00894460">
        <w:rPr>
          <w:sz w:val="24"/>
          <w:szCs w:val="24"/>
        </w:rPr>
        <w:t>químico</w:t>
      </w:r>
      <w:r w:rsidR="00771C02">
        <w:rPr>
          <w:sz w:val="24"/>
          <w:szCs w:val="24"/>
        </w:rPr>
        <w:t>s</w:t>
      </w:r>
      <w:r w:rsidR="00894460">
        <w:rPr>
          <w:sz w:val="24"/>
          <w:szCs w:val="24"/>
        </w:rPr>
        <w:t xml:space="preserve"> (-1,</w:t>
      </w:r>
      <w:r w:rsidR="00750F02">
        <w:rPr>
          <w:sz w:val="24"/>
          <w:szCs w:val="24"/>
        </w:rPr>
        <w:t>2</w:t>
      </w:r>
      <w:r w:rsidR="00894460">
        <w:rPr>
          <w:sz w:val="24"/>
          <w:szCs w:val="24"/>
        </w:rPr>
        <w:t>%).</w:t>
      </w:r>
    </w:p>
    <w:p w14:paraId="4A999A96" w14:textId="77777777" w:rsidR="00EC1540" w:rsidRDefault="00EC1540" w:rsidP="00EC1540">
      <w:pPr>
        <w:pStyle w:val="Textoindependiente2"/>
        <w:rPr>
          <w:sz w:val="24"/>
          <w:szCs w:val="24"/>
        </w:rPr>
      </w:pPr>
    </w:p>
    <w:p w14:paraId="01CC47AF" w14:textId="77777777" w:rsidR="002931CE" w:rsidRDefault="00EC1540" w:rsidP="00EC1540">
      <w:pPr>
        <w:pStyle w:val="Textoindependiente2"/>
        <w:autoSpaceDE/>
        <w:autoSpaceDN/>
        <w:adjustRightInd/>
        <w:rPr>
          <w:sz w:val="24"/>
          <w:szCs w:val="24"/>
        </w:rPr>
      </w:pPr>
      <w:r w:rsidRPr="00EC1540">
        <w:rPr>
          <w:sz w:val="24"/>
          <w:szCs w:val="24"/>
        </w:rPr>
        <w:t>A diferencia de las exportaciones tradicionales, las no tradicionales se caracterizaron por una mayor diversificación</w:t>
      </w:r>
      <w:r w:rsidR="00946B80">
        <w:rPr>
          <w:sz w:val="24"/>
          <w:szCs w:val="24"/>
        </w:rPr>
        <w:t xml:space="preserve"> a nivel de sectores</w:t>
      </w:r>
      <w:r w:rsidRPr="00EC1540">
        <w:rPr>
          <w:sz w:val="24"/>
          <w:szCs w:val="24"/>
        </w:rPr>
        <w:t>. El agropecuario sigue siendo el más importante sector, registrando una participación del 2</w:t>
      </w:r>
      <w:r w:rsidR="007E0273">
        <w:rPr>
          <w:sz w:val="24"/>
          <w:szCs w:val="24"/>
        </w:rPr>
        <w:t>7</w:t>
      </w:r>
      <w:r w:rsidRPr="00EC1540">
        <w:rPr>
          <w:sz w:val="24"/>
          <w:szCs w:val="24"/>
        </w:rPr>
        <w:t xml:space="preserve">% del total en </w:t>
      </w:r>
      <w:r w:rsidR="007E0273">
        <w:rPr>
          <w:sz w:val="24"/>
          <w:szCs w:val="24"/>
        </w:rPr>
        <w:t>2012</w:t>
      </w:r>
      <w:r w:rsidRPr="00EC1540">
        <w:rPr>
          <w:sz w:val="24"/>
          <w:szCs w:val="24"/>
        </w:rPr>
        <w:t>; le siguieron en orden de importancia el sector textil (</w:t>
      </w:r>
      <w:r w:rsidR="00750F02">
        <w:rPr>
          <w:sz w:val="24"/>
          <w:szCs w:val="24"/>
        </w:rPr>
        <w:t>20</w:t>
      </w:r>
      <w:r w:rsidRPr="00EC1540">
        <w:rPr>
          <w:sz w:val="24"/>
          <w:szCs w:val="24"/>
        </w:rPr>
        <w:t>% del total), químico (1</w:t>
      </w:r>
      <w:r w:rsidR="00F42993">
        <w:rPr>
          <w:sz w:val="24"/>
          <w:szCs w:val="24"/>
        </w:rPr>
        <w:t>5</w:t>
      </w:r>
      <w:r w:rsidRPr="00EC1540">
        <w:rPr>
          <w:sz w:val="24"/>
          <w:szCs w:val="24"/>
        </w:rPr>
        <w:t>% del total) y siderúrgico-metalúrgico (1</w:t>
      </w:r>
      <w:r w:rsidR="00750F02">
        <w:rPr>
          <w:sz w:val="24"/>
          <w:szCs w:val="24"/>
        </w:rPr>
        <w:t>0</w:t>
      </w:r>
      <w:r w:rsidRPr="00EC1540">
        <w:rPr>
          <w:sz w:val="24"/>
          <w:szCs w:val="24"/>
        </w:rPr>
        <w:t>% del total), entre otros.</w:t>
      </w:r>
    </w:p>
    <w:p w14:paraId="14E6BA3A" w14:textId="77777777" w:rsidR="00B40AAA" w:rsidRDefault="00B40AAA" w:rsidP="00B40AAA">
      <w:pPr>
        <w:pStyle w:val="Textoindependiente"/>
        <w:widowControl w:val="0"/>
        <w:rPr>
          <w:sz w:val="22"/>
        </w:rPr>
      </w:pPr>
    </w:p>
    <w:p w14:paraId="7282F8A5" w14:textId="77777777" w:rsidR="00946B80" w:rsidRDefault="00946B80" w:rsidP="00B40AAA">
      <w:pPr>
        <w:pStyle w:val="Textoindependiente"/>
        <w:widowControl w:val="0"/>
        <w:jc w:val="both"/>
        <w:rPr>
          <w:sz w:val="24"/>
        </w:rPr>
      </w:pPr>
      <w:r w:rsidRPr="00946B80">
        <w:rPr>
          <w:sz w:val="24"/>
        </w:rPr>
        <w:lastRenderedPageBreak/>
        <w:t xml:space="preserve">Finalmente, respecto al </w:t>
      </w:r>
      <w:r w:rsidRPr="00946B80">
        <w:rPr>
          <w:sz w:val="24"/>
          <w:u w:val="single"/>
        </w:rPr>
        <w:t>destino de nuestras exportaciones</w:t>
      </w:r>
      <w:r w:rsidRPr="00946B80">
        <w:rPr>
          <w:sz w:val="24"/>
        </w:rPr>
        <w:t xml:space="preserve">, cabe mencionar que en </w:t>
      </w:r>
      <w:r>
        <w:rPr>
          <w:sz w:val="24"/>
        </w:rPr>
        <w:t>2012</w:t>
      </w:r>
      <w:r w:rsidRPr="00946B80">
        <w:rPr>
          <w:sz w:val="24"/>
        </w:rPr>
        <w:t xml:space="preserve"> </w:t>
      </w:r>
      <w:r>
        <w:rPr>
          <w:sz w:val="24"/>
        </w:rPr>
        <w:t>China</w:t>
      </w:r>
      <w:r w:rsidRPr="00946B80">
        <w:rPr>
          <w:sz w:val="24"/>
        </w:rPr>
        <w:t xml:space="preserve"> ocupó el primer lugar, con una participación del 1</w:t>
      </w:r>
      <w:r>
        <w:rPr>
          <w:sz w:val="24"/>
        </w:rPr>
        <w:t>7</w:t>
      </w:r>
      <w:r w:rsidRPr="00946B80">
        <w:rPr>
          <w:sz w:val="24"/>
        </w:rPr>
        <w:t xml:space="preserve">% del total, seguido de </w:t>
      </w:r>
      <w:r>
        <w:rPr>
          <w:sz w:val="24"/>
        </w:rPr>
        <w:t>Estados Unidos</w:t>
      </w:r>
      <w:r w:rsidRPr="00946B80">
        <w:rPr>
          <w:sz w:val="24"/>
        </w:rPr>
        <w:t xml:space="preserve"> (1</w:t>
      </w:r>
      <w:r w:rsidR="00750F02">
        <w:rPr>
          <w:sz w:val="24"/>
        </w:rPr>
        <w:t>4</w:t>
      </w:r>
      <w:r w:rsidRPr="00946B80">
        <w:rPr>
          <w:sz w:val="24"/>
        </w:rPr>
        <w:t>% del total), Suiza (</w:t>
      </w:r>
      <w:r>
        <w:rPr>
          <w:sz w:val="24"/>
        </w:rPr>
        <w:t>11</w:t>
      </w:r>
      <w:r w:rsidRPr="00946B80">
        <w:rPr>
          <w:sz w:val="24"/>
        </w:rPr>
        <w:t>% del total), Canadá (</w:t>
      </w:r>
      <w:r>
        <w:rPr>
          <w:sz w:val="24"/>
        </w:rPr>
        <w:t>7</w:t>
      </w:r>
      <w:r w:rsidRPr="00946B80">
        <w:rPr>
          <w:sz w:val="24"/>
        </w:rPr>
        <w:t>% del total) y Japón (</w:t>
      </w:r>
      <w:r>
        <w:rPr>
          <w:sz w:val="24"/>
        </w:rPr>
        <w:t>6</w:t>
      </w:r>
      <w:r w:rsidRPr="00946B80">
        <w:rPr>
          <w:sz w:val="24"/>
        </w:rPr>
        <w:t>% del total), entre otros destinos.</w:t>
      </w:r>
    </w:p>
    <w:p w14:paraId="2589BDEA" w14:textId="77777777" w:rsidR="00285EB1" w:rsidRDefault="00285EB1" w:rsidP="001B129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0478A1C" w14:textId="77777777" w:rsidR="001B129B" w:rsidRPr="001B129B" w:rsidRDefault="001B129B" w:rsidP="001B129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B129B">
        <w:rPr>
          <w:rFonts w:ascii="Arial" w:hAnsi="Arial" w:cs="Arial"/>
          <w:b/>
          <w:bCs/>
          <w:sz w:val="28"/>
          <w:szCs w:val="28"/>
          <w:u w:val="single"/>
        </w:rPr>
        <w:t>IMPORTACIONES</w:t>
      </w:r>
    </w:p>
    <w:p w14:paraId="438A0E51" w14:textId="77777777" w:rsidR="006A77DA" w:rsidRDefault="006A77D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</w:rPr>
      </w:pPr>
    </w:p>
    <w:p w14:paraId="22541178" w14:textId="77777777" w:rsidR="00D31D20" w:rsidRDefault="009453DD" w:rsidP="00DA1AB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9453DD">
        <w:rPr>
          <w:rFonts w:ascii="Arial" w:hAnsi="Arial" w:cs="Arial"/>
          <w:bCs/>
        </w:rPr>
        <w:t>En 201</w:t>
      </w:r>
      <w:r w:rsidR="00341AA8">
        <w:rPr>
          <w:rFonts w:ascii="Arial" w:hAnsi="Arial" w:cs="Arial"/>
          <w:bCs/>
        </w:rPr>
        <w:t>2</w:t>
      </w:r>
      <w:r w:rsidRPr="009453DD">
        <w:rPr>
          <w:rFonts w:ascii="Arial" w:hAnsi="Arial" w:cs="Arial"/>
          <w:bCs/>
        </w:rPr>
        <w:t xml:space="preserve"> </w:t>
      </w:r>
      <w:r w:rsidR="00AE161A">
        <w:rPr>
          <w:rFonts w:ascii="Arial" w:hAnsi="Arial" w:cs="Arial"/>
          <w:bCs/>
        </w:rPr>
        <w:t xml:space="preserve">el valor de </w:t>
      </w:r>
      <w:r w:rsidRPr="009453DD">
        <w:rPr>
          <w:rFonts w:ascii="Arial" w:hAnsi="Arial" w:cs="Arial"/>
          <w:bCs/>
        </w:rPr>
        <w:t xml:space="preserve">las importaciones </w:t>
      </w:r>
      <w:r w:rsidR="00AE161A">
        <w:rPr>
          <w:rFonts w:ascii="Arial" w:hAnsi="Arial" w:cs="Arial"/>
          <w:bCs/>
        </w:rPr>
        <w:t xml:space="preserve">totales ascendió a </w:t>
      </w:r>
      <w:r w:rsidRPr="009453DD">
        <w:rPr>
          <w:rFonts w:ascii="Arial" w:hAnsi="Arial" w:cs="Arial"/>
          <w:bCs/>
        </w:rPr>
        <w:t xml:space="preserve">US$ </w:t>
      </w:r>
      <w:r w:rsidR="00341AA8">
        <w:rPr>
          <w:rFonts w:ascii="Arial" w:hAnsi="Arial" w:cs="Arial"/>
          <w:bCs/>
        </w:rPr>
        <w:t>42 1</w:t>
      </w:r>
      <w:r w:rsidR="008D6BC3">
        <w:rPr>
          <w:rFonts w:ascii="Arial" w:hAnsi="Arial" w:cs="Arial"/>
          <w:bCs/>
        </w:rPr>
        <w:t>48</w:t>
      </w:r>
      <w:r w:rsidRPr="009453DD">
        <w:rPr>
          <w:rFonts w:ascii="Arial" w:hAnsi="Arial" w:cs="Arial"/>
          <w:bCs/>
        </w:rPr>
        <w:t xml:space="preserve"> millones, </w:t>
      </w:r>
      <w:r w:rsidR="00AE161A">
        <w:rPr>
          <w:rFonts w:ascii="Arial" w:hAnsi="Arial" w:cs="Arial"/>
          <w:bCs/>
        </w:rPr>
        <w:t xml:space="preserve">monto que representó un crecimiento de </w:t>
      </w:r>
      <w:r w:rsidR="00341AA8">
        <w:rPr>
          <w:rFonts w:ascii="Arial" w:hAnsi="Arial" w:cs="Arial"/>
          <w:bCs/>
        </w:rPr>
        <w:t>11,</w:t>
      </w:r>
      <w:r w:rsidR="00B02E21">
        <w:rPr>
          <w:rFonts w:ascii="Arial" w:hAnsi="Arial" w:cs="Arial"/>
          <w:bCs/>
        </w:rPr>
        <w:t>3</w:t>
      </w:r>
      <w:r w:rsidRPr="009453DD">
        <w:rPr>
          <w:rFonts w:ascii="Arial" w:hAnsi="Arial" w:cs="Arial"/>
          <w:bCs/>
        </w:rPr>
        <w:t xml:space="preserve">% respecto </w:t>
      </w:r>
      <w:r w:rsidR="000F42AC">
        <w:rPr>
          <w:rFonts w:ascii="Arial" w:hAnsi="Arial" w:cs="Arial"/>
          <w:bCs/>
        </w:rPr>
        <w:t xml:space="preserve">a lo registrado en </w:t>
      </w:r>
      <w:r w:rsidRPr="009453DD">
        <w:rPr>
          <w:rFonts w:ascii="Arial" w:hAnsi="Arial" w:cs="Arial"/>
          <w:bCs/>
        </w:rPr>
        <w:t>el año anterior</w:t>
      </w:r>
      <w:r w:rsidR="00341AA8">
        <w:rPr>
          <w:rFonts w:ascii="Arial" w:hAnsi="Arial" w:cs="Arial"/>
          <w:bCs/>
        </w:rPr>
        <w:t>. Esto reflejó la expansión de la demanda interna que creció 7,4%</w:t>
      </w:r>
      <w:r w:rsidR="00602E55">
        <w:rPr>
          <w:rFonts w:ascii="Arial" w:hAnsi="Arial" w:cs="Arial"/>
          <w:bCs/>
        </w:rPr>
        <w:t>.</w:t>
      </w:r>
    </w:p>
    <w:p w14:paraId="0E2EEC7B" w14:textId="77777777" w:rsidR="00D31D20" w:rsidRDefault="00D31D20" w:rsidP="00DA1AB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3932F3E4" w14:textId="77777777" w:rsidR="00B40AAA" w:rsidRDefault="00341AA8" w:rsidP="00DA1AB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Según rubros, </w:t>
      </w:r>
      <w:r w:rsidR="00BB506E" w:rsidRPr="00BB506E">
        <w:rPr>
          <w:rFonts w:ascii="Arial" w:hAnsi="Arial" w:cs="Arial"/>
          <w:bCs/>
        </w:rPr>
        <w:t>los bienes de consumo (2</w:t>
      </w:r>
      <w:r w:rsidR="00BB506E">
        <w:rPr>
          <w:rFonts w:ascii="Arial" w:hAnsi="Arial" w:cs="Arial"/>
          <w:bCs/>
        </w:rPr>
        <w:t>3,</w:t>
      </w:r>
      <w:r w:rsidR="008D6BC3">
        <w:rPr>
          <w:rFonts w:ascii="Arial" w:hAnsi="Arial" w:cs="Arial"/>
          <w:bCs/>
        </w:rPr>
        <w:t>3</w:t>
      </w:r>
      <w:r w:rsidR="00BB506E" w:rsidRPr="00BB506E">
        <w:rPr>
          <w:rFonts w:ascii="Arial" w:hAnsi="Arial" w:cs="Arial"/>
          <w:bCs/>
        </w:rPr>
        <w:t>%) lideraron el ritmo de crecimiento de las importaciones, seguido de los bienes de capital y materiales de construcción (1</w:t>
      </w:r>
      <w:r w:rsidR="00BB506E">
        <w:rPr>
          <w:rFonts w:ascii="Arial" w:hAnsi="Arial" w:cs="Arial"/>
          <w:bCs/>
        </w:rPr>
        <w:t>3,</w:t>
      </w:r>
      <w:r w:rsidR="00B02E21">
        <w:rPr>
          <w:rFonts w:ascii="Arial" w:hAnsi="Arial" w:cs="Arial"/>
          <w:bCs/>
        </w:rPr>
        <w:t>6</w:t>
      </w:r>
      <w:r w:rsidR="00BB506E" w:rsidRPr="00BB506E">
        <w:rPr>
          <w:rFonts w:ascii="Arial" w:hAnsi="Arial" w:cs="Arial"/>
          <w:bCs/>
        </w:rPr>
        <w:t>%) y materias primas y productos intermedios (5,</w:t>
      </w:r>
      <w:r w:rsidR="00621BDA">
        <w:rPr>
          <w:rFonts w:ascii="Arial" w:hAnsi="Arial" w:cs="Arial"/>
          <w:bCs/>
        </w:rPr>
        <w:t>3</w:t>
      </w:r>
      <w:r w:rsidR="00BB506E" w:rsidRPr="00BB506E">
        <w:rPr>
          <w:rFonts w:ascii="Arial" w:hAnsi="Arial" w:cs="Arial"/>
          <w:bCs/>
        </w:rPr>
        <w:t>%).</w:t>
      </w:r>
    </w:p>
    <w:p w14:paraId="72C3370F" w14:textId="77777777" w:rsidR="00B40AAA" w:rsidRDefault="00B40AAA" w:rsidP="00DA1AB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4624345C" w14:textId="77777777" w:rsidR="00672699" w:rsidRDefault="00621BDA" w:rsidP="00DA1AB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Las </w:t>
      </w:r>
      <w:r w:rsidR="00DA1AB1" w:rsidRPr="00DA1AB1">
        <w:rPr>
          <w:rFonts w:ascii="Arial" w:hAnsi="Arial" w:cs="Arial"/>
          <w:bCs/>
        </w:rPr>
        <w:t xml:space="preserve">importaciones de </w:t>
      </w:r>
      <w:r w:rsidR="00DA1AB1" w:rsidRPr="00621BDA">
        <w:rPr>
          <w:rFonts w:ascii="Arial" w:hAnsi="Arial" w:cs="Arial"/>
          <w:bCs/>
          <w:u w:val="single"/>
        </w:rPr>
        <w:t>bienes de consumo</w:t>
      </w:r>
      <w:r w:rsidR="007E2602">
        <w:rPr>
          <w:rFonts w:ascii="Arial" w:hAnsi="Arial" w:cs="Arial"/>
          <w:bCs/>
        </w:rPr>
        <w:t xml:space="preserve"> ascendieron a </w:t>
      </w:r>
      <w:r w:rsidR="00DA1AB1" w:rsidRPr="00DA1AB1">
        <w:rPr>
          <w:rFonts w:ascii="Arial" w:hAnsi="Arial" w:cs="Arial"/>
          <w:bCs/>
        </w:rPr>
        <w:t xml:space="preserve">US$ </w:t>
      </w:r>
      <w:r>
        <w:rPr>
          <w:rFonts w:ascii="Arial" w:hAnsi="Arial" w:cs="Arial"/>
          <w:bCs/>
        </w:rPr>
        <w:t>8 4</w:t>
      </w:r>
      <w:r w:rsidR="008D6BC3">
        <w:rPr>
          <w:rFonts w:ascii="Arial" w:hAnsi="Arial" w:cs="Arial"/>
          <w:bCs/>
        </w:rPr>
        <w:t>45</w:t>
      </w:r>
      <w:r w:rsidR="00DA1AB1" w:rsidRPr="00DA1AB1">
        <w:rPr>
          <w:rFonts w:ascii="Arial" w:hAnsi="Arial" w:cs="Arial"/>
          <w:bCs/>
        </w:rPr>
        <w:t xml:space="preserve"> millones</w:t>
      </w:r>
      <w:r w:rsidR="00BF70DE">
        <w:rPr>
          <w:rFonts w:ascii="Arial" w:hAnsi="Arial" w:cs="Arial"/>
          <w:bCs/>
        </w:rPr>
        <w:t xml:space="preserve"> en 2012</w:t>
      </w:r>
      <w:r w:rsidR="00DA1AB1" w:rsidRPr="00DA1AB1">
        <w:rPr>
          <w:rFonts w:ascii="Arial" w:hAnsi="Arial" w:cs="Arial"/>
          <w:bCs/>
        </w:rPr>
        <w:t>, monto que represent</w:t>
      </w:r>
      <w:r w:rsidR="0052356A">
        <w:rPr>
          <w:rFonts w:ascii="Arial" w:hAnsi="Arial" w:cs="Arial"/>
          <w:bCs/>
        </w:rPr>
        <w:t>ó</w:t>
      </w:r>
      <w:r w:rsidR="00DA1AB1" w:rsidRPr="00DA1AB1">
        <w:rPr>
          <w:rFonts w:ascii="Arial" w:hAnsi="Arial" w:cs="Arial"/>
          <w:bCs/>
        </w:rPr>
        <w:t xml:space="preserve"> </w:t>
      </w:r>
      <w:r w:rsidR="00BF70DE">
        <w:rPr>
          <w:rFonts w:ascii="Arial" w:hAnsi="Arial" w:cs="Arial"/>
          <w:bCs/>
        </w:rPr>
        <w:t xml:space="preserve">un </w:t>
      </w:r>
      <w:r w:rsidR="00AE161A">
        <w:rPr>
          <w:rFonts w:ascii="Arial" w:hAnsi="Arial" w:cs="Arial"/>
          <w:bCs/>
        </w:rPr>
        <w:t>crecimiento</w:t>
      </w:r>
      <w:r w:rsidR="00DA1AB1" w:rsidRPr="00DA1AB1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23,</w:t>
      </w:r>
      <w:r w:rsidR="008D6BC3">
        <w:rPr>
          <w:rFonts w:ascii="Arial" w:hAnsi="Arial" w:cs="Arial"/>
          <w:bCs/>
        </w:rPr>
        <w:t>3</w:t>
      </w:r>
      <w:r w:rsidR="00DA1AB1" w:rsidRPr="00DA1AB1">
        <w:rPr>
          <w:rFonts w:ascii="Arial" w:hAnsi="Arial" w:cs="Arial"/>
          <w:bCs/>
        </w:rPr>
        <w:t>% respecto de</w:t>
      </w:r>
      <w:r w:rsidR="00DA1AB1">
        <w:rPr>
          <w:rFonts w:ascii="Arial" w:hAnsi="Arial" w:cs="Arial"/>
          <w:bCs/>
        </w:rPr>
        <w:t xml:space="preserve">l año </w:t>
      </w:r>
      <w:r w:rsidR="00B13025">
        <w:rPr>
          <w:rFonts w:ascii="Arial" w:hAnsi="Arial" w:cs="Arial"/>
          <w:bCs/>
        </w:rPr>
        <w:t>precedente</w:t>
      </w:r>
      <w:r w:rsidR="00672699">
        <w:rPr>
          <w:rFonts w:ascii="Arial" w:hAnsi="Arial" w:cs="Arial"/>
          <w:bCs/>
        </w:rPr>
        <w:t>, en línea con las mayores importaciones de bienes de consumo duradero (</w:t>
      </w:r>
      <w:r w:rsidR="008D6BC3">
        <w:rPr>
          <w:rFonts w:ascii="Arial" w:hAnsi="Arial" w:cs="Arial"/>
          <w:bCs/>
        </w:rPr>
        <w:t>29</w:t>
      </w:r>
      <w:r w:rsidR="00B02E21">
        <w:rPr>
          <w:rFonts w:ascii="Arial" w:hAnsi="Arial" w:cs="Arial"/>
          <w:bCs/>
        </w:rPr>
        <w:t>,</w:t>
      </w:r>
      <w:r w:rsidR="008D6BC3">
        <w:rPr>
          <w:rFonts w:ascii="Arial" w:hAnsi="Arial" w:cs="Arial"/>
          <w:bCs/>
        </w:rPr>
        <w:t>9</w:t>
      </w:r>
      <w:r w:rsidR="00672699">
        <w:rPr>
          <w:rFonts w:ascii="Arial" w:hAnsi="Arial" w:cs="Arial"/>
          <w:bCs/>
        </w:rPr>
        <w:t>%) y bienes de consumo no duradero (17,</w:t>
      </w:r>
      <w:r w:rsidR="008D6BC3">
        <w:rPr>
          <w:rFonts w:ascii="Arial" w:hAnsi="Arial" w:cs="Arial"/>
          <w:bCs/>
        </w:rPr>
        <w:t>3</w:t>
      </w:r>
      <w:r w:rsidR="00672699">
        <w:rPr>
          <w:rFonts w:ascii="Arial" w:hAnsi="Arial" w:cs="Arial"/>
          <w:bCs/>
        </w:rPr>
        <w:t>%).</w:t>
      </w:r>
    </w:p>
    <w:p w14:paraId="75F97546" w14:textId="77777777" w:rsidR="00672699" w:rsidRDefault="00672699" w:rsidP="00DA1AB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7E15060C" w14:textId="77777777" w:rsidR="00DA1AB1" w:rsidRDefault="00672699" w:rsidP="00672699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nivel desagregado, destacó el dinamismo de las importaciones de </w:t>
      </w:r>
      <w:r w:rsidR="00B13025">
        <w:rPr>
          <w:rFonts w:ascii="Arial" w:hAnsi="Arial" w:cs="Arial"/>
          <w:bCs/>
        </w:rPr>
        <w:t>vehículos de transporte particular</w:t>
      </w:r>
      <w:r>
        <w:rPr>
          <w:rFonts w:ascii="Arial" w:hAnsi="Arial" w:cs="Arial"/>
          <w:bCs/>
        </w:rPr>
        <w:t xml:space="preserve"> (40,</w:t>
      </w:r>
      <w:r w:rsidR="008D6BC3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%),</w:t>
      </w:r>
      <w:r w:rsidRPr="00672699">
        <w:t xml:space="preserve"> </w:t>
      </w:r>
      <w:r w:rsidRPr="00672699">
        <w:rPr>
          <w:rFonts w:ascii="Arial" w:hAnsi="Arial" w:cs="Arial"/>
          <w:bCs/>
        </w:rPr>
        <w:t>objetos de adorno, instrumentos musicales</w:t>
      </w:r>
      <w:r>
        <w:rPr>
          <w:rFonts w:ascii="Arial" w:hAnsi="Arial" w:cs="Arial"/>
          <w:bCs/>
        </w:rPr>
        <w:t xml:space="preserve"> y otros (32,</w:t>
      </w:r>
      <w:r w:rsidR="008D6BC3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%)</w:t>
      </w:r>
      <w:r w:rsidR="0015109B">
        <w:rPr>
          <w:rFonts w:ascii="Arial" w:hAnsi="Arial" w:cs="Arial"/>
          <w:bCs/>
        </w:rPr>
        <w:t xml:space="preserve"> y</w:t>
      </w:r>
      <w:r w:rsidR="0023768F">
        <w:rPr>
          <w:rFonts w:ascii="Arial" w:hAnsi="Arial" w:cs="Arial"/>
          <w:bCs/>
        </w:rPr>
        <w:t xml:space="preserve"> </w:t>
      </w:r>
      <w:r w:rsidR="00B13025">
        <w:rPr>
          <w:rFonts w:ascii="Arial" w:hAnsi="Arial" w:cs="Arial"/>
          <w:bCs/>
        </w:rPr>
        <w:t>alimentos</w:t>
      </w:r>
      <w:r>
        <w:rPr>
          <w:rFonts w:ascii="Arial" w:hAnsi="Arial" w:cs="Arial"/>
          <w:bCs/>
        </w:rPr>
        <w:t xml:space="preserve"> (</w:t>
      </w:r>
      <w:r w:rsidR="0015109B">
        <w:rPr>
          <w:rFonts w:ascii="Arial" w:hAnsi="Arial" w:cs="Arial"/>
          <w:bCs/>
        </w:rPr>
        <w:t>22,6%)</w:t>
      </w:r>
      <w:r w:rsidR="0023768F">
        <w:rPr>
          <w:rFonts w:ascii="Arial" w:hAnsi="Arial" w:cs="Arial"/>
          <w:bCs/>
        </w:rPr>
        <w:t>, entre otros</w:t>
      </w:r>
      <w:r w:rsidR="00DA1AB1" w:rsidRPr="00DA1AB1">
        <w:rPr>
          <w:rFonts w:ascii="Arial" w:hAnsi="Arial" w:cs="Arial"/>
          <w:bCs/>
        </w:rPr>
        <w:t>.</w:t>
      </w:r>
      <w:r w:rsidR="00602E55">
        <w:rPr>
          <w:rFonts w:ascii="Arial" w:hAnsi="Arial" w:cs="Arial"/>
          <w:bCs/>
        </w:rPr>
        <w:t xml:space="preserve"> </w:t>
      </w:r>
    </w:p>
    <w:p w14:paraId="0795F1E0" w14:textId="77777777" w:rsidR="00602E55" w:rsidRDefault="00602E55" w:rsidP="00DA1AB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1E6CC710" w14:textId="77777777" w:rsidR="0052356A" w:rsidRDefault="0052356A" w:rsidP="00DA1AB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Por su parte, </w:t>
      </w:r>
      <w:r w:rsidRPr="0052356A">
        <w:rPr>
          <w:rFonts w:ascii="Arial" w:hAnsi="Arial" w:cs="Arial"/>
          <w:bCs/>
        </w:rPr>
        <w:t xml:space="preserve">las importaciones de </w:t>
      </w:r>
      <w:r w:rsidRPr="00B13025">
        <w:rPr>
          <w:rFonts w:ascii="Arial" w:hAnsi="Arial" w:cs="Arial"/>
          <w:bCs/>
          <w:u w:val="single"/>
        </w:rPr>
        <w:t>materias primas y productos intermedios</w:t>
      </w:r>
      <w:r w:rsidRPr="0052356A">
        <w:rPr>
          <w:rFonts w:ascii="Arial" w:hAnsi="Arial" w:cs="Arial"/>
          <w:bCs/>
        </w:rPr>
        <w:t xml:space="preserve"> sumaron US$ 1</w:t>
      </w:r>
      <w:r w:rsidR="00B13025">
        <w:rPr>
          <w:rFonts w:ascii="Arial" w:hAnsi="Arial" w:cs="Arial"/>
          <w:bCs/>
        </w:rPr>
        <w:t xml:space="preserve">9 </w:t>
      </w:r>
      <w:r w:rsidR="008D6BC3">
        <w:rPr>
          <w:rFonts w:ascii="Arial" w:hAnsi="Arial" w:cs="Arial"/>
          <w:bCs/>
        </w:rPr>
        <w:t>496</w:t>
      </w:r>
      <w:r w:rsidRPr="0052356A">
        <w:rPr>
          <w:rFonts w:ascii="Arial" w:hAnsi="Arial" w:cs="Arial"/>
          <w:bCs/>
        </w:rPr>
        <w:t xml:space="preserve"> millones,</w:t>
      </w:r>
      <w:r w:rsidR="008357A7">
        <w:rPr>
          <w:rFonts w:ascii="Arial" w:hAnsi="Arial" w:cs="Arial"/>
          <w:bCs/>
        </w:rPr>
        <w:t xml:space="preserve"> monto </w:t>
      </w:r>
      <w:r>
        <w:rPr>
          <w:rFonts w:ascii="Arial" w:hAnsi="Arial" w:cs="Arial"/>
          <w:bCs/>
        </w:rPr>
        <w:t>que re</w:t>
      </w:r>
      <w:r w:rsidR="00B13025">
        <w:rPr>
          <w:rFonts w:ascii="Arial" w:hAnsi="Arial" w:cs="Arial"/>
          <w:bCs/>
        </w:rPr>
        <w:t>gistr</w:t>
      </w:r>
      <w:r>
        <w:rPr>
          <w:rFonts w:ascii="Arial" w:hAnsi="Arial" w:cs="Arial"/>
          <w:bCs/>
        </w:rPr>
        <w:t xml:space="preserve">ó </w:t>
      </w:r>
      <w:r w:rsidRPr="0052356A">
        <w:rPr>
          <w:rFonts w:ascii="Arial" w:hAnsi="Arial" w:cs="Arial"/>
          <w:bCs/>
        </w:rPr>
        <w:t xml:space="preserve">un </w:t>
      </w:r>
      <w:r>
        <w:rPr>
          <w:rFonts w:ascii="Arial" w:hAnsi="Arial" w:cs="Arial"/>
          <w:bCs/>
        </w:rPr>
        <w:t>crecimiento</w:t>
      </w:r>
      <w:r w:rsidRPr="0052356A">
        <w:rPr>
          <w:rFonts w:ascii="Arial" w:hAnsi="Arial" w:cs="Arial"/>
          <w:bCs/>
        </w:rPr>
        <w:t xml:space="preserve"> de </w:t>
      </w:r>
      <w:r w:rsidR="00B13025">
        <w:rPr>
          <w:rFonts w:ascii="Arial" w:hAnsi="Arial" w:cs="Arial"/>
          <w:bCs/>
        </w:rPr>
        <w:t>5,3</w:t>
      </w:r>
      <w:r w:rsidRPr="0052356A">
        <w:rPr>
          <w:rFonts w:ascii="Arial" w:hAnsi="Arial" w:cs="Arial"/>
          <w:bCs/>
        </w:rPr>
        <w:t xml:space="preserve">% </w:t>
      </w:r>
      <w:r w:rsidR="008357A7">
        <w:rPr>
          <w:rFonts w:ascii="Arial" w:hAnsi="Arial" w:cs="Arial"/>
          <w:bCs/>
        </w:rPr>
        <w:t xml:space="preserve">si se le compara con el </w:t>
      </w:r>
      <w:r w:rsidR="00B13025">
        <w:rPr>
          <w:rFonts w:ascii="Arial" w:hAnsi="Arial" w:cs="Arial"/>
          <w:bCs/>
        </w:rPr>
        <w:t xml:space="preserve">2011 y una participación del 46% </w:t>
      </w:r>
      <w:r w:rsidR="008357A7">
        <w:rPr>
          <w:rFonts w:ascii="Arial" w:hAnsi="Arial" w:cs="Arial"/>
          <w:bCs/>
        </w:rPr>
        <w:t>del total importado.</w:t>
      </w:r>
    </w:p>
    <w:p w14:paraId="4E1D7C7D" w14:textId="77777777" w:rsidR="0052356A" w:rsidRDefault="0052356A" w:rsidP="00DA1AB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5C3DB2C8" w14:textId="77777777" w:rsidR="0052356A" w:rsidRDefault="00D561DC" w:rsidP="00DA1AB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Según componentes, e</w:t>
      </w:r>
      <w:r w:rsidR="0052356A" w:rsidRPr="0052356A">
        <w:rPr>
          <w:rFonts w:ascii="Arial" w:hAnsi="Arial" w:cs="Arial"/>
          <w:bCs/>
        </w:rPr>
        <w:t xml:space="preserve">l crecimiento </w:t>
      </w:r>
      <w:r w:rsidR="0023768F">
        <w:rPr>
          <w:rFonts w:ascii="Arial" w:hAnsi="Arial" w:cs="Arial"/>
          <w:bCs/>
        </w:rPr>
        <w:t xml:space="preserve">de las importaciones </w:t>
      </w:r>
      <w:r w:rsidR="00657C5A">
        <w:rPr>
          <w:rFonts w:ascii="Arial" w:hAnsi="Arial" w:cs="Arial"/>
          <w:bCs/>
        </w:rPr>
        <w:t>totales</w:t>
      </w:r>
      <w:r w:rsidR="0023768F">
        <w:rPr>
          <w:rFonts w:ascii="Arial" w:hAnsi="Arial" w:cs="Arial"/>
          <w:bCs/>
        </w:rPr>
        <w:t xml:space="preserve"> </w:t>
      </w:r>
      <w:r w:rsidR="0052356A" w:rsidRPr="0052356A">
        <w:rPr>
          <w:rFonts w:ascii="Arial" w:hAnsi="Arial" w:cs="Arial"/>
          <w:bCs/>
        </w:rPr>
        <w:t xml:space="preserve">fue liderado por </w:t>
      </w:r>
      <w:r w:rsidR="0023768F" w:rsidRPr="0052356A">
        <w:rPr>
          <w:rFonts w:ascii="Arial" w:hAnsi="Arial" w:cs="Arial"/>
          <w:bCs/>
        </w:rPr>
        <w:t xml:space="preserve">las materias primas y productos intermedios para la </w:t>
      </w:r>
      <w:r w:rsidR="0023768F">
        <w:rPr>
          <w:rFonts w:ascii="Arial" w:hAnsi="Arial" w:cs="Arial"/>
          <w:bCs/>
        </w:rPr>
        <w:t>agricultura</w:t>
      </w:r>
      <w:r w:rsidR="0023768F" w:rsidRPr="0052356A">
        <w:rPr>
          <w:rFonts w:ascii="Arial" w:hAnsi="Arial" w:cs="Arial"/>
          <w:bCs/>
        </w:rPr>
        <w:t xml:space="preserve"> (</w:t>
      </w:r>
      <w:r w:rsidR="0023768F">
        <w:rPr>
          <w:rFonts w:ascii="Arial" w:hAnsi="Arial" w:cs="Arial"/>
          <w:bCs/>
        </w:rPr>
        <w:t>17,</w:t>
      </w:r>
      <w:r w:rsidR="00B02E21">
        <w:rPr>
          <w:rFonts w:ascii="Arial" w:hAnsi="Arial" w:cs="Arial"/>
          <w:bCs/>
        </w:rPr>
        <w:t>5</w:t>
      </w:r>
      <w:r w:rsidR="0023768F" w:rsidRPr="0052356A">
        <w:rPr>
          <w:rFonts w:ascii="Arial" w:hAnsi="Arial" w:cs="Arial"/>
          <w:bCs/>
        </w:rPr>
        <w:t>%)</w:t>
      </w:r>
      <w:r w:rsidR="0023768F">
        <w:rPr>
          <w:rFonts w:ascii="Arial" w:hAnsi="Arial" w:cs="Arial"/>
          <w:bCs/>
        </w:rPr>
        <w:t xml:space="preserve">, seguidas por las </w:t>
      </w:r>
      <w:r w:rsidR="0023768F" w:rsidRPr="0052356A">
        <w:rPr>
          <w:rFonts w:ascii="Arial" w:hAnsi="Arial" w:cs="Arial"/>
          <w:bCs/>
        </w:rPr>
        <w:t xml:space="preserve">materias primas y productos intermedios para la </w:t>
      </w:r>
      <w:r w:rsidR="0023768F">
        <w:rPr>
          <w:rFonts w:ascii="Arial" w:hAnsi="Arial" w:cs="Arial"/>
          <w:bCs/>
        </w:rPr>
        <w:t>industria</w:t>
      </w:r>
      <w:r w:rsidR="0023768F" w:rsidRPr="0052356A">
        <w:rPr>
          <w:rFonts w:ascii="Arial" w:hAnsi="Arial" w:cs="Arial"/>
          <w:bCs/>
        </w:rPr>
        <w:t xml:space="preserve"> (</w:t>
      </w:r>
      <w:r w:rsidR="0023768F">
        <w:rPr>
          <w:rFonts w:ascii="Arial" w:hAnsi="Arial" w:cs="Arial"/>
          <w:bCs/>
        </w:rPr>
        <w:t>5,6</w:t>
      </w:r>
      <w:r w:rsidR="0023768F" w:rsidRPr="0052356A">
        <w:rPr>
          <w:rFonts w:ascii="Arial" w:hAnsi="Arial" w:cs="Arial"/>
          <w:bCs/>
        </w:rPr>
        <w:t>%)</w:t>
      </w:r>
      <w:r w:rsidR="0023768F">
        <w:rPr>
          <w:rFonts w:ascii="Arial" w:hAnsi="Arial" w:cs="Arial"/>
          <w:bCs/>
        </w:rPr>
        <w:t xml:space="preserve"> y c</w:t>
      </w:r>
      <w:r w:rsidR="0052356A" w:rsidRPr="0052356A">
        <w:rPr>
          <w:rFonts w:ascii="Arial" w:hAnsi="Arial" w:cs="Arial"/>
          <w:bCs/>
        </w:rPr>
        <w:t>ombustibles, lubricantes y productos conexos (</w:t>
      </w:r>
      <w:r w:rsidR="0023768F">
        <w:rPr>
          <w:rFonts w:ascii="Arial" w:hAnsi="Arial" w:cs="Arial"/>
          <w:bCs/>
        </w:rPr>
        <w:t>2,4</w:t>
      </w:r>
      <w:r w:rsidR="0052356A" w:rsidRPr="0052356A">
        <w:rPr>
          <w:rFonts w:ascii="Arial" w:hAnsi="Arial" w:cs="Arial"/>
          <w:bCs/>
        </w:rPr>
        <w:t>%).</w:t>
      </w:r>
      <w:r w:rsidR="00657C5A">
        <w:rPr>
          <w:rFonts w:ascii="Arial" w:hAnsi="Arial" w:cs="Arial"/>
          <w:bCs/>
        </w:rPr>
        <w:t xml:space="preserve"> Cabe señalar que, </w:t>
      </w:r>
      <w:r w:rsidR="004869F4">
        <w:rPr>
          <w:rFonts w:ascii="Arial" w:hAnsi="Arial" w:cs="Arial"/>
          <w:bCs/>
        </w:rPr>
        <w:t xml:space="preserve">el </w:t>
      </w:r>
      <w:r w:rsidR="00657C5A" w:rsidRPr="00657C5A">
        <w:rPr>
          <w:rFonts w:ascii="Arial" w:hAnsi="Arial" w:cs="Arial"/>
          <w:bCs/>
        </w:rPr>
        <w:t xml:space="preserve">precio del petróleo </w:t>
      </w:r>
      <w:r w:rsidR="004869F4">
        <w:rPr>
          <w:rFonts w:ascii="Arial" w:hAnsi="Arial" w:cs="Arial"/>
          <w:bCs/>
        </w:rPr>
        <w:t xml:space="preserve">en el mercado internacional </w:t>
      </w:r>
      <w:r w:rsidR="00657C5A" w:rsidRPr="00657C5A">
        <w:rPr>
          <w:rFonts w:ascii="Arial" w:hAnsi="Arial" w:cs="Arial"/>
          <w:bCs/>
        </w:rPr>
        <w:t xml:space="preserve">registró un retroceso de </w:t>
      </w:r>
      <w:r w:rsidR="00657C5A">
        <w:rPr>
          <w:rFonts w:ascii="Arial" w:hAnsi="Arial" w:cs="Arial"/>
          <w:bCs/>
        </w:rPr>
        <w:t>0,9</w:t>
      </w:r>
      <w:r w:rsidR="00657C5A" w:rsidRPr="00657C5A">
        <w:rPr>
          <w:rFonts w:ascii="Arial" w:hAnsi="Arial" w:cs="Arial"/>
          <w:bCs/>
        </w:rPr>
        <w:t>%</w:t>
      </w:r>
      <w:r w:rsidR="00657C5A">
        <w:rPr>
          <w:rFonts w:ascii="Arial" w:hAnsi="Arial" w:cs="Arial"/>
          <w:bCs/>
        </w:rPr>
        <w:t xml:space="preserve"> </w:t>
      </w:r>
      <w:r w:rsidR="0015109B">
        <w:rPr>
          <w:rFonts w:ascii="Arial" w:hAnsi="Arial" w:cs="Arial"/>
          <w:bCs/>
        </w:rPr>
        <w:t xml:space="preserve">durante </w:t>
      </w:r>
      <w:proofErr w:type="gramStart"/>
      <w:r w:rsidR="0015109B">
        <w:rPr>
          <w:rFonts w:ascii="Arial" w:hAnsi="Arial" w:cs="Arial"/>
          <w:bCs/>
        </w:rPr>
        <w:t xml:space="preserve">el </w:t>
      </w:r>
      <w:r w:rsidR="00657C5A">
        <w:rPr>
          <w:rFonts w:ascii="Arial" w:hAnsi="Arial" w:cs="Arial"/>
          <w:bCs/>
        </w:rPr>
        <w:t xml:space="preserve"> 2012</w:t>
      </w:r>
      <w:proofErr w:type="gramEnd"/>
      <w:r w:rsidR="00657C5A" w:rsidRPr="00657C5A">
        <w:rPr>
          <w:rFonts w:ascii="Arial" w:hAnsi="Arial" w:cs="Arial"/>
          <w:bCs/>
        </w:rPr>
        <w:t>.</w:t>
      </w:r>
    </w:p>
    <w:p w14:paraId="460087A9" w14:textId="77777777" w:rsidR="0052356A" w:rsidRDefault="0052356A" w:rsidP="00DA1AB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1D61328B" w14:textId="77777777" w:rsidR="001D7398" w:rsidRDefault="001524B6" w:rsidP="00DA1AB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 otro lado, las</w:t>
      </w:r>
      <w:r w:rsidR="001D7398" w:rsidRPr="001D7398">
        <w:rPr>
          <w:rFonts w:ascii="Arial" w:hAnsi="Arial" w:cs="Arial"/>
          <w:bCs/>
        </w:rPr>
        <w:t xml:space="preserve"> importaciones de </w:t>
      </w:r>
      <w:r w:rsidRPr="0023768F">
        <w:rPr>
          <w:rFonts w:ascii="Arial" w:hAnsi="Arial" w:cs="Arial"/>
          <w:bCs/>
          <w:u w:val="single"/>
        </w:rPr>
        <w:t>bienes de capital y materiales de construcción</w:t>
      </w:r>
      <w:r>
        <w:rPr>
          <w:rFonts w:ascii="Arial" w:hAnsi="Arial" w:cs="Arial"/>
          <w:bCs/>
        </w:rPr>
        <w:t xml:space="preserve"> ascendieron a U</w:t>
      </w:r>
      <w:r w:rsidR="001D7398" w:rsidRPr="001D7398">
        <w:rPr>
          <w:rFonts w:ascii="Arial" w:hAnsi="Arial" w:cs="Arial"/>
          <w:bCs/>
        </w:rPr>
        <w:t>S$ 1</w:t>
      </w:r>
      <w:r w:rsidR="0023768F">
        <w:rPr>
          <w:rFonts w:ascii="Arial" w:hAnsi="Arial" w:cs="Arial"/>
          <w:bCs/>
        </w:rPr>
        <w:t xml:space="preserve">4 </w:t>
      </w:r>
      <w:r w:rsidR="00B02E21">
        <w:rPr>
          <w:rFonts w:ascii="Arial" w:hAnsi="Arial" w:cs="Arial"/>
          <w:bCs/>
        </w:rPr>
        <w:t>19</w:t>
      </w:r>
      <w:r w:rsidR="00F61243">
        <w:rPr>
          <w:rFonts w:ascii="Arial" w:hAnsi="Arial" w:cs="Arial"/>
          <w:bCs/>
        </w:rPr>
        <w:t>1</w:t>
      </w:r>
      <w:r w:rsidR="001D7398" w:rsidRPr="001D7398">
        <w:rPr>
          <w:rFonts w:ascii="Arial" w:hAnsi="Arial" w:cs="Arial"/>
          <w:bCs/>
        </w:rPr>
        <w:t xml:space="preserve"> millones</w:t>
      </w:r>
      <w:r>
        <w:rPr>
          <w:rFonts w:ascii="Arial" w:hAnsi="Arial" w:cs="Arial"/>
          <w:bCs/>
        </w:rPr>
        <w:t xml:space="preserve"> en 201</w:t>
      </w:r>
      <w:r w:rsidR="0023768F">
        <w:rPr>
          <w:rFonts w:ascii="Arial" w:hAnsi="Arial" w:cs="Arial"/>
          <w:bCs/>
        </w:rPr>
        <w:t>2</w:t>
      </w:r>
      <w:r w:rsidR="001D7398" w:rsidRPr="001D7398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lo que representó </w:t>
      </w:r>
      <w:r w:rsidR="001D7398" w:rsidRPr="001D7398">
        <w:rPr>
          <w:rFonts w:ascii="Arial" w:hAnsi="Arial" w:cs="Arial"/>
          <w:bCs/>
        </w:rPr>
        <w:t xml:space="preserve">un crecimiento de </w:t>
      </w:r>
      <w:r w:rsidR="0023768F">
        <w:rPr>
          <w:rFonts w:ascii="Arial" w:hAnsi="Arial" w:cs="Arial"/>
          <w:bCs/>
        </w:rPr>
        <w:t>13,</w:t>
      </w:r>
      <w:r w:rsidR="00B02E21">
        <w:rPr>
          <w:rFonts w:ascii="Arial" w:hAnsi="Arial" w:cs="Arial"/>
          <w:bCs/>
        </w:rPr>
        <w:t>6</w:t>
      </w:r>
      <w:r w:rsidR="001D7398" w:rsidRPr="001D7398">
        <w:rPr>
          <w:rFonts w:ascii="Arial" w:hAnsi="Arial" w:cs="Arial"/>
          <w:bCs/>
        </w:rPr>
        <w:t xml:space="preserve">% respecto de </w:t>
      </w:r>
      <w:r>
        <w:rPr>
          <w:rFonts w:ascii="Arial" w:hAnsi="Arial" w:cs="Arial"/>
          <w:bCs/>
        </w:rPr>
        <w:t>lo registrado en el año anterior</w:t>
      </w:r>
      <w:r w:rsidR="001D7398" w:rsidRPr="001D7398">
        <w:rPr>
          <w:rFonts w:ascii="Arial" w:hAnsi="Arial" w:cs="Arial"/>
          <w:bCs/>
        </w:rPr>
        <w:t>.</w:t>
      </w:r>
    </w:p>
    <w:p w14:paraId="34DCB14C" w14:textId="77777777" w:rsidR="001D7398" w:rsidRDefault="001D7398" w:rsidP="00DA1AB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118A904C" w14:textId="77777777" w:rsidR="001D7398" w:rsidRDefault="0023768F" w:rsidP="00DA1AB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Todos los componentes de este rubro registraron una evolución positiva en sus valores importados: equipos de transporte (24,</w:t>
      </w:r>
      <w:r w:rsidR="00F61243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%), </w:t>
      </w:r>
      <w:r w:rsidR="001D7398" w:rsidRPr="001D7398">
        <w:rPr>
          <w:rFonts w:ascii="Arial" w:hAnsi="Arial" w:cs="Arial"/>
          <w:bCs/>
        </w:rPr>
        <w:t>bienes de capital para la agricultura (</w:t>
      </w:r>
      <w:r>
        <w:rPr>
          <w:rFonts w:ascii="Arial" w:hAnsi="Arial" w:cs="Arial"/>
          <w:bCs/>
        </w:rPr>
        <w:t>23,</w:t>
      </w:r>
      <w:r w:rsidR="00F61243">
        <w:rPr>
          <w:rFonts w:ascii="Arial" w:hAnsi="Arial" w:cs="Arial"/>
          <w:bCs/>
        </w:rPr>
        <w:t>3</w:t>
      </w:r>
      <w:r w:rsidR="001D7398" w:rsidRPr="001D7398">
        <w:rPr>
          <w:rFonts w:ascii="Arial" w:hAnsi="Arial" w:cs="Arial"/>
          <w:bCs/>
        </w:rPr>
        <w:t>%), bienes de capital para la industria (</w:t>
      </w:r>
      <w:r>
        <w:rPr>
          <w:rFonts w:ascii="Arial" w:hAnsi="Arial" w:cs="Arial"/>
          <w:bCs/>
        </w:rPr>
        <w:t>11,</w:t>
      </w:r>
      <w:r w:rsidR="00B02E21">
        <w:rPr>
          <w:rFonts w:ascii="Arial" w:hAnsi="Arial" w:cs="Arial"/>
          <w:bCs/>
        </w:rPr>
        <w:t>2</w:t>
      </w:r>
      <w:r w:rsidR="001D7398" w:rsidRPr="001D7398">
        <w:rPr>
          <w:rFonts w:ascii="Arial" w:hAnsi="Arial" w:cs="Arial"/>
          <w:bCs/>
        </w:rPr>
        <w:t>%)</w:t>
      </w:r>
      <w:r>
        <w:rPr>
          <w:rFonts w:ascii="Arial" w:hAnsi="Arial" w:cs="Arial"/>
          <w:bCs/>
        </w:rPr>
        <w:t xml:space="preserve"> y</w:t>
      </w:r>
      <w:r w:rsidR="001D7398" w:rsidRPr="001D7398">
        <w:rPr>
          <w:rFonts w:ascii="Arial" w:hAnsi="Arial" w:cs="Arial"/>
          <w:bCs/>
        </w:rPr>
        <w:t xml:space="preserve"> materiales de construcción (</w:t>
      </w:r>
      <w:r>
        <w:rPr>
          <w:rFonts w:ascii="Arial" w:hAnsi="Arial" w:cs="Arial"/>
          <w:bCs/>
        </w:rPr>
        <w:t>3,</w:t>
      </w:r>
      <w:r w:rsidR="00F61243">
        <w:rPr>
          <w:rFonts w:ascii="Arial" w:hAnsi="Arial" w:cs="Arial"/>
          <w:bCs/>
        </w:rPr>
        <w:t>6</w:t>
      </w:r>
      <w:r w:rsidR="001D7398" w:rsidRPr="001D7398">
        <w:rPr>
          <w:rFonts w:ascii="Arial" w:hAnsi="Arial" w:cs="Arial"/>
          <w:bCs/>
        </w:rPr>
        <w:t>%).</w:t>
      </w:r>
    </w:p>
    <w:p w14:paraId="0BCE655E" w14:textId="77777777" w:rsidR="001D7398" w:rsidRDefault="001D7398" w:rsidP="00DA1AB1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08136BA4" w14:textId="77777777" w:rsidR="00150819" w:rsidRDefault="00030E0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030E0A">
        <w:rPr>
          <w:rFonts w:ascii="Arial" w:hAnsi="Arial" w:cs="Arial"/>
          <w:bCs/>
        </w:rPr>
        <w:t xml:space="preserve">Respecto al </w:t>
      </w:r>
      <w:r w:rsidRPr="00030E0A">
        <w:rPr>
          <w:rFonts w:ascii="Arial" w:hAnsi="Arial" w:cs="Arial"/>
          <w:bCs/>
          <w:u w:val="single"/>
        </w:rPr>
        <w:t xml:space="preserve">origen de </w:t>
      </w:r>
      <w:r>
        <w:rPr>
          <w:rFonts w:ascii="Arial" w:hAnsi="Arial" w:cs="Arial"/>
          <w:bCs/>
          <w:u w:val="single"/>
        </w:rPr>
        <w:t>las importaciones peruanas</w:t>
      </w:r>
      <w:r w:rsidRPr="00030E0A">
        <w:rPr>
          <w:rFonts w:ascii="Arial" w:hAnsi="Arial" w:cs="Arial"/>
          <w:bCs/>
        </w:rPr>
        <w:t xml:space="preserve">, en 2012, Estados Unidos se mantuvo como el principal proveedor de bienes al registrar una participación del </w:t>
      </w:r>
      <w:r w:rsidRPr="00030E0A">
        <w:rPr>
          <w:rFonts w:ascii="Arial" w:hAnsi="Arial" w:cs="Arial"/>
          <w:bCs/>
        </w:rPr>
        <w:lastRenderedPageBreak/>
        <w:t>19% sobre el total importado en este período; le siguen China (1</w:t>
      </w:r>
      <w:r w:rsidR="00F61243">
        <w:rPr>
          <w:rFonts w:ascii="Arial" w:hAnsi="Arial" w:cs="Arial"/>
          <w:bCs/>
        </w:rPr>
        <w:t>9</w:t>
      </w:r>
      <w:r w:rsidRPr="00030E0A">
        <w:rPr>
          <w:rFonts w:ascii="Arial" w:hAnsi="Arial" w:cs="Arial"/>
          <w:bCs/>
        </w:rPr>
        <w:t>% del total), Brasil (6%), Ecuador (5%) y Argentina (5%), entre los más importantes proveedores.</w:t>
      </w:r>
    </w:p>
    <w:p w14:paraId="6C1537A9" w14:textId="77777777" w:rsidR="0023768F" w:rsidRDefault="0023768F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05053A5F" w14:textId="77777777" w:rsidR="0023768F" w:rsidRDefault="0023768F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349CF83F" w14:textId="77777777" w:rsidR="0023768F" w:rsidRDefault="0023768F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sectPr w:rsidR="0023768F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09A4E" w14:textId="77777777" w:rsidR="00FE40C1" w:rsidRDefault="00FE40C1" w:rsidP="006A47E2">
      <w:r>
        <w:separator/>
      </w:r>
    </w:p>
  </w:endnote>
  <w:endnote w:type="continuationSeparator" w:id="0">
    <w:p w14:paraId="5D228B4C" w14:textId="77777777" w:rsidR="00FE40C1" w:rsidRDefault="00FE40C1" w:rsidP="006A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A901F" w14:textId="77777777" w:rsidR="006A47E2" w:rsidRPr="006A47E2" w:rsidRDefault="006A47E2">
    <w:pPr>
      <w:pStyle w:val="Piedepgina"/>
      <w:jc w:val="right"/>
      <w:rPr>
        <w:rFonts w:ascii="Arial" w:hAnsi="Arial" w:cs="Arial"/>
        <w:sz w:val="18"/>
        <w:szCs w:val="18"/>
      </w:rPr>
    </w:pPr>
    <w:r w:rsidRPr="006A47E2">
      <w:rPr>
        <w:rFonts w:ascii="Arial" w:hAnsi="Arial" w:cs="Arial"/>
        <w:sz w:val="18"/>
        <w:szCs w:val="18"/>
      </w:rPr>
      <w:fldChar w:fldCharType="begin"/>
    </w:r>
    <w:r w:rsidRPr="006A47E2">
      <w:rPr>
        <w:rFonts w:ascii="Arial" w:hAnsi="Arial" w:cs="Arial"/>
        <w:sz w:val="18"/>
        <w:szCs w:val="18"/>
      </w:rPr>
      <w:instrText xml:space="preserve"> PAGE   \* MERGEFORMAT </w:instrText>
    </w:r>
    <w:r w:rsidRPr="006A47E2">
      <w:rPr>
        <w:rFonts w:ascii="Arial" w:hAnsi="Arial" w:cs="Arial"/>
        <w:sz w:val="18"/>
        <w:szCs w:val="18"/>
      </w:rPr>
      <w:fldChar w:fldCharType="separate"/>
    </w:r>
    <w:r w:rsidR="00A140EF">
      <w:rPr>
        <w:rFonts w:ascii="Arial" w:hAnsi="Arial" w:cs="Arial"/>
        <w:noProof/>
        <w:sz w:val="18"/>
        <w:szCs w:val="18"/>
      </w:rPr>
      <w:t>2</w:t>
    </w:r>
    <w:r w:rsidRPr="006A47E2">
      <w:rPr>
        <w:rFonts w:ascii="Arial" w:hAnsi="Arial" w:cs="Arial"/>
        <w:sz w:val="18"/>
        <w:szCs w:val="18"/>
      </w:rPr>
      <w:fldChar w:fldCharType="end"/>
    </w:r>
  </w:p>
  <w:p w14:paraId="0EB7ADFC" w14:textId="77777777" w:rsidR="006A47E2" w:rsidRDefault="006A47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4CCDC" w14:textId="77777777" w:rsidR="00FE40C1" w:rsidRDefault="00FE40C1" w:rsidP="006A47E2">
      <w:r>
        <w:separator/>
      </w:r>
    </w:p>
  </w:footnote>
  <w:footnote w:type="continuationSeparator" w:id="0">
    <w:p w14:paraId="6EA4AB75" w14:textId="77777777" w:rsidR="00FE40C1" w:rsidRDefault="00FE40C1" w:rsidP="006A47E2">
      <w:r>
        <w:continuationSeparator/>
      </w:r>
    </w:p>
  </w:footnote>
  <w:footnote w:id="1">
    <w:p w14:paraId="723C1D7C" w14:textId="77777777" w:rsidR="00742792" w:rsidRPr="00742792" w:rsidRDefault="00742792" w:rsidP="008462A4">
      <w:pPr>
        <w:pStyle w:val="Textonotapie"/>
        <w:ind w:left="567" w:hanging="567"/>
        <w:jc w:val="both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="008462A4">
        <w:tab/>
      </w:r>
      <w:r w:rsidRPr="008462A4">
        <w:rPr>
          <w:rFonts w:ascii="Arial" w:hAnsi="Arial" w:cs="Arial"/>
          <w:sz w:val="18"/>
          <w:szCs w:val="18"/>
          <w:lang w:val="es-PE"/>
        </w:rPr>
        <w:t>El comercio con los países no agrupados</w:t>
      </w:r>
      <w:r w:rsidR="008462A4" w:rsidRPr="008462A4">
        <w:rPr>
          <w:rFonts w:ascii="Arial" w:hAnsi="Arial" w:cs="Arial"/>
          <w:sz w:val="18"/>
          <w:szCs w:val="18"/>
          <w:lang w:val="es-PE"/>
        </w:rPr>
        <w:t xml:space="preserve"> en ningún bloque</w:t>
      </w:r>
      <w:r w:rsidRPr="008462A4">
        <w:rPr>
          <w:rFonts w:ascii="Arial" w:hAnsi="Arial" w:cs="Arial"/>
          <w:sz w:val="18"/>
          <w:szCs w:val="18"/>
          <w:lang w:val="es-PE"/>
        </w:rPr>
        <w:t xml:space="preserve"> explicó el 1</w:t>
      </w:r>
      <w:r w:rsidR="00DC7878">
        <w:rPr>
          <w:rFonts w:ascii="Arial" w:hAnsi="Arial" w:cs="Arial"/>
          <w:sz w:val="18"/>
          <w:szCs w:val="18"/>
          <w:lang w:val="es-PE"/>
        </w:rPr>
        <w:t>4</w:t>
      </w:r>
      <w:r w:rsidRPr="008462A4">
        <w:rPr>
          <w:rFonts w:ascii="Arial" w:hAnsi="Arial" w:cs="Arial"/>
          <w:sz w:val="18"/>
          <w:szCs w:val="18"/>
          <w:lang w:val="es-PE"/>
        </w:rPr>
        <w:t xml:space="preserve">% del </w:t>
      </w:r>
      <w:r w:rsidR="008462A4" w:rsidRPr="008462A4">
        <w:rPr>
          <w:rFonts w:ascii="Arial" w:hAnsi="Arial" w:cs="Arial"/>
          <w:sz w:val="18"/>
          <w:szCs w:val="18"/>
          <w:lang w:val="es-PE"/>
        </w:rPr>
        <w:t>total. A nivel de países, sobresale la actividad comercial con Suiza, Venezuela</w:t>
      </w:r>
      <w:r w:rsidR="00DC7878">
        <w:rPr>
          <w:rFonts w:ascii="Arial" w:hAnsi="Arial" w:cs="Arial"/>
          <w:sz w:val="18"/>
          <w:szCs w:val="18"/>
          <w:lang w:val="es-PE"/>
        </w:rPr>
        <w:t xml:space="preserve"> e</w:t>
      </w:r>
      <w:r w:rsidR="008462A4" w:rsidRPr="008462A4">
        <w:rPr>
          <w:rFonts w:ascii="Arial" w:hAnsi="Arial" w:cs="Arial"/>
          <w:sz w:val="18"/>
          <w:szCs w:val="18"/>
          <w:lang w:val="es-PE"/>
        </w:rPr>
        <w:t xml:space="preserve"> India, entre otros.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FD0882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6A8E05E3"/>
    <w:multiLevelType w:val="hybridMultilevel"/>
    <w:tmpl w:val="F036F864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EA23DA"/>
    <w:multiLevelType w:val="hybridMultilevel"/>
    <w:tmpl w:val="2312D0BC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2668FD"/>
    <w:multiLevelType w:val="multilevel"/>
    <w:tmpl w:val="200CC03A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623973188">
    <w:abstractNumId w:val="0"/>
  </w:num>
  <w:num w:numId="2" w16cid:durableId="995112440">
    <w:abstractNumId w:val="3"/>
  </w:num>
  <w:num w:numId="3" w16cid:durableId="810295209">
    <w:abstractNumId w:val="1"/>
  </w:num>
  <w:num w:numId="4" w16cid:durableId="159713225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A0"/>
    <w:rsid w:val="00001504"/>
    <w:rsid w:val="00016282"/>
    <w:rsid w:val="00026BEC"/>
    <w:rsid w:val="00030E0A"/>
    <w:rsid w:val="00044D71"/>
    <w:rsid w:val="00056C55"/>
    <w:rsid w:val="000645AF"/>
    <w:rsid w:val="00070FC3"/>
    <w:rsid w:val="000736FC"/>
    <w:rsid w:val="000843A4"/>
    <w:rsid w:val="00091E79"/>
    <w:rsid w:val="00095CC3"/>
    <w:rsid w:val="000A682C"/>
    <w:rsid w:val="000A6F58"/>
    <w:rsid w:val="000B11D0"/>
    <w:rsid w:val="000D4C47"/>
    <w:rsid w:val="000D7815"/>
    <w:rsid w:val="000E52D1"/>
    <w:rsid w:val="000E5C10"/>
    <w:rsid w:val="000F1A36"/>
    <w:rsid w:val="000F3D40"/>
    <w:rsid w:val="000F42AC"/>
    <w:rsid w:val="000F532C"/>
    <w:rsid w:val="000F71B7"/>
    <w:rsid w:val="001047E0"/>
    <w:rsid w:val="00106E34"/>
    <w:rsid w:val="00112476"/>
    <w:rsid w:val="0012013A"/>
    <w:rsid w:val="00132BD6"/>
    <w:rsid w:val="00137764"/>
    <w:rsid w:val="001420D9"/>
    <w:rsid w:val="00142FCD"/>
    <w:rsid w:val="001434F3"/>
    <w:rsid w:val="00150819"/>
    <w:rsid w:val="0015109B"/>
    <w:rsid w:val="001524B6"/>
    <w:rsid w:val="0017474F"/>
    <w:rsid w:val="00181EE4"/>
    <w:rsid w:val="00185DED"/>
    <w:rsid w:val="0018697D"/>
    <w:rsid w:val="00195399"/>
    <w:rsid w:val="001B129B"/>
    <w:rsid w:val="001C53C4"/>
    <w:rsid w:val="001D00BF"/>
    <w:rsid w:val="001D3888"/>
    <w:rsid w:val="001D6B01"/>
    <w:rsid w:val="001D7398"/>
    <w:rsid w:val="001D7547"/>
    <w:rsid w:val="0020034A"/>
    <w:rsid w:val="00222209"/>
    <w:rsid w:val="00223EDA"/>
    <w:rsid w:val="00226E85"/>
    <w:rsid w:val="0023768F"/>
    <w:rsid w:val="002406EE"/>
    <w:rsid w:val="00246BF7"/>
    <w:rsid w:val="00263A81"/>
    <w:rsid w:val="0027247B"/>
    <w:rsid w:val="00272520"/>
    <w:rsid w:val="00273B36"/>
    <w:rsid w:val="0027501A"/>
    <w:rsid w:val="002823C5"/>
    <w:rsid w:val="002837F6"/>
    <w:rsid w:val="00285EB1"/>
    <w:rsid w:val="002931CE"/>
    <w:rsid w:val="002966A3"/>
    <w:rsid w:val="002977FF"/>
    <w:rsid w:val="002A25E7"/>
    <w:rsid w:val="002B42EB"/>
    <w:rsid w:val="002C2E0E"/>
    <w:rsid w:val="002C308D"/>
    <w:rsid w:val="002D39F0"/>
    <w:rsid w:val="002D49CB"/>
    <w:rsid w:val="002F0157"/>
    <w:rsid w:val="00301544"/>
    <w:rsid w:val="0030437A"/>
    <w:rsid w:val="00305B50"/>
    <w:rsid w:val="003122FF"/>
    <w:rsid w:val="003277FC"/>
    <w:rsid w:val="00327F26"/>
    <w:rsid w:val="00330552"/>
    <w:rsid w:val="00341AA8"/>
    <w:rsid w:val="003435E0"/>
    <w:rsid w:val="00353198"/>
    <w:rsid w:val="00361033"/>
    <w:rsid w:val="0036769B"/>
    <w:rsid w:val="0037484B"/>
    <w:rsid w:val="003777A6"/>
    <w:rsid w:val="0038584D"/>
    <w:rsid w:val="003A2331"/>
    <w:rsid w:val="003A66A1"/>
    <w:rsid w:val="003D1852"/>
    <w:rsid w:val="003D1E39"/>
    <w:rsid w:val="003E4758"/>
    <w:rsid w:val="00401B82"/>
    <w:rsid w:val="0040421A"/>
    <w:rsid w:val="00405749"/>
    <w:rsid w:val="00422BCC"/>
    <w:rsid w:val="004261BC"/>
    <w:rsid w:val="004267CD"/>
    <w:rsid w:val="004273AD"/>
    <w:rsid w:val="00437C8D"/>
    <w:rsid w:val="004417D8"/>
    <w:rsid w:val="0044244B"/>
    <w:rsid w:val="0044288F"/>
    <w:rsid w:val="0044660F"/>
    <w:rsid w:val="00452AC6"/>
    <w:rsid w:val="00465129"/>
    <w:rsid w:val="004651B4"/>
    <w:rsid w:val="00473CA4"/>
    <w:rsid w:val="00473D63"/>
    <w:rsid w:val="004802BA"/>
    <w:rsid w:val="00486002"/>
    <w:rsid w:val="004869F4"/>
    <w:rsid w:val="004A1827"/>
    <w:rsid w:val="004B6D47"/>
    <w:rsid w:val="004C1D1E"/>
    <w:rsid w:val="004D74CF"/>
    <w:rsid w:val="004E7994"/>
    <w:rsid w:val="00503B5F"/>
    <w:rsid w:val="005041E0"/>
    <w:rsid w:val="0052356A"/>
    <w:rsid w:val="00530FF5"/>
    <w:rsid w:val="005376FB"/>
    <w:rsid w:val="005554E0"/>
    <w:rsid w:val="00557CDE"/>
    <w:rsid w:val="00564FCA"/>
    <w:rsid w:val="005705DC"/>
    <w:rsid w:val="00581648"/>
    <w:rsid w:val="005B07ED"/>
    <w:rsid w:val="005B1E5C"/>
    <w:rsid w:val="005B534C"/>
    <w:rsid w:val="005D3D35"/>
    <w:rsid w:val="005D6905"/>
    <w:rsid w:val="005E5231"/>
    <w:rsid w:val="005E665F"/>
    <w:rsid w:val="005F1C1D"/>
    <w:rsid w:val="006016F1"/>
    <w:rsid w:val="00602E55"/>
    <w:rsid w:val="006070DC"/>
    <w:rsid w:val="00621BDA"/>
    <w:rsid w:val="006317DF"/>
    <w:rsid w:val="006328B0"/>
    <w:rsid w:val="00651F85"/>
    <w:rsid w:val="00656A33"/>
    <w:rsid w:val="00656C5E"/>
    <w:rsid w:val="00657C5A"/>
    <w:rsid w:val="0066503C"/>
    <w:rsid w:val="00667ACB"/>
    <w:rsid w:val="00671F57"/>
    <w:rsid w:val="00672699"/>
    <w:rsid w:val="006904DB"/>
    <w:rsid w:val="00696BA2"/>
    <w:rsid w:val="0069758E"/>
    <w:rsid w:val="006A47E2"/>
    <w:rsid w:val="006A77B8"/>
    <w:rsid w:val="006A77DA"/>
    <w:rsid w:val="006B0C3D"/>
    <w:rsid w:val="006B417D"/>
    <w:rsid w:val="006C2BC5"/>
    <w:rsid w:val="006D1E87"/>
    <w:rsid w:val="006D3D20"/>
    <w:rsid w:val="006D48A3"/>
    <w:rsid w:val="006D68FC"/>
    <w:rsid w:val="007024CF"/>
    <w:rsid w:val="007129A9"/>
    <w:rsid w:val="00712E72"/>
    <w:rsid w:val="0071306E"/>
    <w:rsid w:val="007245BF"/>
    <w:rsid w:val="00725DC7"/>
    <w:rsid w:val="00725EF2"/>
    <w:rsid w:val="00727ED0"/>
    <w:rsid w:val="00742792"/>
    <w:rsid w:val="00743AF1"/>
    <w:rsid w:val="007443FB"/>
    <w:rsid w:val="00744868"/>
    <w:rsid w:val="00746EF2"/>
    <w:rsid w:val="00747DA7"/>
    <w:rsid w:val="00750F02"/>
    <w:rsid w:val="00755580"/>
    <w:rsid w:val="00755827"/>
    <w:rsid w:val="00771C02"/>
    <w:rsid w:val="00775A72"/>
    <w:rsid w:val="00784362"/>
    <w:rsid w:val="00785CAA"/>
    <w:rsid w:val="00786E9B"/>
    <w:rsid w:val="007904FC"/>
    <w:rsid w:val="0079105F"/>
    <w:rsid w:val="00793308"/>
    <w:rsid w:val="007959BE"/>
    <w:rsid w:val="007B4226"/>
    <w:rsid w:val="007E0273"/>
    <w:rsid w:val="007E2602"/>
    <w:rsid w:val="007F78F2"/>
    <w:rsid w:val="00820104"/>
    <w:rsid w:val="008306F2"/>
    <w:rsid w:val="00830C4D"/>
    <w:rsid w:val="008357A7"/>
    <w:rsid w:val="008444EA"/>
    <w:rsid w:val="008462A4"/>
    <w:rsid w:val="00855900"/>
    <w:rsid w:val="00861764"/>
    <w:rsid w:val="0087226E"/>
    <w:rsid w:val="00873EB2"/>
    <w:rsid w:val="008828A5"/>
    <w:rsid w:val="00894460"/>
    <w:rsid w:val="008A3699"/>
    <w:rsid w:val="008B0991"/>
    <w:rsid w:val="008B3D9C"/>
    <w:rsid w:val="008B6DF6"/>
    <w:rsid w:val="008C2DBD"/>
    <w:rsid w:val="008D032C"/>
    <w:rsid w:val="008D6BC3"/>
    <w:rsid w:val="008E0AF7"/>
    <w:rsid w:val="008E5B20"/>
    <w:rsid w:val="0090263E"/>
    <w:rsid w:val="00917CDB"/>
    <w:rsid w:val="0092573B"/>
    <w:rsid w:val="009259EC"/>
    <w:rsid w:val="00943C0B"/>
    <w:rsid w:val="009453DD"/>
    <w:rsid w:val="00946B80"/>
    <w:rsid w:val="009526AA"/>
    <w:rsid w:val="00952B6D"/>
    <w:rsid w:val="00957E13"/>
    <w:rsid w:val="0097154E"/>
    <w:rsid w:val="00977DD2"/>
    <w:rsid w:val="009807CD"/>
    <w:rsid w:val="00990B0F"/>
    <w:rsid w:val="0099198F"/>
    <w:rsid w:val="009A2F40"/>
    <w:rsid w:val="009A3F7E"/>
    <w:rsid w:val="009A6011"/>
    <w:rsid w:val="009A72D2"/>
    <w:rsid w:val="009B5D16"/>
    <w:rsid w:val="009D07F7"/>
    <w:rsid w:val="009D6722"/>
    <w:rsid w:val="009E5344"/>
    <w:rsid w:val="009E5C48"/>
    <w:rsid w:val="009F0C6A"/>
    <w:rsid w:val="009F4B04"/>
    <w:rsid w:val="009F65C7"/>
    <w:rsid w:val="00A140EF"/>
    <w:rsid w:val="00A15B0A"/>
    <w:rsid w:val="00A21450"/>
    <w:rsid w:val="00A47C0E"/>
    <w:rsid w:val="00A605D0"/>
    <w:rsid w:val="00A6679C"/>
    <w:rsid w:val="00A67951"/>
    <w:rsid w:val="00A72F65"/>
    <w:rsid w:val="00A820BE"/>
    <w:rsid w:val="00A90055"/>
    <w:rsid w:val="00A9137F"/>
    <w:rsid w:val="00AA232C"/>
    <w:rsid w:val="00AA6882"/>
    <w:rsid w:val="00AB5503"/>
    <w:rsid w:val="00AB726F"/>
    <w:rsid w:val="00AE0B05"/>
    <w:rsid w:val="00AE161A"/>
    <w:rsid w:val="00AF448E"/>
    <w:rsid w:val="00AF7768"/>
    <w:rsid w:val="00B02009"/>
    <w:rsid w:val="00B02E21"/>
    <w:rsid w:val="00B11E2E"/>
    <w:rsid w:val="00B11FC0"/>
    <w:rsid w:val="00B13025"/>
    <w:rsid w:val="00B15591"/>
    <w:rsid w:val="00B172B2"/>
    <w:rsid w:val="00B32C72"/>
    <w:rsid w:val="00B40AAA"/>
    <w:rsid w:val="00B429C8"/>
    <w:rsid w:val="00B51944"/>
    <w:rsid w:val="00B57FDF"/>
    <w:rsid w:val="00B718D9"/>
    <w:rsid w:val="00B82B73"/>
    <w:rsid w:val="00BA3752"/>
    <w:rsid w:val="00BB506E"/>
    <w:rsid w:val="00BB76B5"/>
    <w:rsid w:val="00BE110A"/>
    <w:rsid w:val="00BE44CA"/>
    <w:rsid w:val="00BF0BE1"/>
    <w:rsid w:val="00BF3763"/>
    <w:rsid w:val="00BF70DE"/>
    <w:rsid w:val="00C0305B"/>
    <w:rsid w:val="00C30DEE"/>
    <w:rsid w:val="00C332D8"/>
    <w:rsid w:val="00C36AC0"/>
    <w:rsid w:val="00C46A81"/>
    <w:rsid w:val="00C476B7"/>
    <w:rsid w:val="00C52AB0"/>
    <w:rsid w:val="00C67BA3"/>
    <w:rsid w:val="00C7114D"/>
    <w:rsid w:val="00C71390"/>
    <w:rsid w:val="00C7315D"/>
    <w:rsid w:val="00CA3693"/>
    <w:rsid w:val="00CA4DF4"/>
    <w:rsid w:val="00CA79B7"/>
    <w:rsid w:val="00CC14F4"/>
    <w:rsid w:val="00CC7E9F"/>
    <w:rsid w:val="00CD0080"/>
    <w:rsid w:val="00CE59D4"/>
    <w:rsid w:val="00CE6573"/>
    <w:rsid w:val="00CF248D"/>
    <w:rsid w:val="00D137DB"/>
    <w:rsid w:val="00D13D1E"/>
    <w:rsid w:val="00D31D20"/>
    <w:rsid w:val="00D45B6A"/>
    <w:rsid w:val="00D51EBD"/>
    <w:rsid w:val="00D527D7"/>
    <w:rsid w:val="00D561DC"/>
    <w:rsid w:val="00D57667"/>
    <w:rsid w:val="00D61A50"/>
    <w:rsid w:val="00D730AF"/>
    <w:rsid w:val="00D73E36"/>
    <w:rsid w:val="00D812E0"/>
    <w:rsid w:val="00D91169"/>
    <w:rsid w:val="00DA1AB1"/>
    <w:rsid w:val="00DA4E1F"/>
    <w:rsid w:val="00DC7878"/>
    <w:rsid w:val="00DD6531"/>
    <w:rsid w:val="00DD7091"/>
    <w:rsid w:val="00DF01A2"/>
    <w:rsid w:val="00DF09A6"/>
    <w:rsid w:val="00DF7898"/>
    <w:rsid w:val="00E01E83"/>
    <w:rsid w:val="00E07FF0"/>
    <w:rsid w:val="00E11E2F"/>
    <w:rsid w:val="00E258AA"/>
    <w:rsid w:val="00E35EC1"/>
    <w:rsid w:val="00E62C1C"/>
    <w:rsid w:val="00E62D0E"/>
    <w:rsid w:val="00E638AD"/>
    <w:rsid w:val="00E64A09"/>
    <w:rsid w:val="00E65FBB"/>
    <w:rsid w:val="00E72BE6"/>
    <w:rsid w:val="00E9151B"/>
    <w:rsid w:val="00EA487B"/>
    <w:rsid w:val="00EB24FA"/>
    <w:rsid w:val="00EC1540"/>
    <w:rsid w:val="00EF110D"/>
    <w:rsid w:val="00EF2AAA"/>
    <w:rsid w:val="00EF5D72"/>
    <w:rsid w:val="00F05505"/>
    <w:rsid w:val="00F33209"/>
    <w:rsid w:val="00F42993"/>
    <w:rsid w:val="00F55288"/>
    <w:rsid w:val="00F577CB"/>
    <w:rsid w:val="00F61243"/>
    <w:rsid w:val="00F65358"/>
    <w:rsid w:val="00F66F71"/>
    <w:rsid w:val="00F751D2"/>
    <w:rsid w:val="00FA52F0"/>
    <w:rsid w:val="00FA593C"/>
    <w:rsid w:val="00FA6103"/>
    <w:rsid w:val="00FB3F1B"/>
    <w:rsid w:val="00FB7332"/>
    <w:rsid w:val="00FC427B"/>
    <w:rsid w:val="00FC6FDF"/>
    <w:rsid w:val="00FC79DE"/>
    <w:rsid w:val="00FD149A"/>
    <w:rsid w:val="00FD593A"/>
    <w:rsid w:val="00FE1671"/>
    <w:rsid w:val="00FE29A0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BC7D63"/>
  <w15:chartTrackingRefBased/>
  <w15:docId w15:val="{4AB65BEC-9566-4CE5-A481-7E39D7C5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tabs>
        <w:tab w:val="left" w:pos="425"/>
      </w:tabs>
      <w:jc w:val="both"/>
      <w:outlineLvl w:val="0"/>
    </w:pPr>
    <w:rPr>
      <w:rFonts w:ascii="Helvetica" w:hAnsi="Helvetica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sz w:val="22"/>
      <w:lang w:val="es-P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jc w:val="both"/>
      <w:outlineLvl w:val="3"/>
    </w:pPr>
    <w:rPr>
      <w:rFonts w:ascii="Arial" w:hAnsi="Arial"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"/>
      </w:numPr>
      <w:jc w:val="both"/>
      <w:outlineLvl w:val="4"/>
    </w:pPr>
    <w:rPr>
      <w:rFonts w:ascii="Arial" w:hAnsi="Arial"/>
      <w:sz w:val="28"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jc w:val="both"/>
      <w:outlineLvl w:val="5"/>
    </w:pPr>
    <w:rPr>
      <w:rFonts w:ascii="Arial" w:hAnsi="Arial"/>
      <w:sz w:val="36"/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2"/>
      </w:numPr>
      <w:jc w:val="right"/>
      <w:outlineLvl w:val="6"/>
    </w:pPr>
    <w:rPr>
      <w:rFonts w:ascii="Arial" w:hAnsi="Arial"/>
      <w:b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2"/>
      </w:numPr>
      <w:ind w:right="-284"/>
      <w:jc w:val="right"/>
      <w:outlineLvl w:val="7"/>
    </w:pPr>
    <w:rPr>
      <w:rFonts w:ascii="Arial" w:hAnsi="Arial"/>
      <w:b/>
      <w:sz w:val="32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2"/>
      </w:numPr>
      <w:jc w:val="center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2">
    <w:name w:val="List Bullet 2"/>
    <w:basedOn w:val="Normal"/>
    <w:autoRedefine/>
    <w:semiHidden/>
    <w:pPr>
      <w:numPr>
        <w:numId w:val="1"/>
      </w:numPr>
    </w:pPr>
  </w:style>
  <w:style w:type="paragraph" w:customStyle="1" w:styleId="jose">
    <w:name w:val="jose"/>
    <w:basedOn w:val="Textoindependiente"/>
    <w:pPr>
      <w:ind w:left="567" w:right="567"/>
      <w:jc w:val="both"/>
    </w:pPr>
    <w:rPr>
      <w:rFonts w:ascii="Times New Roman" w:hAnsi="Times New Roman" w:cs="Times New Roman"/>
      <w:sz w:val="22"/>
      <w:szCs w:val="20"/>
      <w:lang w:val="es-ES_tradnl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 w:cs="Arial"/>
      <w:sz w:val="20"/>
    </w:rPr>
  </w:style>
  <w:style w:type="paragraph" w:styleId="Textodebloque">
    <w:name w:val="Block Text"/>
    <w:basedOn w:val="Normal"/>
    <w:semiHidden/>
    <w:pPr>
      <w:ind w:left="284" w:right="335"/>
      <w:jc w:val="both"/>
    </w:pPr>
    <w:rPr>
      <w:rFonts w:ascii="Arial" w:hAnsi="Arial" w:cs="Arial"/>
      <w:sz w:val="20"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Sangradetextonormal">
    <w:name w:val="Body Text Indent"/>
    <w:basedOn w:val="Normal"/>
    <w:semiHidden/>
    <w:pPr>
      <w:ind w:left="992" w:hanging="992"/>
      <w:jc w:val="both"/>
    </w:pPr>
    <w:rPr>
      <w:rFonts w:ascii="Arial" w:hAnsi="Arial"/>
      <w:sz w:val="20"/>
      <w:szCs w:val="20"/>
    </w:rPr>
  </w:style>
  <w:style w:type="paragraph" w:styleId="Subttulo">
    <w:name w:val="Subtitle"/>
    <w:basedOn w:val="Normal"/>
    <w:link w:val="SubttuloCar"/>
    <w:qFormat/>
    <w:pPr>
      <w:ind w:left="1440"/>
      <w:jc w:val="both"/>
    </w:pPr>
    <w:rPr>
      <w:rFonts w:ascii="Arial" w:hAnsi="Arial" w:cs="Arial"/>
      <w:b/>
      <w:bCs/>
    </w:rPr>
  </w:style>
  <w:style w:type="paragraph" w:styleId="Textoindependiente3">
    <w:name w:val="Body Text 3"/>
    <w:basedOn w:val="Normal"/>
    <w:semiHidden/>
    <w:pPr>
      <w:jc w:val="center"/>
    </w:pPr>
    <w:rPr>
      <w:rFonts w:ascii="Arial" w:hAnsi="Arial"/>
      <w:b/>
      <w:sz w:val="28"/>
      <w:szCs w:val="20"/>
    </w:rPr>
  </w:style>
  <w:style w:type="paragraph" w:customStyle="1" w:styleId="para05">
    <w:name w:val="para05"/>
    <w:basedOn w:val="Normal"/>
    <w:pPr>
      <w:autoSpaceDE w:val="0"/>
      <w:autoSpaceDN w:val="0"/>
      <w:spacing w:line="360" w:lineRule="auto"/>
      <w:ind w:left="284"/>
      <w:jc w:val="both"/>
    </w:pPr>
    <w:rPr>
      <w:rFonts w:ascii="Arial" w:hAnsi="Arial"/>
      <w:sz w:val="22"/>
      <w:szCs w:val="20"/>
      <w:lang w:val="es-ES_tradnl"/>
    </w:rPr>
  </w:style>
  <w:style w:type="paragraph" w:styleId="Sangra3detindependiente">
    <w:name w:val="Body Text Indent 3"/>
    <w:basedOn w:val="Normal"/>
    <w:semiHidden/>
    <w:pPr>
      <w:tabs>
        <w:tab w:val="left" w:pos="360"/>
      </w:tabs>
      <w:ind w:left="360"/>
      <w:jc w:val="both"/>
    </w:pPr>
    <w:rPr>
      <w:rFonts w:ascii="Arial" w:hAnsi="Arial"/>
      <w:sz w:val="20"/>
      <w:szCs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styleId="Nmerodepgina">
    <w:name w:val="page number"/>
    <w:basedOn w:val="Fuentedeprrafopredeter"/>
    <w:semiHidden/>
  </w:style>
  <w:style w:type="paragraph" w:styleId="Textoindependiente2">
    <w:name w:val="Body Text 2"/>
    <w:basedOn w:val="Normal"/>
    <w:semiHidden/>
    <w:pPr>
      <w:autoSpaceDE w:val="0"/>
      <w:autoSpaceDN w:val="0"/>
      <w:adjustRightInd w:val="0"/>
      <w:jc w:val="both"/>
    </w:pPr>
    <w:rPr>
      <w:rFonts w:ascii="Arial" w:hAnsi="Arial" w:cs="Arial"/>
      <w:sz w:val="22"/>
      <w:szCs w:val="19"/>
    </w:rPr>
  </w:style>
  <w:style w:type="character" w:styleId="Hipervnculo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Epgrafe">
    <w:name w:val="Epígrafe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6A47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6A47E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A47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A47E2"/>
    <w:rPr>
      <w:sz w:val="24"/>
      <w:szCs w:val="24"/>
      <w:lang w:val="es-ES" w:eastAsia="es-ES"/>
    </w:rPr>
  </w:style>
  <w:style w:type="character" w:customStyle="1" w:styleId="SubttuloCar">
    <w:name w:val="Subtítulo Car"/>
    <w:link w:val="Subttulo"/>
    <w:rsid w:val="00142FCD"/>
    <w:rPr>
      <w:rFonts w:ascii="Arial" w:hAnsi="Arial" w:cs="Arial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93277-B885-457A-9618-2090375C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1158</Words>
  <Characters>6371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</vt:lpstr>
    </vt:vector>
  </TitlesOfParts>
  <Company>SUNAT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</dc:title>
  <dc:subject/>
  <dc:creator>SUNAT</dc:creator>
  <cp:keywords/>
  <cp:lastModifiedBy>Atilio Condezo Kennedy David</cp:lastModifiedBy>
  <cp:revision>3</cp:revision>
  <cp:lastPrinted>2014-03-24T16:53:00Z</cp:lastPrinted>
  <dcterms:created xsi:type="dcterms:W3CDTF">2025-06-17T14:02:00Z</dcterms:created>
  <dcterms:modified xsi:type="dcterms:W3CDTF">2025-06-17T14:43:00Z</dcterms:modified>
</cp:coreProperties>
</file>