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9C35" w14:textId="77777777" w:rsidR="0086241B" w:rsidRDefault="0086241B">
      <w:pPr>
        <w:pStyle w:val="jose"/>
        <w:ind w:left="142" w:right="0"/>
        <w:jc w:val="center"/>
        <w:rPr>
          <w:rFonts w:ascii="Arial" w:hAnsi="Arial" w:cs="Arial"/>
          <w:b/>
          <w:szCs w:val="22"/>
          <w:u w:val="single"/>
        </w:rPr>
      </w:pPr>
    </w:p>
    <w:p w14:paraId="25DD7931" w14:textId="77777777" w:rsidR="001217A3" w:rsidRPr="00A776E5" w:rsidRDefault="001217A3">
      <w:pPr>
        <w:pStyle w:val="jose"/>
        <w:ind w:left="142" w:right="0"/>
        <w:jc w:val="center"/>
        <w:rPr>
          <w:rFonts w:ascii="Arial" w:hAnsi="Arial" w:cs="Arial"/>
          <w:b/>
          <w:szCs w:val="22"/>
        </w:rPr>
      </w:pPr>
      <w:r w:rsidRPr="00A776E5">
        <w:rPr>
          <w:rFonts w:ascii="Arial" w:hAnsi="Arial" w:cs="Arial"/>
          <w:b/>
          <w:szCs w:val="22"/>
        </w:rPr>
        <w:t>ASPECTOS METODOLÓGICOS</w:t>
      </w:r>
    </w:p>
    <w:p w14:paraId="3C7F21C5" w14:textId="77777777" w:rsidR="001217A3" w:rsidRPr="003D20F4" w:rsidRDefault="001217A3">
      <w:pPr>
        <w:pStyle w:val="Textodebloque"/>
        <w:ind w:left="0" w:right="0"/>
        <w:rPr>
          <w:sz w:val="22"/>
          <w:szCs w:val="22"/>
        </w:rPr>
      </w:pPr>
    </w:p>
    <w:p w14:paraId="743F5BA7" w14:textId="77777777" w:rsidR="001217A3" w:rsidRPr="003D20F4" w:rsidRDefault="001217A3">
      <w:pPr>
        <w:pStyle w:val="Textodebloque"/>
        <w:ind w:left="0" w:right="0"/>
        <w:rPr>
          <w:sz w:val="22"/>
          <w:szCs w:val="22"/>
        </w:rPr>
      </w:pPr>
    </w:p>
    <w:p w14:paraId="3DAC14BF" w14:textId="77777777" w:rsidR="001217A3" w:rsidRPr="003D20F4" w:rsidRDefault="001217A3">
      <w:pPr>
        <w:pStyle w:val="Textodebloque"/>
        <w:ind w:left="0" w:right="0"/>
        <w:rPr>
          <w:sz w:val="22"/>
          <w:szCs w:val="22"/>
        </w:rPr>
      </w:pPr>
      <w:r w:rsidRPr="003D20F4">
        <w:rPr>
          <w:sz w:val="22"/>
          <w:szCs w:val="22"/>
        </w:rPr>
        <w:t xml:space="preserve">A </w:t>
      </w:r>
      <w:r w:rsidR="0003281A" w:rsidRPr="003D20F4">
        <w:rPr>
          <w:sz w:val="22"/>
          <w:szCs w:val="22"/>
        </w:rPr>
        <w:t>continuación,</w:t>
      </w:r>
      <w:r w:rsidRPr="003D20F4">
        <w:rPr>
          <w:sz w:val="22"/>
          <w:szCs w:val="22"/>
        </w:rPr>
        <w:t xml:space="preserve"> se detallan los principales elementos que se deben tomar en cuenta para interpretar correctamente la información presentada.</w:t>
      </w:r>
    </w:p>
    <w:p w14:paraId="0DA4BFA0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0458279C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b/>
          <w:szCs w:val="22"/>
        </w:rPr>
        <w:t>A. Información Básica</w:t>
      </w:r>
    </w:p>
    <w:p w14:paraId="44F42DEA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66924438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Las estadísticas de Comercio Exterior son elaboradas sobre la base del procesamiento automatizado de la información que se genera a partir de la Declaración Aduanera de Mercancía (DAM) registrada por la SUNAT.</w:t>
      </w:r>
    </w:p>
    <w:p w14:paraId="14500CDC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5E0A18B4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b/>
          <w:szCs w:val="22"/>
        </w:rPr>
        <w:t>B. Cobertura de la Información</w:t>
      </w:r>
    </w:p>
    <w:p w14:paraId="4462A7DA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17CE36B5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Cabe resaltar que la información referida a importaciones para el consumo y exportaciones definitivas cuenta con una cobertura a nivel nacional. En lo referente al ámbito geográfico, la presente publicación comprende a las Intendencias de las Aduanas de Lima Metropolitana y Provincias.</w:t>
      </w:r>
    </w:p>
    <w:p w14:paraId="5D156F6E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1A60B936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b/>
          <w:szCs w:val="22"/>
        </w:rPr>
        <w:t>C. Registro de la Información</w:t>
      </w:r>
    </w:p>
    <w:p w14:paraId="0BAE15D3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308804E3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El Sistema de Registro adoptado por la SUNAT es el Sistema de Comercio Especial. Este sistema se utiliza cuando: a) Las importaciones abarcan todos los bienes que son despachados por las Aduanas para su uso interno, y b) Los bienes que salen de la zona de libre circulación de un país compilador.</w:t>
      </w:r>
    </w:p>
    <w:p w14:paraId="6D304C02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70E0D6DE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En las estadísticas ordinarias de comercio exterior, la SUNAT considera como exportación definitiva la que involucra a aquellas mercancías cuyo destino final es el uso o consumo definitivo en el exterior. En lo que corresponde a importación para el consumo, se registran aquellas mercancías cuyo despacho es solicitado ante la aduana para uso o consumo interno.</w:t>
      </w:r>
    </w:p>
    <w:p w14:paraId="7CA00372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21B135E9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Las estadísticas ordinarias de importación para el consumo no incorporan las transacciones especiales, como:</w:t>
      </w:r>
    </w:p>
    <w:p w14:paraId="266DEB1C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61E1653D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Servicio Diplomático Extranjero</w:t>
      </w:r>
    </w:p>
    <w:p w14:paraId="1EF5CDB9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Oro Monetario</w:t>
      </w:r>
    </w:p>
    <w:p w14:paraId="56E1EFA6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Mercancías que ingresaron a las zonas francas</w:t>
      </w:r>
    </w:p>
    <w:p w14:paraId="34B38B0C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Mercancías que ingresan bajo el Régimen de Admisión Temporal para perfeccionamiento activo</w:t>
      </w:r>
    </w:p>
    <w:p w14:paraId="66EA19BB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Mercancías que ingresan bajo el Régimen de Admisión Temporal para reexportación en el mismo estado</w:t>
      </w:r>
    </w:p>
    <w:p w14:paraId="3DEA1AFD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Transacciones correspondientes a las Fuerzas Armadas</w:t>
      </w:r>
    </w:p>
    <w:p w14:paraId="591A1FA5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Encomiendas Postales</w:t>
      </w:r>
    </w:p>
    <w:p w14:paraId="5A3CDE92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Muestras</w:t>
      </w:r>
    </w:p>
    <w:p w14:paraId="6C337AE0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jc w:val="left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Equipaje y Menaje de Casa</w:t>
      </w:r>
    </w:p>
    <w:p w14:paraId="0DFDDC8A" w14:textId="77777777" w:rsidR="001217A3" w:rsidRPr="003D20F4" w:rsidRDefault="001217A3">
      <w:pPr>
        <w:pStyle w:val="jose"/>
        <w:numPr>
          <w:ilvl w:val="0"/>
          <w:numId w:val="7"/>
        </w:numPr>
        <w:tabs>
          <w:tab w:val="num" w:pos="180"/>
        </w:tabs>
        <w:ind w:left="180" w:right="0" w:hanging="180"/>
        <w:jc w:val="left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Donaciones</w:t>
      </w:r>
    </w:p>
    <w:p w14:paraId="5F0242AB" w14:textId="77777777" w:rsidR="002F3609" w:rsidRDefault="002F3609">
      <w:pPr>
        <w:pStyle w:val="jose"/>
        <w:ind w:left="0" w:right="0"/>
        <w:rPr>
          <w:rFonts w:ascii="Arial" w:hAnsi="Arial" w:cs="Arial"/>
          <w:szCs w:val="22"/>
        </w:rPr>
      </w:pPr>
    </w:p>
    <w:p w14:paraId="74C47E39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lastRenderedPageBreak/>
        <w:t>Si bien no considera las transacciones especiales en los regímenes de importación para el consumo y exportación definitiva, la SUNAT registra estas estadísticas por separado.</w:t>
      </w:r>
    </w:p>
    <w:p w14:paraId="312B4453" w14:textId="77777777" w:rsidR="001217A3" w:rsidRPr="003D20F4" w:rsidRDefault="001217A3">
      <w:pPr>
        <w:pStyle w:val="jose"/>
        <w:ind w:left="0" w:right="0"/>
        <w:jc w:val="left"/>
        <w:rPr>
          <w:rFonts w:ascii="Arial" w:hAnsi="Arial" w:cs="Arial"/>
          <w:szCs w:val="22"/>
        </w:rPr>
      </w:pPr>
    </w:p>
    <w:p w14:paraId="63E8E21E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En lo que respecta a la presentación de las estadísticas de exportaciones definitivas se debe tener en cuenta lo siguiente:</w:t>
      </w:r>
    </w:p>
    <w:p w14:paraId="78377B0D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03789FFB" w14:textId="77777777" w:rsidR="001217A3" w:rsidRPr="003D20F4" w:rsidRDefault="001217A3">
      <w:pPr>
        <w:pStyle w:val="jose"/>
        <w:numPr>
          <w:ilvl w:val="0"/>
          <w:numId w:val="9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Las exportaciones de plomo incluyen concentrados de plata debido al carácter polimetálico en la explotación de este mineral.</w:t>
      </w:r>
    </w:p>
    <w:p w14:paraId="459E1635" w14:textId="77777777" w:rsidR="001217A3" w:rsidRPr="003D20F4" w:rsidRDefault="001217A3">
      <w:pPr>
        <w:pStyle w:val="jose"/>
        <w:numPr>
          <w:ilvl w:val="0"/>
          <w:numId w:val="9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Se incorpora a las estadísticas lo registrado por abastecimientos de alimentos y combustibles a naves extranjeras.</w:t>
      </w:r>
    </w:p>
    <w:p w14:paraId="5CC6C7AB" w14:textId="77777777" w:rsidR="001217A3" w:rsidRPr="003D20F4" w:rsidRDefault="001217A3">
      <w:pPr>
        <w:pStyle w:val="jose"/>
        <w:numPr>
          <w:ilvl w:val="0"/>
          <w:numId w:val="9"/>
        </w:numPr>
        <w:tabs>
          <w:tab w:val="num" w:pos="180"/>
        </w:tabs>
        <w:ind w:left="180" w:right="0" w:hanging="18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 xml:space="preserve">No se incluyen las exportaciones temporales, particularmente las registradas </w:t>
      </w:r>
      <w:r w:rsidR="0003281A" w:rsidRPr="003D20F4">
        <w:rPr>
          <w:rFonts w:ascii="Arial" w:hAnsi="Arial" w:cs="Arial"/>
          <w:szCs w:val="22"/>
        </w:rPr>
        <w:t xml:space="preserve">por </w:t>
      </w:r>
      <w:proofErr w:type="spellStart"/>
      <w:r w:rsidR="0003281A" w:rsidRPr="003D20F4">
        <w:rPr>
          <w:rFonts w:ascii="Arial" w:hAnsi="Arial" w:cs="Arial"/>
          <w:szCs w:val="22"/>
        </w:rPr>
        <w:t>Minsur</w:t>
      </w:r>
      <w:proofErr w:type="spellEnd"/>
      <w:r w:rsidRPr="003D20F4">
        <w:rPr>
          <w:rFonts w:ascii="Arial" w:hAnsi="Arial" w:cs="Arial"/>
          <w:szCs w:val="22"/>
        </w:rPr>
        <w:t xml:space="preserve"> S.A.</w:t>
      </w:r>
    </w:p>
    <w:p w14:paraId="50E6D1D9" w14:textId="77777777" w:rsidR="001217A3" w:rsidRPr="003D20F4" w:rsidRDefault="001217A3">
      <w:pPr>
        <w:pStyle w:val="jose"/>
        <w:tabs>
          <w:tab w:val="num" w:pos="1276"/>
        </w:tabs>
        <w:ind w:left="0" w:right="0"/>
        <w:rPr>
          <w:rFonts w:ascii="Arial" w:hAnsi="Arial" w:cs="Arial"/>
          <w:szCs w:val="22"/>
        </w:rPr>
      </w:pPr>
    </w:p>
    <w:p w14:paraId="420D4CCC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b/>
          <w:szCs w:val="22"/>
        </w:rPr>
        <w:t>D. Clasificación de Mercancías</w:t>
      </w:r>
    </w:p>
    <w:p w14:paraId="1347F538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4A972748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Se ha empleado la clasificación elaborada basada en la Nomenclatura del Sistema Armonizado de Designación y Codificación de Mercancías (S.A.) y de la Nomenclatura Común para los países miembros del Grupo Andino (NANDINA), basada en la V</w:t>
      </w:r>
      <w:r w:rsidR="00191215" w:rsidRPr="003D20F4">
        <w:rPr>
          <w:rFonts w:ascii="Arial" w:hAnsi="Arial" w:cs="Arial"/>
          <w:szCs w:val="22"/>
        </w:rPr>
        <w:t>I</w:t>
      </w:r>
      <w:r w:rsidRPr="003D20F4">
        <w:rPr>
          <w:rFonts w:ascii="Arial" w:hAnsi="Arial" w:cs="Arial"/>
          <w:szCs w:val="22"/>
        </w:rPr>
        <w:t xml:space="preserve"> recomendación de Enmienda del Comité de Nomenclatura de la OMA.</w:t>
      </w:r>
    </w:p>
    <w:p w14:paraId="23CAC901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358DE8A8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b/>
          <w:szCs w:val="22"/>
        </w:rPr>
        <w:t>E. Instancia de Registro</w:t>
      </w:r>
    </w:p>
    <w:p w14:paraId="20233ED6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032E6E5D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Para el caso de las importaciones, el momento de registro corresponde a la fecha de numeración de la DAM. En el caso de las exportaciones, el momento de registro es la fecha de embarque de las mercancías y debidamente regularizadas.</w:t>
      </w:r>
    </w:p>
    <w:p w14:paraId="274C985D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407DF291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b/>
          <w:szCs w:val="22"/>
        </w:rPr>
        <w:t>F. Valores</w:t>
      </w:r>
    </w:p>
    <w:p w14:paraId="3ACF79CC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448047C6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Los valores consignados para las exportaciones se refieren a precios FOB (libre a bordo) en el puerto lugar de embarque de las mercancías.</w:t>
      </w:r>
    </w:p>
    <w:p w14:paraId="084E4768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3E161768" w14:textId="77777777" w:rsidR="001217A3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En el caso del régimen de importación para el consumo, los valores se refieren a precios CIF que incluyen la valoración aduanera de bienes más el flete, seguros y otros gastos incurridos cuando se traen las mercancías desde el lugar de embarque, en el extranjero, hasta el lugar de nacionalización en el Perú.</w:t>
      </w:r>
    </w:p>
    <w:p w14:paraId="708CB437" w14:textId="77777777" w:rsidR="002F3609" w:rsidRPr="003D20F4" w:rsidRDefault="002F3609">
      <w:pPr>
        <w:pStyle w:val="jose"/>
        <w:ind w:left="0" w:right="0"/>
        <w:rPr>
          <w:rFonts w:ascii="Arial" w:hAnsi="Arial" w:cs="Arial"/>
          <w:szCs w:val="22"/>
        </w:rPr>
      </w:pPr>
    </w:p>
    <w:p w14:paraId="60EA8E1A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Los valores consignados en monedas distintas al dólar norteamericano son convertidos a la moneda estadounidense, según el tipo de cambio promedio ponderado de venta, publicado por la Superintendencia de Banca y Seguros, vigente a la fecha de numeración de la declaración para importar y para la exportación la fecha que consigna el término de embarque.</w:t>
      </w:r>
    </w:p>
    <w:p w14:paraId="215A597C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22279BF4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Los valores (FOB, CIF) globales están expresados en mil</w:t>
      </w:r>
      <w:r w:rsidR="0003281A" w:rsidRPr="003D20F4">
        <w:rPr>
          <w:rFonts w:ascii="Arial" w:hAnsi="Arial" w:cs="Arial"/>
          <w:szCs w:val="22"/>
        </w:rPr>
        <w:t>lones</w:t>
      </w:r>
      <w:r w:rsidRPr="003D20F4">
        <w:rPr>
          <w:rFonts w:ascii="Arial" w:hAnsi="Arial" w:cs="Arial"/>
          <w:szCs w:val="22"/>
        </w:rPr>
        <w:t xml:space="preserve"> de dólares, considerando dos decimales.</w:t>
      </w:r>
    </w:p>
    <w:p w14:paraId="64969211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7F6E7961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 xml:space="preserve">Respecto de los criterios de valoración adoptados por la SUNAT, con la aplicación plena del Acuerdo de Valoración de la Organización Mundial del Comercio, el valor en Aduana se establece </w:t>
      </w:r>
      <w:r w:rsidR="00757CE3" w:rsidRPr="003D20F4">
        <w:rPr>
          <w:rFonts w:ascii="Arial" w:hAnsi="Arial" w:cs="Arial"/>
          <w:szCs w:val="22"/>
        </w:rPr>
        <w:t>de acuerdo con el</w:t>
      </w:r>
      <w:r w:rsidRPr="003D20F4">
        <w:rPr>
          <w:rFonts w:ascii="Arial" w:hAnsi="Arial" w:cs="Arial"/>
          <w:szCs w:val="22"/>
        </w:rPr>
        <w:t xml:space="preserve"> valor de las transacciones de las mercancías importadas.</w:t>
      </w:r>
    </w:p>
    <w:p w14:paraId="4C336AF5" w14:textId="77777777" w:rsidR="001217A3" w:rsidRDefault="001217A3">
      <w:pPr>
        <w:pStyle w:val="jose"/>
        <w:ind w:left="283" w:right="0" w:hanging="283"/>
        <w:rPr>
          <w:rFonts w:ascii="Arial" w:hAnsi="Arial" w:cs="Arial"/>
          <w:szCs w:val="22"/>
        </w:rPr>
      </w:pPr>
    </w:p>
    <w:p w14:paraId="6B9B286C" w14:textId="77777777" w:rsidR="0086241B" w:rsidRDefault="0086241B">
      <w:pPr>
        <w:pStyle w:val="jose"/>
        <w:ind w:left="283" w:right="0" w:hanging="283"/>
        <w:rPr>
          <w:rFonts w:ascii="Arial" w:hAnsi="Arial" w:cs="Arial"/>
          <w:szCs w:val="22"/>
        </w:rPr>
      </w:pPr>
    </w:p>
    <w:p w14:paraId="3A6A94E5" w14:textId="77777777" w:rsidR="0086241B" w:rsidRPr="003D20F4" w:rsidRDefault="0086241B">
      <w:pPr>
        <w:pStyle w:val="jose"/>
        <w:ind w:left="283" w:right="0" w:hanging="283"/>
        <w:rPr>
          <w:rFonts w:ascii="Arial" w:hAnsi="Arial" w:cs="Arial"/>
          <w:szCs w:val="22"/>
        </w:rPr>
      </w:pPr>
    </w:p>
    <w:p w14:paraId="25DEF121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b/>
          <w:szCs w:val="22"/>
        </w:rPr>
        <w:t>G. Otras Consideraciones</w:t>
      </w:r>
    </w:p>
    <w:p w14:paraId="74D553F4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3702B718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 xml:space="preserve">En las estadísticas desagregadas de los regímenes de importación para el consumo y exportación definitiva, los pesos NETO o BRUTO se expresan en kilogramos, considerando dos decimales. </w:t>
      </w:r>
    </w:p>
    <w:p w14:paraId="7E36EC81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1C1C1A6F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  <w:r w:rsidRPr="003D20F4">
        <w:rPr>
          <w:rFonts w:ascii="Arial" w:hAnsi="Arial" w:cs="Arial"/>
          <w:szCs w:val="22"/>
        </w:rPr>
        <w:t>La SUNAT publica lo referente a las importaciones según el país de origen. Para el caso de las exportaciones se clasifica según el país de destino, lo que se determina en el momento del embarque.</w:t>
      </w:r>
    </w:p>
    <w:p w14:paraId="7D2EDAAE" w14:textId="77777777" w:rsidR="001217A3" w:rsidRPr="003D20F4" w:rsidRDefault="001217A3">
      <w:pPr>
        <w:pStyle w:val="jose"/>
        <w:ind w:left="0" w:right="0"/>
        <w:rPr>
          <w:rFonts w:ascii="Arial" w:hAnsi="Arial" w:cs="Arial"/>
          <w:szCs w:val="22"/>
        </w:rPr>
      </w:pPr>
    </w:p>
    <w:p w14:paraId="0988348F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4955026D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5D4AFD71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20E9BCD5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41FDF69E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46EAF0ED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3E2992A8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5BEC19B6" w14:textId="77777777" w:rsidR="001217A3" w:rsidRPr="003D20F4" w:rsidRDefault="001217A3">
      <w:pPr>
        <w:pStyle w:val="jose"/>
        <w:ind w:left="0" w:right="335"/>
        <w:rPr>
          <w:rFonts w:ascii="Arial" w:hAnsi="Arial" w:cs="Arial"/>
          <w:szCs w:val="22"/>
        </w:rPr>
      </w:pPr>
    </w:p>
    <w:p w14:paraId="0BA33D6D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10783E11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6FF1BFE1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285B134D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49002E7D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2704501F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6B827F83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0862C505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502D112E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6BF8ECAC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479C6FF4" w14:textId="77777777" w:rsidR="001217A3" w:rsidRPr="003D20F4" w:rsidRDefault="001217A3">
      <w:pPr>
        <w:pStyle w:val="jose"/>
        <w:ind w:left="284" w:right="0"/>
        <w:jc w:val="left"/>
        <w:rPr>
          <w:rFonts w:ascii="Arial" w:hAnsi="Arial" w:cs="Arial"/>
          <w:szCs w:val="22"/>
        </w:rPr>
      </w:pPr>
    </w:p>
    <w:p w14:paraId="577FCC04" w14:textId="77777777" w:rsidR="001217A3" w:rsidRPr="003D20F4" w:rsidRDefault="001217A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sectPr w:rsidR="001217A3" w:rsidRPr="003D20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D36E" w14:textId="77777777" w:rsidR="005119F3" w:rsidRDefault="005119F3" w:rsidP="00A776E5">
      <w:r>
        <w:separator/>
      </w:r>
    </w:p>
  </w:endnote>
  <w:endnote w:type="continuationSeparator" w:id="0">
    <w:p w14:paraId="3BF899D3" w14:textId="77777777" w:rsidR="005119F3" w:rsidRDefault="005119F3" w:rsidP="00A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460B" w14:textId="77777777" w:rsidR="00A35256" w:rsidRDefault="00A35256">
    <w:pPr>
      <w:pStyle w:val="Piedepgina"/>
    </w:pPr>
  </w:p>
  <w:p w14:paraId="31D1E046" w14:textId="77777777" w:rsidR="00A35256" w:rsidRPr="00FD24B4" w:rsidRDefault="00A35256" w:rsidP="00A35256">
    <w:pPr>
      <w:pStyle w:val="Piedepgina"/>
      <w:pBdr>
        <w:top w:val="single" w:sz="6" w:space="1" w:color="auto"/>
      </w:pBdr>
      <w:rPr>
        <w:rFonts w:ascii="Arial" w:hAnsi="Arial" w:cs="Arial"/>
        <w:sz w:val="18"/>
        <w:szCs w:val="18"/>
      </w:rPr>
    </w:pPr>
    <w:bookmarkStart w:id="0" w:name="_Hlk157523382"/>
    <w:r w:rsidRPr="00FD24B4">
      <w:rPr>
        <w:rFonts w:ascii="Arial" w:hAnsi="Arial" w:cs="Arial"/>
        <w:sz w:val="18"/>
        <w:szCs w:val="18"/>
      </w:rPr>
      <w:t>SUNAT</w:t>
    </w:r>
  </w:p>
  <w:bookmarkEnd w:id="0"/>
  <w:p w14:paraId="5B95B3D2" w14:textId="77777777" w:rsidR="00A35256" w:rsidRDefault="00A35256">
    <w:pPr>
      <w:pStyle w:val="Piedepgina"/>
    </w:pPr>
  </w:p>
  <w:p w14:paraId="192069B1" w14:textId="77777777" w:rsidR="00A35256" w:rsidRDefault="00A35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10FFA" w14:textId="77777777" w:rsidR="005119F3" w:rsidRDefault="005119F3" w:rsidP="00A776E5">
      <w:r>
        <w:separator/>
      </w:r>
    </w:p>
  </w:footnote>
  <w:footnote w:type="continuationSeparator" w:id="0">
    <w:p w14:paraId="7F3FFAEA" w14:textId="77777777" w:rsidR="005119F3" w:rsidRDefault="005119F3" w:rsidP="00A7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5367B" w14:textId="77777777" w:rsidR="00A776E5" w:rsidRPr="00A776E5" w:rsidRDefault="00A776E5" w:rsidP="00A776E5">
    <w:pPr>
      <w:pStyle w:val="Encabezado"/>
      <w:pBdr>
        <w:bottom w:val="single" w:sz="6" w:space="1" w:color="auto"/>
      </w:pBdr>
      <w:rPr>
        <w:rFonts w:ascii="Arial" w:hAnsi="Arial" w:cs="Arial"/>
        <w:sz w:val="18"/>
        <w:szCs w:val="18"/>
      </w:rPr>
    </w:pPr>
    <w:r w:rsidRPr="00A776E5">
      <w:rPr>
        <w:rFonts w:ascii="Arial" w:hAnsi="Arial" w:cs="Arial"/>
        <w:b/>
        <w:sz w:val="18"/>
        <w:szCs w:val="18"/>
      </w:rPr>
      <w:t>Anuario Estadístico 2021</w:t>
    </w:r>
  </w:p>
  <w:p w14:paraId="4597C6AE" w14:textId="77777777" w:rsidR="00A776E5" w:rsidRDefault="00A776E5">
    <w:pPr>
      <w:pStyle w:val="Encabezado"/>
    </w:pPr>
  </w:p>
  <w:p w14:paraId="6AADCB50" w14:textId="77777777" w:rsidR="00A776E5" w:rsidRDefault="00A77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2933180">
    <w:abstractNumId w:val="3"/>
  </w:num>
  <w:num w:numId="2" w16cid:durableId="340813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983715">
    <w:abstractNumId w:val="0"/>
  </w:num>
  <w:num w:numId="4" w16cid:durableId="540363674">
    <w:abstractNumId w:val="0"/>
  </w:num>
  <w:num w:numId="5" w16cid:durableId="574046216">
    <w:abstractNumId w:val="0"/>
    <w:lvlOverride w:ilvl="0"/>
  </w:num>
  <w:num w:numId="6" w16cid:durableId="1069185745">
    <w:abstractNumId w:val="1"/>
  </w:num>
  <w:num w:numId="7" w16cid:durableId="20334102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9897887">
    <w:abstractNumId w:val="2"/>
  </w:num>
  <w:num w:numId="9" w16cid:durableId="13469765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03281A"/>
    <w:rsid w:val="000A459C"/>
    <w:rsid w:val="00105739"/>
    <w:rsid w:val="001217A3"/>
    <w:rsid w:val="001405F1"/>
    <w:rsid w:val="00191215"/>
    <w:rsid w:val="001C7B79"/>
    <w:rsid w:val="002F3609"/>
    <w:rsid w:val="0039491B"/>
    <w:rsid w:val="003D20F4"/>
    <w:rsid w:val="00493236"/>
    <w:rsid w:val="004E37FC"/>
    <w:rsid w:val="005119F3"/>
    <w:rsid w:val="00757CE3"/>
    <w:rsid w:val="0086241B"/>
    <w:rsid w:val="008C6DEA"/>
    <w:rsid w:val="00A35256"/>
    <w:rsid w:val="00A776E5"/>
    <w:rsid w:val="00D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134630"/>
  <w15:chartTrackingRefBased/>
  <w15:docId w15:val="{3018DAC4-228C-42F8-A4EF-E583515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2025-06-06T19:59:00Z</dcterms:created>
  <dcterms:modified xsi:type="dcterms:W3CDTF">2025-06-06T19:59:00Z</dcterms:modified>
</cp:coreProperties>
</file>