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BB2A1" w14:textId="01B0AC0A" w:rsidR="009C6CC9" w:rsidRDefault="00CC3DDA" w:rsidP="00CC3DDA">
      <w:pPr>
        <w:spacing w:before="480" w:after="480"/>
        <w:jc w:val="center"/>
        <w:rPr>
          <w:rFonts w:ascii="Arial" w:hAnsi="Arial" w:cs="Arial"/>
          <w:b/>
        </w:rPr>
      </w:pPr>
      <w:r w:rsidRPr="00CC3DDA">
        <w:rPr>
          <w:rFonts w:ascii="Arial" w:hAnsi="Arial" w:cs="Arial"/>
          <w:b/>
        </w:rPr>
        <w:t>PRESENTACIÓN</w:t>
      </w:r>
    </w:p>
    <w:p w14:paraId="4DBA3A5F" w14:textId="77777777" w:rsidR="00CC3DDA" w:rsidRDefault="00CC3DDA" w:rsidP="00CC3DDA">
      <w:pPr>
        <w:spacing w:after="240"/>
        <w:jc w:val="both"/>
        <w:rPr>
          <w:rFonts w:ascii="Arial" w:hAnsi="Arial" w:cs="Arial"/>
        </w:rPr>
      </w:pPr>
      <w:r>
        <w:rPr>
          <w:rFonts w:ascii="Arial" w:hAnsi="Arial" w:cs="Arial"/>
        </w:rPr>
        <w:t>El año 2022 la actividad económica continúo recuperándose después de la pandemia (COVID-19) en línea con el entorno internacional favorable, el intercambio comercial del país con el resto del mundo fue positivo, el valor de las exportaciones superó a las importaciones a pesar de que esta última creció en mayor proporción que las exportaciones.</w:t>
      </w:r>
    </w:p>
    <w:p w14:paraId="4C538C65" w14:textId="77777777" w:rsidR="00CC3DDA" w:rsidRDefault="00CC3DDA" w:rsidP="00CC3DDA">
      <w:pPr>
        <w:spacing w:after="240"/>
        <w:jc w:val="both"/>
        <w:rPr>
          <w:rFonts w:ascii="Arial" w:hAnsi="Arial" w:cs="Arial"/>
        </w:rPr>
      </w:pPr>
      <w:r>
        <w:rPr>
          <w:rFonts w:ascii="Arial" w:hAnsi="Arial" w:cs="Arial"/>
        </w:rPr>
        <w:t>Teniendo en cuenta, que el comercio internacional del país con el resto del mundo tiene cada año mayor relevancia en la economía, resulta indispensable disponer de información estadística oportuna y confiable, con el objetivo de proporcionar elementos de juicio adecuado para su análisis.</w:t>
      </w:r>
    </w:p>
    <w:p w14:paraId="2DB6B36A" w14:textId="77777777" w:rsidR="00CC3DDA" w:rsidRDefault="00CC3DDA" w:rsidP="00CC3DDA">
      <w:pPr>
        <w:spacing w:after="240"/>
        <w:jc w:val="both"/>
        <w:rPr>
          <w:rFonts w:ascii="Arial" w:hAnsi="Arial" w:cs="Arial"/>
        </w:rPr>
      </w:pPr>
      <w:r>
        <w:rPr>
          <w:rFonts w:ascii="Arial" w:hAnsi="Arial" w:cs="Arial"/>
        </w:rPr>
        <w:t>SUNAT a través de su Portal, dispone para los diversos agentes económicos y público en general el "Anuario Estadístico de Comercio Exterior 2022".</w:t>
      </w:r>
    </w:p>
    <w:p w14:paraId="02EAC242" w14:textId="77777777" w:rsidR="00CC3DDA" w:rsidRDefault="00CC3DDA" w:rsidP="00CC3DDA">
      <w:pPr>
        <w:spacing w:after="240"/>
        <w:jc w:val="both"/>
        <w:rPr>
          <w:rFonts w:ascii="Arial" w:hAnsi="Arial" w:cs="Arial"/>
        </w:rPr>
      </w:pPr>
      <w:r>
        <w:rPr>
          <w:rFonts w:ascii="Arial" w:hAnsi="Arial" w:cs="Arial"/>
        </w:rPr>
        <w:t>El documento está subdividido en dos partes. La primera comprende los aspectos metodológicos, comentarios sobre el comportamiento del comercio exterior de bienes, así como, las estadísticas agregadas; mientras que la segunda está referida al cuerpo del documento, donde se desagregan las estadísticas de los regímenes de importación para el consumo y exportación definitiva.</w:t>
      </w:r>
    </w:p>
    <w:p w14:paraId="284909CC" w14:textId="77777777" w:rsidR="00CC3DDA" w:rsidRDefault="00CC3DDA" w:rsidP="00CC3DDA">
      <w:pPr>
        <w:spacing w:after="240"/>
        <w:jc w:val="both"/>
        <w:rPr>
          <w:rFonts w:ascii="Arial" w:hAnsi="Arial" w:cs="Arial"/>
        </w:rPr>
      </w:pPr>
      <w:r>
        <w:rPr>
          <w:rFonts w:ascii="Arial" w:hAnsi="Arial" w:cs="Arial"/>
        </w:rPr>
        <w:t>Con la presentación del "Anuario Estadístico de Comercio Exterior 2022", la SUNAT contribuye sobre el conocimiento de la evolución del Comercio Exterior del país, esperando se convierta en un documento de consulta permanente.</w:t>
      </w:r>
    </w:p>
    <w:p w14:paraId="2DA8DB61" w14:textId="15099C7E" w:rsidR="00CC3DDA" w:rsidRPr="00CC3DDA" w:rsidRDefault="00CC3DDA" w:rsidP="00CC3DDA">
      <w:pPr>
        <w:spacing w:before="1560" w:after="0"/>
        <w:jc w:val="right"/>
        <w:rPr>
          <w:rFonts w:ascii="Arial" w:hAnsi="Arial" w:cs="Arial"/>
        </w:rPr>
      </w:pPr>
      <w:r>
        <w:rPr>
          <w:rFonts w:ascii="Arial" w:hAnsi="Arial" w:cs="Arial"/>
        </w:rPr>
        <w:t>Lima, noviembre 2024</w:t>
      </w:r>
    </w:p>
    <w:sectPr w:rsidR="00CC3DDA" w:rsidRPr="00CC3DDA" w:rsidSect="00CC3DDA">
      <w:headerReference w:type="even" r:id="rId6"/>
      <w:headerReference w:type="default" r:id="rId7"/>
      <w:footerReference w:type="even" r:id="rId8"/>
      <w:footerReference w:type="default" r:id="rId9"/>
      <w:headerReference w:type="first" r:id="rId10"/>
      <w:footerReference w:type="first" r:id="rId11"/>
      <w:pgSz w:w="11906" w:h="16838"/>
      <w:pgMar w:top="1417" w:right="1984" w:bottom="1417" w:left="19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665C0" w14:textId="77777777" w:rsidR="00CC3DDA" w:rsidRDefault="00CC3DDA" w:rsidP="00CC3DDA">
      <w:pPr>
        <w:spacing w:after="0" w:line="240" w:lineRule="auto"/>
      </w:pPr>
      <w:r>
        <w:separator/>
      </w:r>
    </w:p>
  </w:endnote>
  <w:endnote w:type="continuationSeparator" w:id="0">
    <w:p w14:paraId="655F3670" w14:textId="77777777" w:rsidR="00CC3DDA" w:rsidRDefault="00CC3DDA" w:rsidP="00CC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09B8" w14:textId="77777777" w:rsidR="00CC3DDA" w:rsidRDefault="00CC3D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E52E" w14:textId="1647CCFE" w:rsidR="00CC3DDA" w:rsidRPr="00CC3DDA" w:rsidRDefault="00CC3DDA" w:rsidP="00CC3DDA">
    <w:pPr>
      <w:pStyle w:val="Piedepgina"/>
      <w:pBdr>
        <w:top w:val="single" w:sz="4" w:space="1" w:color="000000"/>
      </w:pBdr>
      <w:rPr>
        <w:rFonts w:ascii="Arial" w:hAnsi="Arial" w:cs="Arial"/>
        <w:sz w:val="18"/>
      </w:rPr>
    </w:pPr>
    <w:r w:rsidRPr="00CC3DDA">
      <w:rPr>
        <w:rFonts w:ascii="Arial" w:hAnsi="Arial" w:cs="Arial"/>
        <w:sz w:val="18"/>
      </w:rPr>
      <w:t>SUNAT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D560" w14:textId="77777777" w:rsidR="00CC3DDA" w:rsidRDefault="00CC3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DAE1E" w14:textId="77777777" w:rsidR="00CC3DDA" w:rsidRDefault="00CC3DDA" w:rsidP="00CC3DDA">
      <w:pPr>
        <w:spacing w:after="0" w:line="240" w:lineRule="auto"/>
      </w:pPr>
      <w:r>
        <w:separator/>
      </w:r>
    </w:p>
  </w:footnote>
  <w:footnote w:type="continuationSeparator" w:id="0">
    <w:p w14:paraId="071DC6CF" w14:textId="77777777" w:rsidR="00CC3DDA" w:rsidRDefault="00CC3DDA" w:rsidP="00CC3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6DF0" w14:textId="77777777" w:rsidR="00CC3DDA" w:rsidRDefault="00CC3D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867F" w14:textId="1DDE82E4" w:rsidR="00CC3DDA" w:rsidRPr="00CC3DDA" w:rsidRDefault="00CC3DDA" w:rsidP="00CC3DDA">
    <w:pPr>
      <w:pStyle w:val="Encabezado"/>
      <w:pBdr>
        <w:bottom w:val="single" w:sz="4" w:space="1" w:color="000000"/>
      </w:pBdr>
      <w:rPr>
        <w:rFonts w:ascii="Arial" w:hAnsi="Arial" w:cs="Arial"/>
        <w:b/>
        <w:sz w:val="18"/>
      </w:rPr>
    </w:pPr>
    <w:r w:rsidRPr="00CC3DDA">
      <w:rPr>
        <w:rFonts w:ascii="Arial" w:hAnsi="Arial" w:cs="Arial"/>
        <w:b/>
        <w:sz w:val="18"/>
      </w:rPr>
      <w:t>Anuario Estadístico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17BE" w14:textId="77777777" w:rsidR="00CC3DDA" w:rsidRDefault="00CC3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DA"/>
    <w:rsid w:val="009C6CC9"/>
    <w:rsid w:val="00CC3D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783B"/>
  <w15:chartTrackingRefBased/>
  <w15:docId w15:val="{B12697F7-F5DD-4123-8D57-4F8C493C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3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3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3D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3D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3D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3D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3D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3D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3D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D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3D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3D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3D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3D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3D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3D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3D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3DDA"/>
    <w:rPr>
      <w:rFonts w:eastAsiaTheme="majorEastAsia" w:cstheme="majorBidi"/>
      <w:color w:val="272727" w:themeColor="text1" w:themeTint="D8"/>
    </w:rPr>
  </w:style>
  <w:style w:type="paragraph" w:styleId="Ttulo">
    <w:name w:val="Title"/>
    <w:basedOn w:val="Normal"/>
    <w:next w:val="Normal"/>
    <w:link w:val="TtuloCar"/>
    <w:uiPriority w:val="10"/>
    <w:qFormat/>
    <w:rsid w:val="00CC3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3D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3D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3D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3DDA"/>
    <w:pPr>
      <w:spacing w:before="160"/>
      <w:jc w:val="center"/>
    </w:pPr>
    <w:rPr>
      <w:i/>
      <w:iCs/>
      <w:color w:val="404040" w:themeColor="text1" w:themeTint="BF"/>
    </w:rPr>
  </w:style>
  <w:style w:type="character" w:customStyle="1" w:styleId="CitaCar">
    <w:name w:val="Cita Car"/>
    <w:basedOn w:val="Fuentedeprrafopredeter"/>
    <w:link w:val="Cita"/>
    <w:uiPriority w:val="29"/>
    <w:rsid w:val="00CC3DDA"/>
    <w:rPr>
      <w:i/>
      <w:iCs/>
      <w:color w:val="404040" w:themeColor="text1" w:themeTint="BF"/>
    </w:rPr>
  </w:style>
  <w:style w:type="paragraph" w:styleId="Prrafodelista">
    <w:name w:val="List Paragraph"/>
    <w:basedOn w:val="Normal"/>
    <w:uiPriority w:val="34"/>
    <w:qFormat/>
    <w:rsid w:val="00CC3DDA"/>
    <w:pPr>
      <w:ind w:left="720"/>
      <w:contextualSpacing/>
    </w:pPr>
  </w:style>
  <w:style w:type="character" w:styleId="nfasisintenso">
    <w:name w:val="Intense Emphasis"/>
    <w:basedOn w:val="Fuentedeprrafopredeter"/>
    <w:uiPriority w:val="21"/>
    <w:qFormat/>
    <w:rsid w:val="00CC3DDA"/>
    <w:rPr>
      <w:i/>
      <w:iCs/>
      <w:color w:val="0F4761" w:themeColor="accent1" w:themeShade="BF"/>
    </w:rPr>
  </w:style>
  <w:style w:type="paragraph" w:styleId="Citadestacada">
    <w:name w:val="Intense Quote"/>
    <w:basedOn w:val="Normal"/>
    <w:next w:val="Normal"/>
    <w:link w:val="CitadestacadaCar"/>
    <w:uiPriority w:val="30"/>
    <w:qFormat/>
    <w:rsid w:val="00CC3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3DDA"/>
    <w:rPr>
      <w:i/>
      <w:iCs/>
      <w:color w:val="0F4761" w:themeColor="accent1" w:themeShade="BF"/>
    </w:rPr>
  </w:style>
  <w:style w:type="character" w:styleId="Referenciaintensa">
    <w:name w:val="Intense Reference"/>
    <w:basedOn w:val="Fuentedeprrafopredeter"/>
    <w:uiPriority w:val="32"/>
    <w:qFormat/>
    <w:rsid w:val="00CC3DDA"/>
    <w:rPr>
      <w:b/>
      <w:bCs/>
      <w:smallCaps/>
      <w:color w:val="0F4761" w:themeColor="accent1" w:themeShade="BF"/>
      <w:spacing w:val="5"/>
    </w:rPr>
  </w:style>
  <w:style w:type="paragraph" w:styleId="Encabezado">
    <w:name w:val="header"/>
    <w:basedOn w:val="Normal"/>
    <w:link w:val="EncabezadoCar"/>
    <w:uiPriority w:val="99"/>
    <w:unhideWhenUsed/>
    <w:rsid w:val="00CC3D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DDA"/>
  </w:style>
  <w:style w:type="paragraph" w:styleId="Piedepgina">
    <w:name w:val="footer"/>
    <w:basedOn w:val="Normal"/>
    <w:link w:val="PiedepginaCar"/>
    <w:uiPriority w:val="99"/>
    <w:unhideWhenUsed/>
    <w:rsid w:val="00CC3D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1199</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Chavez Oscar Alonso - Practicante</dc:creator>
  <cp:keywords/>
  <dc:description/>
  <cp:lastModifiedBy>Flores Chavez Oscar Alonso - Practicante</cp:lastModifiedBy>
  <cp:revision>1</cp:revision>
  <dcterms:created xsi:type="dcterms:W3CDTF">2024-11-08T14:02:00Z</dcterms:created>
  <dcterms:modified xsi:type="dcterms:W3CDTF">2024-11-08T14:02:00Z</dcterms:modified>
</cp:coreProperties>
</file>