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2EA0" w:rsidRPr="00D02EA0" w:rsidRDefault="00D02EA0" w:rsidP="00D02EA0">
      <w:pPr>
        <w:spacing w:before="100" w:beforeAutospacing="1" w:after="100" w:afterAutospacing="1" w:line="240" w:lineRule="auto"/>
        <w:jc w:val="center"/>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MATERIAL DE GUERRA</w:t>
      </w:r>
      <w:r w:rsidRPr="00D02EA0">
        <w:rPr>
          <w:rFonts w:ascii="Verdana" w:eastAsia="Times New Roman" w:hAnsi="Verdana" w:cs="Times New Roman"/>
          <w:b/>
          <w:bCs/>
          <w:sz w:val="15"/>
          <w:szCs w:val="15"/>
          <w:lang w:eastAsia="es-PE"/>
        </w:rPr>
        <w:br/>
      </w:r>
      <w:r w:rsidRPr="00D02EA0">
        <w:rPr>
          <w:rFonts w:ascii="Verdana" w:eastAsia="Times New Roman" w:hAnsi="Verdana" w:cs="Times New Roman"/>
          <w:b/>
          <w:bCs/>
          <w:color w:val="800000"/>
          <w:sz w:val="15"/>
          <w:szCs w:val="15"/>
          <w:lang w:eastAsia="es-PE"/>
        </w:rPr>
        <w:t>PROCEDIMIENTO GENERAL</w:t>
      </w:r>
    </w:p>
    <w:tbl>
      <w:tblPr>
        <w:tblW w:w="4900" w:type="pct"/>
        <w:jc w:val="center"/>
        <w:tblCellSpacing w:w="0" w:type="dxa"/>
        <w:tblCellMar>
          <w:left w:w="0" w:type="dxa"/>
          <w:right w:w="0" w:type="dxa"/>
        </w:tblCellMar>
        <w:tblLook w:val="04A0" w:firstRow="1" w:lastRow="0" w:firstColumn="1" w:lastColumn="0" w:noHBand="0" w:noVBand="1"/>
      </w:tblPr>
      <w:tblGrid>
        <w:gridCol w:w="8334"/>
      </w:tblGrid>
      <w:tr w:rsidR="00D02EA0" w:rsidRPr="00D02EA0" w:rsidTr="00D02EA0">
        <w:trPr>
          <w:tblCellSpacing w:w="0" w:type="dxa"/>
          <w:jc w:val="center"/>
        </w:trPr>
        <w:tc>
          <w:tcPr>
            <w:tcW w:w="5000" w:type="pct"/>
            <w:vAlign w:val="center"/>
            <w:hideMark/>
          </w:tcPr>
          <w:tbl>
            <w:tblPr>
              <w:tblW w:w="4900" w:type="pct"/>
              <w:jc w:val="center"/>
              <w:tblCellSpacing w:w="15" w:type="dxa"/>
              <w:shd w:val="clear" w:color="auto" w:fill="DEEBFF"/>
              <w:tblCellMar>
                <w:top w:w="15" w:type="dxa"/>
                <w:left w:w="15" w:type="dxa"/>
                <w:bottom w:w="15" w:type="dxa"/>
                <w:right w:w="15" w:type="dxa"/>
              </w:tblCellMar>
              <w:tblLook w:val="04A0" w:firstRow="1" w:lastRow="0" w:firstColumn="1" w:lastColumn="0" w:noHBand="0" w:noVBand="1"/>
            </w:tblPr>
            <w:tblGrid>
              <w:gridCol w:w="2370"/>
              <w:gridCol w:w="2034"/>
              <w:gridCol w:w="1714"/>
              <w:gridCol w:w="2049"/>
            </w:tblGrid>
            <w:tr w:rsidR="00D02EA0" w:rsidRPr="00D02EA0">
              <w:trPr>
                <w:tblCellSpacing w:w="15" w:type="dxa"/>
                <w:jc w:val="center"/>
              </w:trPr>
              <w:tc>
                <w:tcPr>
                  <w:tcW w:w="1450" w:type="pct"/>
                  <w:shd w:val="clear" w:color="auto" w:fill="DEEBFF"/>
                  <w:vAlign w:val="center"/>
                  <w:hideMark/>
                </w:tcPr>
                <w:p w:rsidR="00D02EA0" w:rsidRPr="00D02EA0" w:rsidRDefault="00D02EA0" w:rsidP="00D02EA0">
                  <w:pPr>
                    <w:spacing w:after="0" w:line="240" w:lineRule="auto"/>
                    <w:jc w:val="center"/>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pict/>
                  </w:r>
                  <w:hyperlink r:id="rId6" w:tgtFrame="_parent" w:history="1">
                    <w:r w:rsidRPr="00D02EA0">
                      <w:rPr>
                        <w:rFonts w:ascii="Verdana" w:eastAsia="Times New Roman" w:hAnsi="Verdana" w:cs="Times New Roman"/>
                        <w:color w:val="000080"/>
                        <w:sz w:val="15"/>
                        <w:szCs w:val="15"/>
                        <w:lang w:eastAsia="es-PE"/>
                      </w:rPr>
                      <w:t>Procedimiento General</w:t>
                    </w:r>
                  </w:hyperlink>
                </w:p>
              </w:tc>
              <w:tc>
                <w:tcPr>
                  <w:tcW w:w="1250" w:type="pct"/>
                  <w:shd w:val="clear" w:color="auto" w:fill="DEEBFF"/>
                  <w:vAlign w:val="center"/>
                  <w:hideMark/>
                </w:tcPr>
                <w:p w:rsidR="00D02EA0" w:rsidRPr="00D02EA0" w:rsidRDefault="00D02EA0" w:rsidP="00D02EA0">
                  <w:pPr>
                    <w:spacing w:after="0" w:line="240" w:lineRule="auto"/>
                    <w:jc w:val="center"/>
                    <w:rPr>
                      <w:rFonts w:ascii="Verdana" w:eastAsia="Times New Roman" w:hAnsi="Verdana" w:cs="Times New Roman"/>
                      <w:sz w:val="15"/>
                      <w:szCs w:val="15"/>
                      <w:lang w:eastAsia="es-PE"/>
                    </w:rPr>
                  </w:pPr>
                  <w:hyperlink r:id="rId7" w:tgtFrame="_self" w:history="1">
                    <w:proofErr w:type="spellStart"/>
                    <w:r w:rsidRPr="00D02EA0">
                      <w:rPr>
                        <w:rFonts w:ascii="Verdana" w:eastAsia="Times New Roman" w:hAnsi="Verdana" w:cs="Times New Roman"/>
                        <w:color w:val="000080"/>
                        <w:sz w:val="15"/>
                        <w:szCs w:val="15"/>
                        <w:lang w:eastAsia="es-PE"/>
                      </w:rPr>
                      <w:t>Proced</w:t>
                    </w:r>
                    <w:proofErr w:type="spellEnd"/>
                    <w:r w:rsidRPr="00D02EA0">
                      <w:rPr>
                        <w:rFonts w:ascii="Verdana" w:eastAsia="Times New Roman" w:hAnsi="Verdana" w:cs="Times New Roman"/>
                        <w:color w:val="000080"/>
                        <w:sz w:val="15"/>
                        <w:szCs w:val="15"/>
                        <w:lang w:eastAsia="es-PE"/>
                      </w:rPr>
                      <w:t>. Específico</w:t>
                    </w:r>
                  </w:hyperlink>
                </w:p>
              </w:tc>
              <w:tc>
                <w:tcPr>
                  <w:tcW w:w="1050" w:type="pct"/>
                  <w:shd w:val="clear" w:color="auto" w:fill="DEEBFF"/>
                  <w:vAlign w:val="center"/>
                  <w:hideMark/>
                </w:tcPr>
                <w:p w:rsidR="00D02EA0" w:rsidRPr="00D02EA0" w:rsidRDefault="00D02EA0" w:rsidP="00D02EA0">
                  <w:pPr>
                    <w:spacing w:after="0" w:line="240" w:lineRule="auto"/>
                    <w:jc w:val="center"/>
                    <w:rPr>
                      <w:rFonts w:ascii="Verdana" w:eastAsia="Times New Roman" w:hAnsi="Verdana" w:cs="Times New Roman"/>
                      <w:sz w:val="15"/>
                      <w:szCs w:val="15"/>
                      <w:lang w:eastAsia="es-PE"/>
                    </w:rPr>
                  </w:pPr>
                  <w:hyperlink r:id="rId8" w:tgtFrame="_self" w:history="1">
                    <w:r w:rsidRPr="00D02EA0">
                      <w:rPr>
                        <w:rFonts w:ascii="Verdana" w:eastAsia="Times New Roman" w:hAnsi="Verdana" w:cs="Times New Roman"/>
                        <w:color w:val="000080"/>
                        <w:sz w:val="15"/>
                        <w:szCs w:val="15"/>
                        <w:lang w:eastAsia="es-PE"/>
                      </w:rPr>
                      <w:t>Instructivos</w:t>
                    </w:r>
                  </w:hyperlink>
                </w:p>
              </w:tc>
              <w:tc>
                <w:tcPr>
                  <w:tcW w:w="1250" w:type="pct"/>
                  <w:shd w:val="clear" w:color="auto" w:fill="DEEBFF"/>
                  <w:vAlign w:val="center"/>
                  <w:hideMark/>
                </w:tcPr>
                <w:p w:rsidR="00D02EA0" w:rsidRPr="00D02EA0" w:rsidRDefault="00D02EA0" w:rsidP="00D02EA0">
                  <w:pPr>
                    <w:spacing w:after="0" w:line="240" w:lineRule="auto"/>
                    <w:jc w:val="center"/>
                    <w:rPr>
                      <w:rFonts w:ascii="Verdana" w:eastAsia="Times New Roman" w:hAnsi="Verdana" w:cs="Times New Roman"/>
                      <w:sz w:val="15"/>
                      <w:szCs w:val="15"/>
                      <w:lang w:eastAsia="es-PE"/>
                    </w:rPr>
                  </w:pPr>
                  <w:r w:rsidRPr="00D02EA0">
                    <w:rPr>
                      <w:rFonts w:ascii="Verdana" w:eastAsia="Times New Roman" w:hAnsi="Verdana" w:cs="Times New Roman"/>
                      <w:noProof/>
                      <w:color w:val="000080"/>
                      <w:sz w:val="15"/>
                      <w:szCs w:val="15"/>
                      <w:lang w:eastAsia="es-PE"/>
                    </w:rPr>
                    <w:drawing>
                      <wp:inline distT="0" distB="0" distL="0" distR="0" wp14:anchorId="6332B2FC" wp14:editId="4C219882">
                        <wp:extent cx="204470" cy="191135"/>
                        <wp:effectExtent l="0" t="0" r="5080" b="0"/>
                        <wp:docPr id="2" name="Imagen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 cy="191135"/>
                                </a:xfrm>
                                <a:prstGeom prst="rect">
                                  <a:avLst/>
                                </a:prstGeom>
                                <a:noFill/>
                                <a:ln>
                                  <a:noFill/>
                                </a:ln>
                              </pic:spPr>
                            </pic:pic>
                          </a:graphicData>
                        </a:graphic>
                      </wp:inline>
                    </w:drawing>
                  </w:r>
                </w:p>
              </w:tc>
            </w:tr>
          </w:tbl>
          <w:p w:rsidR="00D02EA0" w:rsidRPr="00D02EA0" w:rsidRDefault="00D02EA0" w:rsidP="00D02EA0">
            <w:pPr>
              <w:spacing w:after="0" w:line="240" w:lineRule="auto"/>
              <w:jc w:val="center"/>
              <w:rPr>
                <w:rFonts w:ascii="Verdana" w:eastAsia="Times New Roman" w:hAnsi="Verdana" w:cs="Times New Roman"/>
                <w:sz w:val="15"/>
                <w:szCs w:val="15"/>
                <w:lang w:eastAsia="es-PE"/>
              </w:rPr>
            </w:pPr>
          </w:p>
        </w:tc>
      </w:tr>
    </w:tbl>
    <w:p w:rsidR="00D02EA0" w:rsidRPr="00D02EA0" w:rsidRDefault="00D02EA0" w:rsidP="00D02EA0">
      <w:pPr>
        <w:spacing w:after="0"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8504"/>
      </w:tblGrid>
      <w:tr w:rsidR="00D02EA0" w:rsidRPr="00D02EA0" w:rsidTr="00D02EA0">
        <w:trPr>
          <w:tblCellSpacing w:w="0" w:type="dxa"/>
          <w:jc w:val="center"/>
        </w:trPr>
        <w:tc>
          <w:tcPr>
            <w:tcW w:w="5000" w:type="pct"/>
            <w:vAlign w:val="center"/>
            <w:hideMark/>
          </w:tcPr>
          <w:tbl>
            <w:tblPr>
              <w:tblW w:w="5000" w:type="pct"/>
              <w:tblCellSpacing w:w="7" w:type="dxa"/>
              <w:shd w:val="clear" w:color="auto" w:fill="336699"/>
              <w:tblCellMar>
                <w:left w:w="0" w:type="dxa"/>
                <w:right w:w="0" w:type="dxa"/>
              </w:tblCellMar>
              <w:tblLook w:val="04A0" w:firstRow="1" w:lastRow="0" w:firstColumn="1" w:lastColumn="0" w:noHBand="0" w:noVBand="1"/>
            </w:tblPr>
            <w:tblGrid>
              <w:gridCol w:w="8504"/>
            </w:tblGrid>
            <w:tr w:rsidR="00D02EA0" w:rsidRPr="00D02EA0">
              <w:trPr>
                <w:tblCellSpacing w:w="7" w:type="dxa"/>
              </w:trPr>
              <w:tc>
                <w:tcPr>
                  <w:tcW w:w="5000" w:type="pct"/>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814"/>
                    <w:gridCol w:w="2543"/>
                    <w:gridCol w:w="2119"/>
                  </w:tblGrid>
                  <w:tr w:rsidR="00D02EA0" w:rsidRPr="00D02EA0">
                    <w:trPr>
                      <w:tblCellSpacing w:w="0" w:type="dxa"/>
                    </w:trPr>
                    <w:tc>
                      <w:tcPr>
                        <w:tcW w:w="2250" w:type="pct"/>
                        <w:hideMark/>
                      </w:tcPr>
                      <w:tbl>
                        <w:tblPr>
                          <w:tblW w:w="4900" w:type="pct"/>
                          <w:jc w:val="center"/>
                          <w:tblCellSpacing w:w="15" w:type="dxa"/>
                          <w:tblCellMar>
                            <w:left w:w="0" w:type="dxa"/>
                            <w:right w:w="0" w:type="dxa"/>
                          </w:tblCellMar>
                          <w:tblLook w:val="04A0" w:firstRow="1" w:lastRow="0" w:firstColumn="1" w:lastColumn="0" w:noHBand="0" w:noVBand="1"/>
                        </w:tblPr>
                        <w:tblGrid>
                          <w:gridCol w:w="1659"/>
                          <w:gridCol w:w="2020"/>
                        </w:tblGrid>
                        <w:tr w:rsidR="00D02EA0" w:rsidRPr="00D02EA0">
                          <w:trPr>
                            <w:tblCellSpacing w:w="15" w:type="dxa"/>
                            <w:jc w:val="center"/>
                          </w:trPr>
                          <w:tc>
                            <w:tcPr>
                              <w:tcW w:w="2500" w:type="pct"/>
                              <w:shd w:val="clear" w:color="auto" w:fill="E1E4E8"/>
                              <w:hideMark/>
                            </w:tcPr>
                            <w:p w:rsidR="00D02EA0" w:rsidRPr="00D02EA0" w:rsidRDefault="00D02EA0" w:rsidP="00D02EA0">
                              <w:pPr>
                                <w:spacing w:after="0" w:line="240" w:lineRule="auto"/>
                                <w:rPr>
                                  <w:rFonts w:ascii="Verdana" w:eastAsia="Times New Roman" w:hAnsi="Verdana" w:cs="Times New Roman"/>
                                  <w:sz w:val="15"/>
                                  <w:szCs w:val="15"/>
                                  <w:lang w:eastAsia="es-PE"/>
                                </w:rPr>
                              </w:pPr>
                              <w:proofErr w:type="spellStart"/>
                              <w:r w:rsidRPr="00D02EA0">
                                <w:rPr>
                                  <w:rFonts w:ascii="Verdana" w:eastAsia="Times New Roman" w:hAnsi="Verdana" w:cs="Times New Roman"/>
                                  <w:b/>
                                  <w:bCs/>
                                  <w:sz w:val="15"/>
                                  <w:szCs w:val="15"/>
                                  <w:lang w:eastAsia="es-PE"/>
                                </w:rPr>
                                <w:t>Proc</w:t>
                              </w:r>
                              <w:proofErr w:type="spellEnd"/>
                              <w:r w:rsidRPr="00D02EA0">
                                <w:rPr>
                                  <w:rFonts w:ascii="Verdana" w:eastAsia="Times New Roman" w:hAnsi="Verdana" w:cs="Times New Roman"/>
                                  <w:b/>
                                  <w:bCs/>
                                  <w:sz w:val="15"/>
                                  <w:szCs w:val="15"/>
                                  <w:lang w:eastAsia="es-PE"/>
                                </w:rPr>
                                <w:t>:</w:t>
                              </w:r>
                              <w:r w:rsidRPr="00D02EA0">
                                <w:rPr>
                                  <w:rFonts w:ascii="Verdana" w:eastAsia="Times New Roman" w:hAnsi="Verdana" w:cs="Times New Roman"/>
                                  <w:sz w:val="15"/>
                                  <w:szCs w:val="15"/>
                                  <w:lang w:eastAsia="es-PE"/>
                                </w:rPr>
                                <w:t xml:space="preserve"> </w:t>
                              </w:r>
                              <w:r w:rsidRPr="00D02EA0">
                                <w:rPr>
                                  <w:rFonts w:ascii="Verdana" w:eastAsia="Times New Roman" w:hAnsi="Verdana" w:cs="Times New Roman"/>
                                  <w:b/>
                                  <w:bCs/>
                                  <w:color w:val="FF0000"/>
                                  <w:sz w:val="15"/>
                                  <w:szCs w:val="15"/>
                                  <w:lang w:eastAsia="es-PE"/>
                                </w:rPr>
                                <w:t>DESPA-PG.20</w:t>
                              </w:r>
                            </w:p>
                          </w:tc>
                          <w:tc>
                            <w:tcPr>
                              <w:tcW w:w="2500" w:type="pct"/>
                              <w:shd w:val="clear" w:color="auto" w:fill="E1E4E8"/>
                              <w:vAlign w:val="center"/>
                              <w:hideMark/>
                            </w:tcPr>
                            <w:p w:rsidR="00D02EA0" w:rsidRPr="00D02EA0" w:rsidRDefault="00D02EA0" w:rsidP="00D02EA0">
                              <w:pPr>
                                <w:spacing w:after="0"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Material de Guerra</w:t>
                              </w:r>
                            </w:p>
                          </w:tc>
                        </w:tr>
                        <w:tr w:rsidR="00D02EA0" w:rsidRPr="00D02EA0">
                          <w:trPr>
                            <w:tblCellSpacing w:w="15" w:type="dxa"/>
                            <w:jc w:val="center"/>
                          </w:trPr>
                          <w:tc>
                            <w:tcPr>
                              <w:tcW w:w="2500" w:type="pct"/>
                              <w:hideMark/>
                            </w:tcPr>
                            <w:p w:rsidR="00D02EA0" w:rsidRPr="00D02EA0" w:rsidRDefault="00D02EA0" w:rsidP="00D02EA0">
                              <w:pPr>
                                <w:spacing w:after="0"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Vigencia:</w:t>
                              </w:r>
                              <w:r w:rsidRPr="00D02EA0">
                                <w:rPr>
                                  <w:rFonts w:ascii="Verdana" w:eastAsia="Times New Roman" w:hAnsi="Verdana" w:cs="Times New Roman"/>
                                  <w:sz w:val="15"/>
                                  <w:szCs w:val="15"/>
                                  <w:lang w:eastAsia="es-PE"/>
                                </w:rPr>
                                <w:t xml:space="preserve"> 15/12/98</w:t>
                              </w:r>
                            </w:p>
                          </w:tc>
                          <w:tc>
                            <w:tcPr>
                              <w:tcW w:w="2500" w:type="pct"/>
                              <w:vAlign w:val="center"/>
                              <w:hideMark/>
                            </w:tcPr>
                            <w:p w:rsidR="00D02EA0" w:rsidRPr="00D02EA0" w:rsidRDefault="00D02EA0" w:rsidP="00D02EA0">
                              <w:pPr>
                                <w:spacing w:after="0"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Publicación:</w:t>
                              </w:r>
                              <w:r w:rsidRPr="00D02EA0">
                                <w:rPr>
                                  <w:rFonts w:ascii="Verdana" w:eastAsia="Times New Roman" w:hAnsi="Verdana" w:cs="Times New Roman"/>
                                  <w:sz w:val="15"/>
                                  <w:szCs w:val="15"/>
                                  <w:lang w:eastAsia="es-PE"/>
                                </w:rPr>
                                <w:t xml:space="preserve">  </w:t>
                              </w:r>
                              <w:r w:rsidRPr="00D02EA0">
                                <w:rPr>
                                  <w:rFonts w:ascii="Verdana" w:eastAsia="Times New Roman" w:hAnsi="Verdana" w:cs="Times New Roman"/>
                                  <w:b/>
                                  <w:bCs/>
                                  <w:sz w:val="15"/>
                                  <w:szCs w:val="15"/>
                                  <w:lang w:eastAsia="es-PE"/>
                                </w:rPr>
                                <w:t>07/12/98</w:t>
                              </w:r>
                            </w:p>
                          </w:tc>
                        </w:tr>
                        <w:tr w:rsidR="00D02EA0" w:rsidRPr="00D02EA0">
                          <w:trPr>
                            <w:tblCellSpacing w:w="15" w:type="dxa"/>
                            <w:jc w:val="center"/>
                          </w:trPr>
                          <w:tc>
                            <w:tcPr>
                              <w:tcW w:w="2500" w:type="pct"/>
                              <w:hideMark/>
                            </w:tcPr>
                            <w:p w:rsidR="00D02EA0" w:rsidRPr="00D02EA0" w:rsidRDefault="00D02EA0" w:rsidP="00D02EA0">
                              <w:pPr>
                                <w:spacing w:after="0"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Resolución:</w:t>
                              </w:r>
                              <w:r w:rsidRPr="00D02EA0">
                                <w:rPr>
                                  <w:rFonts w:ascii="Verdana" w:eastAsia="Times New Roman" w:hAnsi="Verdana" w:cs="Times New Roman"/>
                                  <w:sz w:val="15"/>
                                  <w:szCs w:val="15"/>
                                  <w:lang w:eastAsia="es-PE"/>
                                </w:rPr>
                                <w:t xml:space="preserve"> 002126</w:t>
                              </w:r>
                            </w:p>
                          </w:tc>
                          <w:tc>
                            <w:tcPr>
                              <w:tcW w:w="2500" w:type="pct"/>
                              <w:vAlign w:val="center"/>
                              <w:hideMark/>
                            </w:tcPr>
                            <w:p w:rsidR="00D02EA0" w:rsidRPr="00D02EA0" w:rsidRDefault="00D02EA0" w:rsidP="00D02EA0">
                              <w:pPr>
                                <w:spacing w:after="0"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 xml:space="preserve">Fecha Res.: 04/12/98 </w:t>
                              </w:r>
                            </w:p>
                          </w:tc>
                        </w:tr>
                        <w:tr w:rsidR="00D02EA0" w:rsidRPr="00D02EA0">
                          <w:trPr>
                            <w:tblCellSpacing w:w="15" w:type="dxa"/>
                            <w:jc w:val="center"/>
                          </w:trPr>
                          <w:tc>
                            <w:tcPr>
                              <w:tcW w:w="5000" w:type="pct"/>
                              <w:gridSpan w:val="2"/>
                              <w:hideMark/>
                            </w:tcPr>
                            <w:p w:rsidR="00D02EA0" w:rsidRPr="00D02EA0" w:rsidRDefault="00D02EA0" w:rsidP="00D02EA0">
                              <w:pPr>
                                <w:spacing w:after="0" w:line="240" w:lineRule="auto"/>
                                <w:rPr>
                                  <w:rFonts w:ascii="Verdana" w:eastAsia="Times New Roman" w:hAnsi="Verdana" w:cs="Times New Roman"/>
                                  <w:sz w:val="15"/>
                                  <w:szCs w:val="15"/>
                                  <w:lang w:eastAsia="es-PE"/>
                                </w:rPr>
                              </w:pPr>
                            </w:p>
                          </w:tc>
                        </w:tr>
                      </w:tbl>
                      <w:p w:rsidR="00D02EA0" w:rsidRPr="00D02EA0" w:rsidRDefault="00D02EA0" w:rsidP="00D02EA0">
                        <w:pPr>
                          <w:spacing w:after="0" w:line="240" w:lineRule="auto"/>
                          <w:jc w:val="center"/>
                          <w:rPr>
                            <w:rFonts w:ascii="Verdana" w:eastAsia="Times New Roman" w:hAnsi="Verdana" w:cs="Times New Roman"/>
                            <w:sz w:val="15"/>
                            <w:szCs w:val="15"/>
                            <w:lang w:eastAsia="es-PE"/>
                          </w:rPr>
                        </w:pPr>
                      </w:p>
                    </w:tc>
                    <w:tc>
                      <w:tcPr>
                        <w:tcW w:w="1500" w:type="pct"/>
                        <w:hideMark/>
                      </w:tcPr>
                      <w:tbl>
                        <w:tblPr>
                          <w:tblW w:w="4900" w:type="pct"/>
                          <w:jc w:val="center"/>
                          <w:tblCellSpacing w:w="15" w:type="dxa"/>
                          <w:tblCellMar>
                            <w:left w:w="0" w:type="dxa"/>
                            <w:right w:w="0" w:type="dxa"/>
                          </w:tblCellMar>
                          <w:tblLook w:val="04A0" w:firstRow="1" w:lastRow="0" w:firstColumn="1" w:lastColumn="0" w:noHBand="0" w:noVBand="1"/>
                        </w:tblPr>
                        <w:tblGrid>
                          <w:gridCol w:w="2433"/>
                        </w:tblGrid>
                        <w:tr w:rsidR="00D02EA0" w:rsidRPr="00D02EA0">
                          <w:trPr>
                            <w:tblCellSpacing w:w="15" w:type="dxa"/>
                            <w:jc w:val="center"/>
                          </w:trPr>
                          <w:tc>
                            <w:tcPr>
                              <w:tcW w:w="5000" w:type="pct"/>
                              <w:shd w:val="clear" w:color="auto" w:fill="E1E4E8"/>
                              <w:vAlign w:val="center"/>
                              <w:hideMark/>
                            </w:tcPr>
                            <w:p w:rsidR="00D02EA0" w:rsidRPr="00D02EA0" w:rsidRDefault="00D02EA0" w:rsidP="00D02EA0">
                              <w:pPr>
                                <w:spacing w:after="0"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Versión:</w:t>
                              </w:r>
                              <w:r w:rsidRPr="00D02EA0">
                                <w:rPr>
                                  <w:rFonts w:ascii="Verdana" w:eastAsia="Times New Roman" w:hAnsi="Verdana" w:cs="Times New Roman"/>
                                  <w:sz w:val="15"/>
                                  <w:szCs w:val="15"/>
                                  <w:lang w:eastAsia="es-PE"/>
                                </w:rPr>
                                <w:t xml:space="preserve">  1</w:t>
                              </w:r>
                            </w:p>
                          </w:tc>
                        </w:tr>
                        <w:tr w:rsidR="00D02EA0" w:rsidRPr="00D02EA0">
                          <w:trPr>
                            <w:tblCellSpacing w:w="15" w:type="dxa"/>
                            <w:jc w:val="center"/>
                          </w:trPr>
                          <w:tc>
                            <w:tcPr>
                              <w:tcW w:w="5000" w:type="pct"/>
                              <w:vAlign w:val="center"/>
                              <w:hideMark/>
                            </w:tcPr>
                            <w:p w:rsidR="00D02EA0" w:rsidRPr="00D02EA0" w:rsidRDefault="00D02EA0" w:rsidP="00D02EA0">
                              <w:pPr>
                                <w:spacing w:after="0"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Circulares: </w:t>
                              </w:r>
                              <w:r w:rsidRPr="00D02EA0">
                                <w:rPr>
                                  <w:rFonts w:ascii="Verdana" w:eastAsia="Times New Roman" w:hAnsi="Verdana" w:cs="Times New Roman"/>
                                  <w:sz w:val="15"/>
                                  <w:szCs w:val="15"/>
                                  <w:lang w:eastAsia="es-PE"/>
                                </w:rPr>
                                <w:t xml:space="preserve"> </w:t>
                              </w:r>
                              <w:hyperlink r:id="rId11" w:history="1">
                                <w:r w:rsidRPr="00D02EA0">
                                  <w:rPr>
                                    <w:rFonts w:ascii="Verdana" w:eastAsia="Times New Roman" w:hAnsi="Verdana" w:cs="Times New Roman"/>
                                    <w:color w:val="000080"/>
                                    <w:sz w:val="15"/>
                                    <w:szCs w:val="15"/>
                                    <w:lang w:eastAsia="es-PE"/>
                                  </w:rPr>
                                  <w:t>Anexas</w:t>
                                </w:r>
                              </w:hyperlink>
                            </w:p>
                          </w:tc>
                        </w:tr>
                        <w:tr w:rsidR="00D02EA0" w:rsidRPr="00D02EA0">
                          <w:trPr>
                            <w:tblCellSpacing w:w="15" w:type="dxa"/>
                            <w:jc w:val="center"/>
                          </w:trPr>
                          <w:tc>
                            <w:tcPr>
                              <w:tcW w:w="5000" w:type="pct"/>
                              <w:vAlign w:val="center"/>
                              <w:hideMark/>
                            </w:tcPr>
                            <w:p w:rsidR="00D02EA0" w:rsidRPr="00D02EA0" w:rsidRDefault="00D02EA0" w:rsidP="00D02EA0">
                              <w:pPr>
                                <w:spacing w:after="0"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Lista: </w:t>
                              </w:r>
                              <w:r w:rsidRPr="00D02EA0">
                                <w:rPr>
                                  <w:rFonts w:ascii="Verdana" w:eastAsia="Times New Roman" w:hAnsi="Verdana" w:cs="Times New Roman"/>
                                  <w:b/>
                                  <w:bCs/>
                                  <w:color w:val="800000"/>
                                  <w:sz w:val="15"/>
                                  <w:szCs w:val="15"/>
                                  <w:lang w:eastAsia="es-PE"/>
                                </w:rPr>
                                <w:t>Complementaria</w:t>
                              </w:r>
                            </w:p>
                          </w:tc>
                        </w:tr>
                      </w:tbl>
                      <w:p w:rsidR="00D02EA0" w:rsidRPr="00D02EA0" w:rsidRDefault="00D02EA0" w:rsidP="00D02EA0">
                        <w:pPr>
                          <w:spacing w:after="0" w:line="240" w:lineRule="auto"/>
                          <w:jc w:val="center"/>
                          <w:rPr>
                            <w:rFonts w:ascii="Verdana" w:eastAsia="Times New Roman" w:hAnsi="Verdana" w:cs="Times New Roman"/>
                            <w:sz w:val="15"/>
                            <w:szCs w:val="15"/>
                            <w:lang w:eastAsia="es-PE"/>
                          </w:rPr>
                        </w:pPr>
                      </w:p>
                    </w:tc>
                    <w:tc>
                      <w:tcPr>
                        <w:tcW w:w="1250" w:type="pct"/>
                        <w:hideMark/>
                      </w:tcPr>
                      <w:tbl>
                        <w:tblPr>
                          <w:tblW w:w="4800" w:type="pct"/>
                          <w:jc w:val="center"/>
                          <w:tblCellSpacing w:w="7" w:type="dxa"/>
                          <w:shd w:val="clear" w:color="auto" w:fill="336699"/>
                          <w:tblCellMar>
                            <w:left w:w="0" w:type="dxa"/>
                            <w:right w:w="0" w:type="dxa"/>
                          </w:tblCellMar>
                          <w:tblLook w:val="04A0" w:firstRow="1" w:lastRow="0" w:firstColumn="1" w:lastColumn="0" w:noHBand="0" w:noVBand="1"/>
                        </w:tblPr>
                        <w:tblGrid>
                          <w:gridCol w:w="1977"/>
                        </w:tblGrid>
                        <w:tr w:rsidR="00D02EA0" w:rsidRPr="00D02EA0">
                          <w:trPr>
                            <w:tblCellSpacing w:w="7" w:type="dxa"/>
                            <w:jc w:val="center"/>
                          </w:trPr>
                          <w:tc>
                            <w:tcPr>
                              <w:tcW w:w="5000" w:type="pct"/>
                              <w:shd w:val="clear" w:color="auto" w:fill="FFFFFF"/>
                              <w:vAlign w:val="center"/>
                              <w:hideMark/>
                            </w:tcPr>
                            <w:p w:rsidR="00D02EA0" w:rsidRPr="00D02EA0" w:rsidRDefault="00D02EA0" w:rsidP="00D02EA0">
                              <w:pPr>
                                <w:spacing w:before="100" w:beforeAutospacing="1" w:after="100" w:afterAutospacing="1" w:line="240" w:lineRule="auto"/>
                                <w:jc w:val="center"/>
                                <w:rPr>
                                  <w:rFonts w:ascii="Verdana" w:eastAsia="Times New Roman" w:hAnsi="Verdana" w:cs="Times New Roman"/>
                                  <w:sz w:val="15"/>
                                  <w:szCs w:val="15"/>
                                  <w:lang w:eastAsia="es-PE"/>
                                </w:rPr>
                              </w:pPr>
                              <w:hyperlink r:id="rId12" w:tgtFrame="_self" w:history="1">
                                <w:r w:rsidRPr="00D02EA0">
                                  <w:rPr>
                                    <w:rFonts w:ascii="Verdana" w:eastAsia="Times New Roman" w:hAnsi="Verdana" w:cs="Times New Roman"/>
                                    <w:b/>
                                    <w:bCs/>
                                    <w:color w:val="000080"/>
                                    <w:sz w:val="15"/>
                                    <w:szCs w:val="15"/>
                                    <w:lang w:eastAsia="es-PE"/>
                                  </w:rPr>
                                  <w:t>Control de Cambios</w:t>
                                </w:r>
                              </w:hyperlink>
                            </w:p>
                          </w:tc>
                        </w:tr>
                      </w:tbl>
                      <w:p w:rsidR="00D02EA0" w:rsidRPr="00D02EA0" w:rsidRDefault="00D02EA0" w:rsidP="00D02EA0">
                        <w:pPr>
                          <w:spacing w:after="0" w:line="240" w:lineRule="auto"/>
                          <w:jc w:val="center"/>
                          <w:rPr>
                            <w:rFonts w:ascii="Verdana" w:eastAsia="Times New Roman" w:hAnsi="Verdana" w:cs="Times New Roman"/>
                            <w:sz w:val="15"/>
                            <w:szCs w:val="15"/>
                            <w:lang w:eastAsia="es-PE"/>
                          </w:rPr>
                        </w:pPr>
                      </w:p>
                    </w:tc>
                  </w:tr>
                </w:tbl>
                <w:p w:rsidR="00D02EA0" w:rsidRPr="00D02EA0" w:rsidRDefault="00D02EA0" w:rsidP="00D02EA0">
                  <w:pPr>
                    <w:spacing w:after="0" w:line="240" w:lineRule="auto"/>
                    <w:rPr>
                      <w:rFonts w:ascii="Verdana" w:eastAsia="Times New Roman" w:hAnsi="Verdana" w:cs="Times New Roman"/>
                      <w:sz w:val="15"/>
                      <w:szCs w:val="15"/>
                      <w:lang w:eastAsia="es-PE"/>
                    </w:rPr>
                  </w:pPr>
                </w:p>
              </w:tc>
            </w:tr>
          </w:tbl>
          <w:p w:rsidR="00D02EA0" w:rsidRPr="00D02EA0" w:rsidRDefault="00D02EA0" w:rsidP="00D02EA0">
            <w:pPr>
              <w:spacing w:after="0" w:line="240" w:lineRule="auto"/>
              <w:rPr>
                <w:rFonts w:ascii="Verdana" w:eastAsia="Times New Roman" w:hAnsi="Verdana" w:cs="Times New Roman"/>
                <w:vanish/>
                <w:sz w:val="15"/>
                <w:szCs w:val="15"/>
                <w:lang w:eastAsia="es-PE"/>
              </w:rPr>
            </w:pPr>
          </w:p>
          <w:tbl>
            <w:tblPr>
              <w:tblW w:w="4950" w:type="pct"/>
              <w:tblCellSpacing w:w="0" w:type="dxa"/>
              <w:tblCellMar>
                <w:left w:w="0" w:type="dxa"/>
                <w:right w:w="0" w:type="dxa"/>
              </w:tblCellMar>
              <w:tblLook w:val="04A0" w:firstRow="1" w:lastRow="0" w:firstColumn="1" w:lastColumn="0" w:noHBand="0" w:noVBand="1"/>
            </w:tblPr>
            <w:tblGrid>
              <w:gridCol w:w="8419"/>
            </w:tblGrid>
            <w:tr w:rsidR="00D02EA0" w:rsidRPr="00D02EA0">
              <w:trPr>
                <w:tblCellSpacing w:w="0" w:type="dxa"/>
              </w:trPr>
              <w:tc>
                <w:tcPr>
                  <w:tcW w:w="5000" w:type="pct"/>
                  <w:vAlign w:val="center"/>
                  <w:hideMark/>
                </w:tcPr>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I. OBJETIVO</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Establecer el procedimiento que se aplicará en la Importación y Exportación de Material de Guerra, con la finalidad de lograr el correcto cumplimiento de las normas que lo regulan.</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II. ALCANCE</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Está dirigido al personal de Aduanas, Despachadores de Aduana y personal autorizado del Ministerio de Defensa - Ejército del Perú, Fuerza Aérea del Perú y Marina de Guerra del Perú, y Ministerio del Interior - Policía Nacional del Perú.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III</w:t>
                  </w:r>
                  <w:r w:rsidRPr="00D02EA0">
                    <w:rPr>
                      <w:rFonts w:ascii="Verdana" w:eastAsia="Times New Roman" w:hAnsi="Verdana" w:cs="Times New Roman"/>
                      <w:sz w:val="15"/>
                      <w:szCs w:val="15"/>
                      <w:lang w:eastAsia="es-PE"/>
                    </w:rPr>
                    <w:t xml:space="preserve">. </w:t>
                  </w:r>
                  <w:r w:rsidRPr="00D02EA0">
                    <w:rPr>
                      <w:rFonts w:ascii="Verdana" w:eastAsia="Times New Roman" w:hAnsi="Verdana" w:cs="Times New Roman"/>
                      <w:b/>
                      <w:bCs/>
                      <w:sz w:val="15"/>
                      <w:szCs w:val="15"/>
                      <w:lang w:eastAsia="es-PE"/>
                    </w:rPr>
                    <w:t>RESPONSABILIDAD</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La aplicación, cumplimiento y seguimiento de lo establecido en el presente Procedimiento es de responsabilidad de las Intendencias de Aduana de la República y de la Intendencia Nacional de Técnica Aduanera respectivamente,</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IV. VIGENCIA</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A partir del 15 de </w:t>
                  </w:r>
                  <w:proofErr w:type="gramStart"/>
                  <w:r w:rsidRPr="00D02EA0">
                    <w:rPr>
                      <w:rFonts w:ascii="Verdana" w:eastAsia="Times New Roman" w:hAnsi="Verdana" w:cs="Times New Roman"/>
                      <w:sz w:val="15"/>
                      <w:szCs w:val="15"/>
                      <w:lang w:eastAsia="es-PE"/>
                    </w:rPr>
                    <w:t>Diciembre</w:t>
                  </w:r>
                  <w:proofErr w:type="gramEnd"/>
                  <w:r w:rsidRPr="00D02EA0">
                    <w:rPr>
                      <w:rFonts w:ascii="Verdana" w:eastAsia="Times New Roman" w:hAnsi="Verdana" w:cs="Times New Roman"/>
                      <w:sz w:val="15"/>
                      <w:szCs w:val="15"/>
                      <w:lang w:eastAsia="es-PE"/>
                    </w:rPr>
                    <w:t xml:space="preserve"> de 1,998.</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V. BASE LEGAL</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 Ley General de Aduanas, Decreto Legislativo </w:t>
                  </w:r>
                  <w:proofErr w:type="spellStart"/>
                  <w:r w:rsidRPr="00D02EA0">
                    <w:rPr>
                      <w:rFonts w:ascii="Verdana" w:eastAsia="Times New Roman" w:hAnsi="Verdana" w:cs="Times New Roman"/>
                      <w:sz w:val="15"/>
                      <w:szCs w:val="15"/>
                      <w:lang w:eastAsia="es-PE"/>
                    </w:rPr>
                    <w:t>N°</w:t>
                  </w:r>
                  <w:proofErr w:type="spellEnd"/>
                  <w:r w:rsidRPr="00D02EA0">
                    <w:rPr>
                      <w:rFonts w:ascii="Verdana" w:eastAsia="Times New Roman" w:hAnsi="Verdana" w:cs="Times New Roman"/>
                      <w:sz w:val="15"/>
                      <w:szCs w:val="15"/>
                      <w:lang w:eastAsia="es-PE"/>
                    </w:rPr>
                    <w:t xml:space="preserve"> 809 del 19.04,96 y su Reglamento aprobado por Decreto Supremo </w:t>
                  </w:r>
                  <w:proofErr w:type="spellStart"/>
                  <w:r w:rsidRPr="00D02EA0">
                    <w:rPr>
                      <w:rFonts w:ascii="Verdana" w:eastAsia="Times New Roman" w:hAnsi="Verdana" w:cs="Times New Roman"/>
                      <w:sz w:val="15"/>
                      <w:szCs w:val="15"/>
                      <w:lang w:eastAsia="es-PE"/>
                    </w:rPr>
                    <w:t>N°</w:t>
                  </w:r>
                  <w:proofErr w:type="spellEnd"/>
                  <w:r w:rsidRPr="00D02EA0">
                    <w:rPr>
                      <w:rFonts w:ascii="Verdana" w:eastAsia="Times New Roman" w:hAnsi="Verdana" w:cs="Times New Roman"/>
                      <w:sz w:val="15"/>
                      <w:szCs w:val="15"/>
                      <w:lang w:eastAsia="es-PE"/>
                    </w:rPr>
                    <w:t xml:space="preserve"> 121-96-EF del 24.12.96.</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t xml:space="preserve">- Tabla de Sanciones aplicables a las Infracciones previstas en la Ley General de Aduanas, aprobada por Decreto Supremo </w:t>
                  </w:r>
                  <w:proofErr w:type="spellStart"/>
                  <w:r w:rsidRPr="00D02EA0">
                    <w:rPr>
                      <w:rFonts w:ascii="Verdana" w:eastAsia="Times New Roman" w:hAnsi="Verdana" w:cs="Times New Roman"/>
                      <w:sz w:val="15"/>
                      <w:szCs w:val="15"/>
                      <w:lang w:eastAsia="es-PE"/>
                    </w:rPr>
                    <w:t>N°</w:t>
                  </w:r>
                  <w:proofErr w:type="spellEnd"/>
                  <w:r w:rsidRPr="00D02EA0">
                    <w:rPr>
                      <w:rFonts w:ascii="Verdana" w:eastAsia="Times New Roman" w:hAnsi="Verdana" w:cs="Times New Roman"/>
                      <w:sz w:val="15"/>
                      <w:szCs w:val="15"/>
                      <w:lang w:eastAsia="es-PE"/>
                    </w:rPr>
                    <w:t xml:space="preserve"> 122-96-El7 del 24,12.96.</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t xml:space="preserve">- Decreto Ley </w:t>
                  </w:r>
                  <w:proofErr w:type="spellStart"/>
                  <w:r w:rsidRPr="00D02EA0">
                    <w:rPr>
                      <w:rFonts w:ascii="Verdana" w:eastAsia="Times New Roman" w:hAnsi="Verdana" w:cs="Times New Roman"/>
                      <w:sz w:val="15"/>
                      <w:szCs w:val="15"/>
                      <w:lang w:eastAsia="es-PE"/>
                    </w:rPr>
                    <w:t>N°</w:t>
                  </w:r>
                  <w:proofErr w:type="spellEnd"/>
                  <w:r w:rsidRPr="00D02EA0">
                    <w:rPr>
                      <w:rFonts w:ascii="Verdana" w:eastAsia="Times New Roman" w:hAnsi="Verdana" w:cs="Times New Roman"/>
                      <w:sz w:val="15"/>
                      <w:szCs w:val="15"/>
                      <w:lang w:eastAsia="es-PE"/>
                    </w:rPr>
                    <w:t xml:space="preserve"> 14568 del 19,07.63, que otorga beneficios a la importación de Material de Guerra, su Reglamento aprobado por Decreto Supremo </w:t>
                  </w:r>
                  <w:proofErr w:type="spellStart"/>
                  <w:r w:rsidRPr="00D02EA0">
                    <w:rPr>
                      <w:rFonts w:ascii="Verdana" w:eastAsia="Times New Roman" w:hAnsi="Verdana" w:cs="Times New Roman"/>
                      <w:sz w:val="15"/>
                      <w:szCs w:val="15"/>
                      <w:lang w:eastAsia="es-PE"/>
                    </w:rPr>
                    <w:t>N°</w:t>
                  </w:r>
                  <w:proofErr w:type="spellEnd"/>
                  <w:r w:rsidRPr="00D02EA0">
                    <w:rPr>
                      <w:rFonts w:ascii="Verdana" w:eastAsia="Times New Roman" w:hAnsi="Verdana" w:cs="Times New Roman"/>
                      <w:sz w:val="15"/>
                      <w:szCs w:val="15"/>
                      <w:lang w:eastAsia="es-PE"/>
                    </w:rPr>
                    <w:t xml:space="preserve"> 299-90-EF del 09.11 -90 y sus normas modificatorias.</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t xml:space="preserve">- Ley de los Delitos Aduaneros, Ley </w:t>
                  </w:r>
                  <w:proofErr w:type="spellStart"/>
                  <w:r w:rsidRPr="00D02EA0">
                    <w:rPr>
                      <w:rFonts w:ascii="Verdana" w:eastAsia="Times New Roman" w:hAnsi="Verdana" w:cs="Times New Roman"/>
                      <w:sz w:val="15"/>
                      <w:szCs w:val="15"/>
                      <w:lang w:eastAsia="es-PE"/>
                    </w:rPr>
                    <w:t>N°</w:t>
                  </w:r>
                  <w:proofErr w:type="spellEnd"/>
                  <w:r w:rsidRPr="00D02EA0">
                    <w:rPr>
                      <w:rFonts w:ascii="Verdana" w:eastAsia="Times New Roman" w:hAnsi="Verdana" w:cs="Times New Roman"/>
                      <w:sz w:val="15"/>
                      <w:szCs w:val="15"/>
                      <w:lang w:eastAsia="es-PE"/>
                    </w:rPr>
                    <w:t xml:space="preserve"> 26461 del 08.06.95 y su Reglamento aprobado por Decreto Supremo </w:t>
                  </w:r>
                  <w:proofErr w:type="spellStart"/>
                  <w:r w:rsidRPr="00D02EA0">
                    <w:rPr>
                      <w:rFonts w:ascii="Verdana" w:eastAsia="Times New Roman" w:hAnsi="Verdana" w:cs="Times New Roman"/>
                      <w:sz w:val="15"/>
                      <w:szCs w:val="15"/>
                      <w:lang w:eastAsia="es-PE"/>
                    </w:rPr>
                    <w:t>N°</w:t>
                  </w:r>
                  <w:proofErr w:type="spellEnd"/>
                  <w:r w:rsidRPr="00D02EA0">
                    <w:rPr>
                      <w:rFonts w:ascii="Verdana" w:eastAsia="Times New Roman" w:hAnsi="Verdana" w:cs="Times New Roman"/>
                      <w:sz w:val="15"/>
                      <w:szCs w:val="15"/>
                      <w:lang w:eastAsia="es-PE"/>
                    </w:rPr>
                    <w:t xml:space="preserve"> 121-95-EF del 15.08.95.</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t xml:space="preserve">- Código Tributario, Decreto Legislativo </w:t>
                  </w:r>
                  <w:proofErr w:type="spellStart"/>
                  <w:r w:rsidRPr="00D02EA0">
                    <w:rPr>
                      <w:rFonts w:ascii="Verdana" w:eastAsia="Times New Roman" w:hAnsi="Verdana" w:cs="Times New Roman"/>
                      <w:sz w:val="15"/>
                      <w:szCs w:val="15"/>
                      <w:lang w:eastAsia="es-PE"/>
                    </w:rPr>
                    <w:t>N°</w:t>
                  </w:r>
                  <w:proofErr w:type="spellEnd"/>
                  <w:r w:rsidRPr="00D02EA0">
                    <w:rPr>
                      <w:rFonts w:ascii="Verdana" w:eastAsia="Times New Roman" w:hAnsi="Verdana" w:cs="Times New Roman"/>
                      <w:sz w:val="15"/>
                      <w:szCs w:val="15"/>
                      <w:lang w:eastAsia="es-PE"/>
                    </w:rPr>
                    <w:t xml:space="preserve"> 816 del 21.04.96.</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t xml:space="preserve">- Ley Orgánica y Estatuto de la Superintendencia Nacional de Aduanas, aprobados por Decreto Ley </w:t>
                  </w:r>
                  <w:proofErr w:type="spellStart"/>
                  <w:r w:rsidRPr="00D02EA0">
                    <w:rPr>
                      <w:rFonts w:ascii="Verdana" w:eastAsia="Times New Roman" w:hAnsi="Verdana" w:cs="Times New Roman"/>
                      <w:sz w:val="15"/>
                      <w:szCs w:val="15"/>
                      <w:lang w:eastAsia="es-PE"/>
                    </w:rPr>
                    <w:t>N°</w:t>
                  </w:r>
                  <w:proofErr w:type="spellEnd"/>
                  <w:r w:rsidRPr="00D02EA0">
                    <w:rPr>
                      <w:rFonts w:ascii="Verdana" w:eastAsia="Times New Roman" w:hAnsi="Verdana" w:cs="Times New Roman"/>
                      <w:sz w:val="15"/>
                      <w:szCs w:val="15"/>
                      <w:lang w:eastAsia="es-PE"/>
                    </w:rPr>
                    <w:t xml:space="preserve"> 26020 del 28,12.92 y Resolución de Superintendencia de Aduanas </w:t>
                  </w:r>
                  <w:proofErr w:type="spellStart"/>
                  <w:r w:rsidRPr="00D02EA0">
                    <w:rPr>
                      <w:rFonts w:ascii="Verdana" w:eastAsia="Times New Roman" w:hAnsi="Verdana" w:cs="Times New Roman"/>
                      <w:sz w:val="15"/>
                      <w:szCs w:val="15"/>
                      <w:lang w:eastAsia="es-PE"/>
                    </w:rPr>
                    <w:t>N°</w:t>
                  </w:r>
                  <w:proofErr w:type="spellEnd"/>
                  <w:r w:rsidRPr="00D02EA0">
                    <w:rPr>
                      <w:rFonts w:ascii="Verdana" w:eastAsia="Times New Roman" w:hAnsi="Verdana" w:cs="Times New Roman"/>
                      <w:sz w:val="15"/>
                      <w:szCs w:val="15"/>
                      <w:lang w:eastAsia="es-PE"/>
                    </w:rPr>
                    <w:t xml:space="preserve"> 0021-97 del 10.04.97 modificada por Resolución de Superintendencia de Aduanas </w:t>
                  </w:r>
                  <w:proofErr w:type="spellStart"/>
                  <w:r w:rsidRPr="00D02EA0">
                    <w:rPr>
                      <w:rFonts w:ascii="Verdana" w:eastAsia="Times New Roman" w:hAnsi="Verdana" w:cs="Times New Roman"/>
                      <w:sz w:val="15"/>
                      <w:szCs w:val="15"/>
                      <w:lang w:eastAsia="es-PE"/>
                    </w:rPr>
                    <w:t>N°</w:t>
                  </w:r>
                  <w:proofErr w:type="spellEnd"/>
                  <w:r w:rsidRPr="00D02EA0">
                    <w:rPr>
                      <w:rFonts w:ascii="Verdana" w:eastAsia="Times New Roman" w:hAnsi="Verdana" w:cs="Times New Roman"/>
                      <w:sz w:val="15"/>
                      <w:szCs w:val="15"/>
                      <w:lang w:eastAsia="es-PE"/>
                    </w:rPr>
                    <w:t xml:space="preserve"> 001591 del 20.06.97.</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t xml:space="preserve">- Ley de Simplificación Administrativa y su Reglamento, aprobados por Ley </w:t>
                  </w:r>
                  <w:proofErr w:type="spellStart"/>
                  <w:r w:rsidRPr="00D02EA0">
                    <w:rPr>
                      <w:rFonts w:ascii="Verdana" w:eastAsia="Times New Roman" w:hAnsi="Verdana" w:cs="Times New Roman"/>
                      <w:sz w:val="15"/>
                      <w:szCs w:val="15"/>
                      <w:lang w:eastAsia="es-PE"/>
                    </w:rPr>
                    <w:t>N°</w:t>
                  </w:r>
                  <w:proofErr w:type="spellEnd"/>
                  <w:r w:rsidRPr="00D02EA0">
                    <w:rPr>
                      <w:rFonts w:ascii="Verdana" w:eastAsia="Times New Roman" w:hAnsi="Verdana" w:cs="Times New Roman"/>
                      <w:sz w:val="15"/>
                      <w:szCs w:val="15"/>
                      <w:lang w:eastAsia="es-PE"/>
                    </w:rPr>
                    <w:t xml:space="preserve"> 25035 del 11.06.89 y Decreto Supremo </w:t>
                  </w:r>
                  <w:proofErr w:type="spellStart"/>
                  <w:r w:rsidRPr="00D02EA0">
                    <w:rPr>
                      <w:rFonts w:ascii="Verdana" w:eastAsia="Times New Roman" w:hAnsi="Verdana" w:cs="Times New Roman"/>
                      <w:sz w:val="15"/>
                      <w:szCs w:val="15"/>
                      <w:lang w:eastAsia="es-PE"/>
                    </w:rPr>
                    <w:t>N°</w:t>
                  </w:r>
                  <w:proofErr w:type="spellEnd"/>
                  <w:r w:rsidRPr="00D02EA0">
                    <w:rPr>
                      <w:rFonts w:ascii="Verdana" w:eastAsia="Times New Roman" w:hAnsi="Verdana" w:cs="Times New Roman"/>
                      <w:sz w:val="15"/>
                      <w:szCs w:val="15"/>
                      <w:lang w:eastAsia="es-PE"/>
                    </w:rPr>
                    <w:t xml:space="preserve"> 070-89-PCM del 02.09.89.</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t xml:space="preserve">- Ley de Normas Generales de Procedimientos Administrativos, cuyo Texto </w:t>
                  </w:r>
                  <w:proofErr w:type="spellStart"/>
                  <w:r w:rsidRPr="00D02EA0">
                    <w:rPr>
                      <w:rFonts w:ascii="Verdana" w:eastAsia="Times New Roman" w:hAnsi="Verdana" w:cs="Times New Roman"/>
                      <w:sz w:val="15"/>
                      <w:szCs w:val="15"/>
                      <w:lang w:eastAsia="es-PE"/>
                    </w:rPr>
                    <w:t>Unico</w:t>
                  </w:r>
                  <w:proofErr w:type="spellEnd"/>
                  <w:r w:rsidRPr="00D02EA0">
                    <w:rPr>
                      <w:rFonts w:ascii="Verdana" w:eastAsia="Times New Roman" w:hAnsi="Verdana" w:cs="Times New Roman"/>
                      <w:sz w:val="15"/>
                      <w:szCs w:val="15"/>
                      <w:lang w:eastAsia="es-PE"/>
                    </w:rPr>
                    <w:t xml:space="preserve"> Ordenado ha sido aprobado por D.S. </w:t>
                  </w:r>
                  <w:proofErr w:type="spellStart"/>
                  <w:r w:rsidRPr="00D02EA0">
                    <w:rPr>
                      <w:rFonts w:ascii="Verdana" w:eastAsia="Times New Roman" w:hAnsi="Verdana" w:cs="Times New Roman"/>
                      <w:sz w:val="15"/>
                      <w:szCs w:val="15"/>
                      <w:lang w:eastAsia="es-PE"/>
                    </w:rPr>
                    <w:t>N°</w:t>
                  </w:r>
                  <w:proofErr w:type="spellEnd"/>
                  <w:r w:rsidRPr="00D02EA0">
                    <w:rPr>
                      <w:rFonts w:ascii="Verdana" w:eastAsia="Times New Roman" w:hAnsi="Verdana" w:cs="Times New Roman"/>
                      <w:sz w:val="15"/>
                      <w:szCs w:val="15"/>
                      <w:lang w:eastAsia="es-PE"/>
                    </w:rPr>
                    <w:t xml:space="preserve"> 002-94-JUS del 31.01.94.</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r>
                  <w:r w:rsidRPr="00D02EA0">
                    <w:rPr>
                      <w:rFonts w:ascii="Verdana" w:eastAsia="Times New Roman" w:hAnsi="Verdana" w:cs="Times New Roman"/>
                      <w:b/>
                      <w:bCs/>
                      <w:sz w:val="15"/>
                      <w:szCs w:val="15"/>
                      <w:lang w:eastAsia="es-PE"/>
                    </w:rPr>
                    <w:t>VI. NORMAS GENERALES</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1. Las mercancías consideradas como Material de Guerra provenientes del </w:t>
                  </w:r>
                  <w:proofErr w:type="gramStart"/>
                  <w:r w:rsidRPr="00D02EA0">
                    <w:rPr>
                      <w:rFonts w:ascii="Verdana" w:eastAsia="Times New Roman" w:hAnsi="Verdana" w:cs="Times New Roman"/>
                      <w:sz w:val="15"/>
                      <w:szCs w:val="15"/>
                      <w:lang w:eastAsia="es-PE"/>
                    </w:rPr>
                    <w:t>extranjero,</w:t>
                  </w:r>
                  <w:proofErr w:type="gramEnd"/>
                  <w:r w:rsidRPr="00D02EA0">
                    <w:rPr>
                      <w:rFonts w:ascii="Verdana" w:eastAsia="Times New Roman" w:hAnsi="Verdana" w:cs="Times New Roman"/>
                      <w:sz w:val="15"/>
                      <w:szCs w:val="15"/>
                      <w:lang w:eastAsia="es-PE"/>
                    </w:rPr>
                    <w:t xml:space="preserve"> deberán estar destinadas al Ministerio de Defensa -Ejército Peruano, Fuerza Aérea del Perú, Marina de Guerra del Perú, Ministerio del Interior - Policía Nacional del Perú,</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r>
                  <w:r w:rsidRPr="00D02EA0">
                    <w:rPr>
                      <w:rFonts w:ascii="Verdana" w:eastAsia="Times New Roman" w:hAnsi="Verdana" w:cs="Times New Roman"/>
                      <w:strike/>
                      <w:sz w:val="15"/>
                      <w:szCs w:val="15"/>
                      <w:lang w:eastAsia="es-PE"/>
                    </w:rPr>
                    <w:t xml:space="preserve">2. La importación de Material de Guerra se encuentra </w:t>
                  </w:r>
                  <w:proofErr w:type="spellStart"/>
                  <w:r w:rsidRPr="00D02EA0">
                    <w:rPr>
                      <w:rFonts w:ascii="Verdana" w:eastAsia="Times New Roman" w:hAnsi="Verdana" w:cs="Times New Roman"/>
                      <w:strike/>
                      <w:sz w:val="15"/>
                      <w:szCs w:val="15"/>
                      <w:lang w:eastAsia="es-PE"/>
                    </w:rPr>
                    <w:t>inafecta</w:t>
                  </w:r>
                  <w:proofErr w:type="spellEnd"/>
                  <w:r w:rsidRPr="00D02EA0">
                    <w:rPr>
                      <w:rFonts w:ascii="Verdana" w:eastAsia="Times New Roman" w:hAnsi="Verdana" w:cs="Times New Roman"/>
                      <w:strike/>
                      <w:sz w:val="15"/>
                      <w:szCs w:val="15"/>
                      <w:lang w:eastAsia="es-PE"/>
                    </w:rPr>
                    <w:t xml:space="preserve"> al pago de tributos que gravan la importación en mérito a lo dispuesto en el Decreto Ley </w:t>
                  </w:r>
                  <w:proofErr w:type="spellStart"/>
                  <w:r w:rsidRPr="00D02EA0">
                    <w:rPr>
                      <w:rFonts w:ascii="Verdana" w:eastAsia="Times New Roman" w:hAnsi="Verdana" w:cs="Times New Roman"/>
                      <w:strike/>
                      <w:sz w:val="15"/>
                      <w:szCs w:val="15"/>
                      <w:lang w:eastAsia="es-PE"/>
                    </w:rPr>
                    <w:t>N°</w:t>
                  </w:r>
                  <w:proofErr w:type="spellEnd"/>
                  <w:r w:rsidRPr="00D02EA0">
                    <w:rPr>
                      <w:rFonts w:ascii="Verdana" w:eastAsia="Times New Roman" w:hAnsi="Verdana" w:cs="Times New Roman"/>
                      <w:strike/>
                      <w:sz w:val="15"/>
                      <w:szCs w:val="15"/>
                      <w:lang w:eastAsia="es-PE"/>
                    </w:rPr>
                    <w:t xml:space="preserve"> 14568</w:t>
                  </w:r>
                  <w:r w:rsidRPr="00D02EA0">
                    <w:rPr>
                      <w:rFonts w:ascii="Verdana" w:eastAsia="Times New Roman" w:hAnsi="Verdana" w:cs="Times New Roman"/>
                      <w:sz w:val="15"/>
                      <w:szCs w:val="15"/>
                      <w:lang w:eastAsia="es-PE"/>
                    </w:rPr>
                    <w:t xml:space="preserve">. </w:t>
                  </w:r>
                  <w:hyperlink r:id="rId13" w:history="1">
                    <w:r w:rsidRPr="00D02EA0">
                      <w:rPr>
                        <w:rFonts w:ascii="Verdana" w:eastAsia="Calibri" w:hAnsi="Verdana" w:cs="Times New Roman"/>
                        <w:i/>
                        <w:iCs/>
                        <w:color w:val="000080"/>
                        <w:sz w:val="15"/>
                        <w:szCs w:val="15"/>
                        <w:lang w:eastAsia="es-PE"/>
                      </w:rPr>
                      <w:t xml:space="preserve">Derogado por </w:t>
                    </w:r>
                    <w:proofErr w:type="gramStart"/>
                    <w:r w:rsidRPr="00D02EA0">
                      <w:rPr>
                        <w:rFonts w:ascii="Verdana" w:eastAsia="Calibri" w:hAnsi="Verdana" w:cs="Times New Roman"/>
                        <w:i/>
                        <w:iCs/>
                        <w:color w:val="000080"/>
                        <w:sz w:val="15"/>
                        <w:szCs w:val="15"/>
                        <w:lang w:eastAsia="es-PE"/>
                      </w:rPr>
                      <w:t xml:space="preserve">RS  </w:t>
                    </w:r>
                    <w:proofErr w:type="spellStart"/>
                    <w:r w:rsidRPr="00D02EA0">
                      <w:rPr>
                        <w:rFonts w:ascii="Verdana" w:eastAsia="Calibri" w:hAnsi="Verdana" w:cs="Times New Roman"/>
                        <w:i/>
                        <w:iCs/>
                        <w:color w:val="000080"/>
                        <w:sz w:val="15"/>
                        <w:szCs w:val="15"/>
                        <w:lang w:eastAsia="es-PE"/>
                      </w:rPr>
                      <w:t>N</w:t>
                    </w:r>
                    <w:proofErr w:type="gramEnd"/>
                    <w:r w:rsidRPr="00D02EA0">
                      <w:rPr>
                        <w:rFonts w:ascii="Verdana" w:eastAsia="Calibri" w:hAnsi="Verdana" w:cs="Times New Roman"/>
                        <w:i/>
                        <w:iCs/>
                        <w:color w:val="000080"/>
                        <w:sz w:val="15"/>
                        <w:szCs w:val="15"/>
                        <w:lang w:eastAsia="es-PE"/>
                      </w:rPr>
                      <w:t>°</w:t>
                    </w:r>
                    <w:proofErr w:type="spellEnd"/>
                    <w:r w:rsidRPr="00D02EA0">
                      <w:rPr>
                        <w:rFonts w:ascii="Verdana" w:eastAsia="Calibri" w:hAnsi="Verdana" w:cs="Times New Roman"/>
                        <w:i/>
                        <w:iCs/>
                        <w:color w:val="000080"/>
                        <w:sz w:val="15"/>
                        <w:szCs w:val="15"/>
                        <w:lang w:eastAsia="es-PE"/>
                      </w:rPr>
                      <w:t xml:space="preserve"> 0148-2020-SU</w:t>
                    </w:r>
                    <w:r w:rsidRPr="00D02EA0">
                      <w:rPr>
                        <w:rFonts w:ascii="Verdana" w:eastAsia="Calibri" w:hAnsi="Verdana" w:cs="Times New Roman"/>
                        <w:color w:val="000080"/>
                        <w:sz w:val="15"/>
                        <w:szCs w:val="15"/>
                        <w:lang w:eastAsia="es-PE"/>
                      </w:rPr>
                      <w:t xml:space="preserve">NAT-11.09.2020 </w:t>
                    </w:r>
                  </w:hyperlink>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t xml:space="preserve">3. La importación y exportación de Material de Guerra se solicitará mediante la Declaración de Material de Guerra (FORM. MAT. DE GUERRA-001) la cual debe ser llenada y firmada por el funcionario autorizado de la </w:t>
                  </w:r>
                  <w:proofErr w:type="spellStart"/>
                  <w:r w:rsidRPr="00D02EA0">
                    <w:rPr>
                      <w:rFonts w:ascii="Verdana" w:eastAsia="Times New Roman" w:hAnsi="Verdana" w:cs="Times New Roman"/>
                      <w:sz w:val="15"/>
                      <w:szCs w:val="15"/>
                      <w:lang w:eastAsia="es-PE"/>
                    </w:rPr>
                    <w:t>entídad</w:t>
                  </w:r>
                  <w:proofErr w:type="spellEnd"/>
                  <w:r w:rsidRPr="00D02EA0">
                    <w:rPr>
                      <w:rFonts w:ascii="Verdana" w:eastAsia="Times New Roman" w:hAnsi="Verdana" w:cs="Times New Roman"/>
                      <w:sz w:val="15"/>
                      <w:szCs w:val="15"/>
                      <w:lang w:eastAsia="es-PE"/>
                    </w:rPr>
                    <w:t xml:space="preserve"> que corresponda y su Despachador Oficial.</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4. El </w:t>
                  </w:r>
                  <w:proofErr w:type="spellStart"/>
                  <w:r w:rsidRPr="00D02EA0">
                    <w:rPr>
                      <w:rFonts w:ascii="Verdana" w:eastAsia="Times New Roman" w:hAnsi="Verdana" w:cs="Times New Roman"/>
                      <w:sz w:val="15"/>
                      <w:szCs w:val="15"/>
                      <w:lang w:eastAsia="es-PE"/>
                    </w:rPr>
                    <w:t>Area</w:t>
                  </w:r>
                  <w:proofErr w:type="spellEnd"/>
                  <w:r w:rsidRPr="00D02EA0">
                    <w:rPr>
                      <w:rFonts w:ascii="Verdana" w:eastAsia="Times New Roman" w:hAnsi="Verdana" w:cs="Times New Roman"/>
                      <w:sz w:val="15"/>
                      <w:szCs w:val="15"/>
                      <w:lang w:eastAsia="es-PE"/>
                    </w:rPr>
                    <w:t xml:space="preserve"> respectiva de las Intendencias de Aduana verificarán la identificación y firmas de los mencionados Despachadores Oficiales ingresando el Código de </w:t>
                  </w:r>
                  <w:proofErr w:type="gramStart"/>
                  <w:r w:rsidRPr="00D02EA0">
                    <w:rPr>
                      <w:rFonts w:ascii="Verdana" w:eastAsia="Times New Roman" w:hAnsi="Verdana" w:cs="Times New Roman"/>
                      <w:sz w:val="15"/>
                      <w:szCs w:val="15"/>
                      <w:lang w:eastAsia="es-PE"/>
                    </w:rPr>
                    <w:t>los mismos</w:t>
                  </w:r>
                  <w:proofErr w:type="gramEnd"/>
                  <w:r w:rsidRPr="00D02EA0">
                    <w:rPr>
                      <w:rFonts w:ascii="Verdana" w:eastAsia="Times New Roman" w:hAnsi="Verdana" w:cs="Times New Roman"/>
                      <w:sz w:val="15"/>
                      <w:szCs w:val="15"/>
                      <w:lang w:eastAsia="es-PE"/>
                    </w:rPr>
                    <w:t xml:space="preserve"> en el Módulo de Directorio del SIGAD: Agentes de Aduana y Despachadores.</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5. </w:t>
                  </w:r>
                  <w:r w:rsidRPr="00D02EA0">
                    <w:rPr>
                      <w:rFonts w:ascii="Verdana" w:eastAsia="Calibri" w:hAnsi="Verdana" w:cs="Times New Roman"/>
                      <w:sz w:val="15"/>
                      <w:szCs w:val="15"/>
                      <w:u w:val="single"/>
                      <w:lang w:eastAsia="es-PE"/>
                    </w:rPr>
                    <w:t>La destinación aduanera de importación de material de guerra se realiza bajo la modalidad de despacho diferido dentro del plazo de quince días calendario contado a partir del día siguiente del término de la descarga.</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w:t>
                  </w:r>
                  <w:r w:rsidRPr="00D02EA0">
                    <w:rPr>
                      <w:rFonts w:ascii="Verdana" w:eastAsia="Calibri" w:hAnsi="Verdana" w:cs="Times New Roman"/>
                      <w:sz w:val="15"/>
                      <w:szCs w:val="15"/>
                      <w:u w:val="single"/>
                      <w:lang w:eastAsia="es-PE"/>
                    </w:rPr>
                    <w:t>A solicitud del declarante, presentada dentro del citado plazo, este puede ser prorrogado en caso debidamente justificado por una sola vez y por un plazo adicional de quince días calendario.</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Arial" w:eastAsia="Calibri" w:hAnsi="Arial" w:cs="Arial"/>
                      <w:b/>
                      <w:u w:val="single"/>
                      <w:lang w:eastAsia="es-PE"/>
                    </w:rPr>
                    <w:t> </w:t>
                  </w:r>
                  <w:proofErr w:type="gramStart"/>
                  <w:r w:rsidRPr="00D02EA0">
                    <w:rPr>
                      <w:rFonts w:ascii="Verdana" w:eastAsia="Calibri" w:hAnsi="Verdana" w:cs="Times New Roman"/>
                      <w:sz w:val="15"/>
                      <w:szCs w:val="15"/>
                      <w:u w:val="single"/>
                      <w:lang w:eastAsia="es-PE"/>
                    </w:rPr>
                    <w:t>Vencido  el</w:t>
                  </w:r>
                  <w:proofErr w:type="gramEnd"/>
                  <w:r w:rsidRPr="00D02EA0">
                    <w:rPr>
                      <w:rFonts w:ascii="Verdana" w:eastAsia="Calibri" w:hAnsi="Verdana" w:cs="Times New Roman"/>
                      <w:sz w:val="15"/>
                      <w:szCs w:val="15"/>
                      <w:u w:val="single"/>
                      <w:lang w:eastAsia="es-PE"/>
                    </w:rPr>
                    <w:t xml:space="preserve">  plazo  o  la  prórroga  antes  señalados  la  mercancía  cae  en abandono legal</w:t>
                  </w:r>
                  <w:r w:rsidRPr="00D02EA0">
                    <w:rPr>
                      <w:rFonts w:ascii="Verdana" w:eastAsia="Calibri" w:hAnsi="Verdana" w:cs="Times New Roman"/>
                      <w:sz w:val="15"/>
                      <w:szCs w:val="15"/>
                      <w:lang w:eastAsia="es-PE"/>
                    </w:rPr>
                    <w:t xml:space="preserve">. </w:t>
                  </w:r>
                  <w:hyperlink r:id="rId14" w:history="1">
                    <w:r w:rsidRPr="00D02EA0">
                      <w:rPr>
                        <w:rFonts w:ascii="Verdana" w:eastAsia="Calibri" w:hAnsi="Verdana" w:cs="Times New Roman"/>
                        <w:i/>
                        <w:iCs/>
                        <w:color w:val="000080"/>
                        <w:sz w:val="15"/>
                        <w:szCs w:val="15"/>
                        <w:lang w:eastAsia="es-PE"/>
                      </w:rPr>
                      <w:t xml:space="preserve">Modificado por RIN </w:t>
                    </w:r>
                    <w:proofErr w:type="spellStart"/>
                    <w:r w:rsidRPr="00D02EA0">
                      <w:rPr>
                        <w:rFonts w:ascii="Verdana" w:eastAsia="Calibri" w:hAnsi="Verdana" w:cs="Times New Roman"/>
                        <w:i/>
                        <w:iCs/>
                        <w:color w:val="000080"/>
                        <w:sz w:val="15"/>
                        <w:szCs w:val="15"/>
                        <w:lang w:eastAsia="es-PE"/>
                      </w:rPr>
                      <w:t>N°</w:t>
                    </w:r>
                    <w:proofErr w:type="spellEnd"/>
                    <w:r w:rsidRPr="00D02EA0">
                      <w:rPr>
                        <w:rFonts w:ascii="Verdana" w:eastAsia="Calibri" w:hAnsi="Verdana" w:cs="Times New Roman"/>
                        <w:i/>
                        <w:iCs/>
                        <w:color w:val="000080"/>
                        <w:sz w:val="15"/>
                        <w:szCs w:val="15"/>
                        <w:lang w:eastAsia="es-PE"/>
                      </w:rPr>
                      <w:t xml:space="preserve"> 0032-2016-</w:t>
                    </w:r>
                    <w:r w:rsidRPr="00D02EA0">
                      <w:rPr>
                        <w:rFonts w:ascii="Verdana" w:eastAsia="Calibri" w:hAnsi="Verdana" w:cs="Times New Roman"/>
                        <w:color w:val="000080"/>
                        <w:sz w:val="15"/>
                        <w:szCs w:val="15"/>
                        <w:lang w:eastAsia="es-PE"/>
                      </w:rPr>
                      <w:t xml:space="preserve">SUNAT/5F000-06.09.2016 </w:t>
                    </w:r>
                  </w:hyperlink>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br/>
                  </w:r>
                  <w:r w:rsidRPr="00D02EA0">
                    <w:rPr>
                      <w:rFonts w:ascii="Verdana" w:eastAsia="Times New Roman" w:hAnsi="Verdana" w:cs="Times New Roman"/>
                      <w:b/>
                      <w:bCs/>
                      <w:sz w:val="15"/>
                      <w:szCs w:val="15"/>
                      <w:lang w:eastAsia="es-PE"/>
                    </w:rPr>
                    <w:t>VII DESCRIPCION</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A. PROCEDIMIENTO GENERAL</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A.1 IMPORTACION</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DE LA PRESENTACION Y VERIFICACION DOCUMENTARIA</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Del Despachador Oficial</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1. El Despachador Oficial presentará el formato de "Declaración de Material de Guerra" en original y tres (03) copias </w:t>
                  </w:r>
                  <w:proofErr w:type="gramStart"/>
                  <w:r w:rsidRPr="00D02EA0">
                    <w:rPr>
                      <w:rFonts w:ascii="Verdana" w:eastAsia="Times New Roman" w:hAnsi="Verdana" w:cs="Times New Roman"/>
                      <w:sz w:val="15"/>
                      <w:szCs w:val="15"/>
                      <w:lang w:eastAsia="es-PE"/>
                    </w:rPr>
                    <w:t>conjuntamente con</w:t>
                  </w:r>
                  <w:proofErr w:type="gramEnd"/>
                  <w:r w:rsidRPr="00D02EA0">
                    <w:rPr>
                      <w:rFonts w:ascii="Verdana" w:eastAsia="Times New Roman" w:hAnsi="Verdana" w:cs="Times New Roman"/>
                      <w:sz w:val="15"/>
                      <w:szCs w:val="15"/>
                      <w:lang w:eastAsia="es-PE"/>
                    </w:rPr>
                    <w:t xml:space="preserve"> el documento de transporte ante la Ventanilla del </w:t>
                  </w:r>
                  <w:proofErr w:type="spellStart"/>
                  <w:r w:rsidRPr="00D02EA0">
                    <w:rPr>
                      <w:rFonts w:ascii="Verdana" w:eastAsia="Times New Roman" w:hAnsi="Verdana" w:cs="Times New Roman"/>
                      <w:sz w:val="15"/>
                      <w:szCs w:val="15"/>
                      <w:lang w:eastAsia="es-PE"/>
                    </w:rPr>
                    <w:t>Area</w:t>
                  </w:r>
                  <w:proofErr w:type="spellEnd"/>
                  <w:r w:rsidRPr="00D02EA0">
                    <w:rPr>
                      <w:rFonts w:ascii="Verdana" w:eastAsia="Times New Roman" w:hAnsi="Verdana" w:cs="Times New Roman"/>
                      <w:sz w:val="15"/>
                      <w:szCs w:val="15"/>
                      <w:lang w:eastAsia="es-PE"/>
                    </w:rPr>
                    <w:t xml:space="preserve"> correspondiente de la Intendencia de Aduana respectiva,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De Las Aduanas</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2. El Especialista en Aduanas que </w:t>
                  </w:r>
                  <w:proofErr w:type="spellStart"/>
                  <w:r w:rsidRPr="00D02EA0">
                    <w:rPr>
                      <w:rFonts w:ascii="Verdana" w:eastAsia="Times New Roman" w:hAnsi="Verdana" w:cs="Times New Roman"/>
                      <w:sz w:val="15"/>
                      <w:szCs w:val="15"/>
                      <w:lang w:eastAsia="es-PE"/>
                    </w:rPr>
                    <w:t>recepciona</w:t>
                  </w:r>
                  <w:proofErr w:type="spellEnd"/>
                  <w:r w:rsidRPr="00D02EA0">
                    <w:rPr>
                      <w:rFonts w:ascii="Verdana" w:eastAsia="Times New Roman" w:hAnsi="Verdana" w:cs="Times New Roman"/>
                      <w:sz w:val="15"/>
                      <w:szCs w:val="15"/>
                      <w:lang w:eastAsia="es-PE"/>
                    </w:rPr>
                    <w:t xml:space="preserve"> la documentación, verificará las firmas y sellos del personal autorizado que suscribe la Declaración, así como los demás datos que constan en ella, procediendo a ingresarlos en el SIGAD para su validación con los datos del Manifiesto respectivo, De ser conforme el SIGAD asignará numeración automática a la Declaración, en caso contrario se devolverá la documentación al </w:t>
                  </w:r>
                  <w:r w:rsidRPr="00D02EA0">
                    <w:rPr>
                      <w:rFonts w:ascii="Verdana" w:eastAsia="Times New Roman" w:hAnsi="Verdana" w:cs="Times New Roman"/>
                      <w:i/>
                      <w:iCs/>
                      <w:sz w:val="15"/>
                      <w:szCs w:val="15"/>
                      <w:lang w:eastAsia="es-PE"/>
                    </w:rPr>
                    <w:t xml:space="preserve">N A </w:t>
                  </w:r>
                  <w:r w:rsidRPr="00D02EA0">
                    <w:rPr>
                      <w:rFonts w:ascii="Verdana" w:eastAsia="Times New Roman" w:hAnsi="Verdana" w:cs="Times New Roman"/>
                      <w:sz w:val="15"/>
                      <w:szCs w:val="15"/>
                      <w:lang w:eastAsia="es-PE"/>
                    </w:rPr>
                    <w:t xml:space="preserve">Despachador Oficial indicándose el motivo del rechazo para la subsanación correspondiente.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3. El Especialista en Aduanas suscribirá su conformidad en el Rubro 2.2 de las Declaración numerada, con lo cual se considerará otorgada la autorización para el embarque de la mercancía. La verificación documentaría y la autorización para el retiro de la mercancía, deben efectuarse en un plazo que no podrá exceder de 24 horas de presentada la Declaración.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4. Finalizada la verificación documentaria, la Declaración de Material de Guerra será distribuida por el Especialista en Aduanas de la siguiente forma: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proofErr w:type="gramStart"/>
                  <w:r w:rsidRPr="00D02EA0">
                    <w:rPr>
                      <w:rFonts w:ascii="Verdana" w:eastAsia="Times New Roman" w:hAnsi="Verdana" w:cs="Times New Roman"/>
                      <w:sz w:val="15"/>
                      <w:szCs w:val="15"/>
                      <w:lang w:eastAsia="es-PE"/>
                    </w:rPr>
                    <w:t>Original :</w:t>
                  </w:r>
                  <w:proofErr w:type="gramEnd"/>
                  <w:r w:rsidRPr="00D02EA0">
                    <w:rPr>
                      <w:rFonts w:ascii="Verdana" w:eastAsia="Times New Roman" w:hAnsi="Verdana" w:cs="Times New Roman"/>
                      <w:sz w:val="15"/>
                      <w:szCs w:val="15"/>
                      <w:lang w:eastAsia="es-PE"/>
                    </w:rPr>
                    <w:t xml:space="preserve"> Aduana de Despacho</w:t>
                  </w:r>
                  <w:r w:rsidRPr="00D02EA0">
                    <w:rPr>
                      <w:rFonts w:ascii="Verdana" w:eastAsia="Times New Roman" w:hAnsi="Verdana" w:cs="Times New Roman"/>
                      <w:sz w:val="15"/>
                      <w:szCs w:val="15"/>
                      <w:lang w:eastAsia="es-PE"/>
                    </w:rPr>
                    <w:br/>
                    <w:t xml:space="preserve">1ra. </w:t>
                  </w:r>
                  <w:proofErr w:type="gramStart"/>
                  <w:r w:rsidRPr="00D02EA0">
                    <w:rPr>
                      <w:rFonts w:ascii="Verdana" w:eastAsia="Times New Roman" w:hAnsi="Verdana" w:cs="Times New Roman"/>
                      <w:sz w:val="15"/>
                      <w:szCs w:val="15"/>
                      <w:lang w:eastAsia="es-PE"/>
                    </w:rPr>
                    <w:t>Copia :</w:t>
                  </w:r>
                  <w:proofErr w:type="gramEnd"/>
                  <w:r w:rsidRPr="00D02EA0">
                    <w:rPr>
                      <w:rFonts w:ascii="Verdana" w:eastAsia="Times New Roman" w:hAnsi="Verdana" w:cs="Times New Roman"/>
                      <w:sz w:val="15"/>
                      <w:szCs w:val="15"/>
                      <w:lang w:eastAsia="es-PE"/>
                    </w:rPr>
                    <w:t xml:space="preserve"> Despachador Oficial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2da. </w:t>
                  </w:r>
                  <w:proofErr w:type="gramStart"/>
                  <w:r w:rsidRPr="00D02EA0">
                    <w:rPr>
                      <w:rFonts w:ascii="Verdana" w:eastAsia="Times New Roman" w:hAnsi="Verdana" w:cs="Times New Roman"/>
                      <w:sz w:val="15"/>
                      <w:szCs w:val="15"/>
                      <w:lang w:eastAsia="es-PE"/>
                    </w:rPr>
                    <w:t>Copia :</w:t>
                  </w:r>
                  <w:proofErr w:type="gramEnd"/>
                  <w:r w:rsidRPr="00D02EA0">
                    <w:rPr>
                      <w:rFonts w:ascii="Verdana" w:eastAsia="Times New Roman" w:hAnsi="Verdana" w:cs="Times New Roman"/>
                      <w:sz w:val="15"/>
                      <w:szCs w:val="15"/>
                      <w:lang w:eastAsia="es-PE"/>
                    </w:rPr>
                    <w:t xml:space="preserve"> Almacén Aduanero</w:t>
                  </w:r>
                  <w:r w:rsidRPr="00D02EA0">
                    <w:rPr>
                      <w:rFonts w:ascii="Verdana" w:eastAsia="Times New Roman" w:hAnsi="Verdana" w:cs="Times New Roman"/>
                      <w:sz w:val="15"/>
                      <w:szCs w:val="15"/>
                      <w:lang w:eastAsia="es-PE"/>
                    </w:rPr>
                    <w:br/>
                    <w:t xml:space="preserve">3ra. </w:t>
                  </w:r>
                  <w:proofErr w:type="gramStart"/>
                  <w:r w:rsidRPr="00D02EA0">
                    <w:rPr>
                      <w:rFonts w:ascii="Verdana" w:eastAsia="Times New Roman" w:hAnsi="Verdana" w:cs="Times New Roman"/>
                      <w:sz w:val="15"/>
                      <w:szCs w:val="15"/>
                      <w:lang w:eastAsia="es-PE"/>
                    </w:rPr>
                    <w:t>Copia :</w:t>
                  </w:r>
                  <w:proofErr w:type="gramEnd"/>
                  <w:r w:rsidRPr="00D02EA0">
                    <w:rPr>
                      <w:rFonts w:ascii="Verdana" w:eastAsia="Times New Roman" w:hAnsi="Verdana" w:cs="Times New Roman"/>
                      <w:sz w:val="15"/>
                      <w:szCs w:val="15"/>
                      <w:lang w:eastAsia="es-PE"/>
                    </w:rPr>
                    <w:t xml:space="preserve"> Consignatario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DEL RETIRO DE LA MERCANCIA DEL ALMACEN ADUANERO</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5. Los responsables</w:t>
                  </w:r>
                  <w:r w:rsidRPr="00D02EA0">
                    <w:rPr>
                      <w:rFonts w:ascii="Verdana" w:eastAsia="Times New Roman" w:hAnsi="Verdana" w:cs="Times New Roman"/>
                      <w:b/>
                      <w:bCs/>
                      <w:sz w:val="15"/>
                      <w:szCs w:val="15"/>
                      <w:lang w:eastAsia="es-PE"/>
                    </w:rPr>
                    <w:t xml:space="preserve"> </w:t>
                  </w:r>
                  <w:r w:rsidRPr="00D02EA0">
                    <w:rPr>
                      <w:rFonts w:ascii="Verdana" w:eastAsia="Times New Roman" w:hAnsi="Verdana" w:cs="Times New Roman"/>
                      <w:sz w:val="15"/>
                      <w:szCs w:val="15"/>
                      <w:lang w:eastAsia="es-PE"/>
                    </w:rPr>
                    <w:t xml:space="preserve">de los Almacenes Aduaneros permitirán el retiro de la mercancía calificada como "Material de Guerra" a la sola presentación de la 2da. Copia de la Declaración debidamente firmada y sellada por el Especialista en Aduanas,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A.2 EXPORTACION</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DE LA PRESENTACION Y VERIFICACION DOCUMENTARIA</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Del Despachador Oficial</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1. El Despachador Oficial presentará el formato de "Declaración de Material de Guerra" en original y tres (03) copias ante la Ventanilla del </w:t>
                  </w:r>
                  <w:proofErr w:type="spellStart"/>
                  <w:r w:rsidRPr="00D02EA0">
                    <w:rPr>
                      <w:rFonts w:ascii="Verdana" w:eastAsia="Times New Roman" w:hAnsi="Verdana" w:cs="Times New Roman"/>
                      <w:sz w:val="15"/>
                      <w:szCs w:val="15"/>
                      <w:lang w:eastAsia="es-PE"/>
                    </w:rPr>
                    <w:t>Area</w:t>
                  </w:r>
                  <w:proofErr w:type="spellEnd"/>
                  <w:r w:rsidRPr="00D02EA0">
                    <w:rPr>
                      <w:rFonts w:ascii="Verdana" w:eastAsia="Times New Roman" w:hAnsi="Verdana" w:cs="Times New Roman"/>
                      <w:sz w:val="15"/>
                      <w:szCs w:val="15"/>
                      <w:lang w:eastAsia="es-PE"/>
                    </w:rPr>
                    <w:t xml:space="preserve"> correspondiente de la Intendencia de Aduana respectiva. En los casos que el transportista sea la entidad solicitante deberá adjuntarse los siguientes documentos: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a) Documento de Transporte.</w:t>
                  </w:r>
                  <w:r w:rsidRPr="00D02EA0">
                    <w:rPr>
                      <w:rFonts w:ascii="Verdana" w:eastAsia="Times New Roman" w:hAnsi="Verdana" w:cs="Times New Roman"/>
                      <w:sz w:val="15"/>
                      <w:szCs w:val="15"/>
                      <w:lang w:eastAsia="es-PE"/>
                    </w:rPr>
                    <w:br/>
                    <w:t xml:space="preserve">b) Manifiesto de Carga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De Las Aduanas</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2. El Especialista en Aduanas que </w:t>
                  </w:r>
                  <w:proofErr w:type="spellStart"/>
                  <w:r w:rsidRPr="00D02EA0">
                    <w:rPr>
                      <w:rFonts w:ascii="Verdana" w:eastAsia="Times New Roman" w:hAnsi="Verdana" w:cs="Times New Roman"/>
                      <w:sz w:val="15"/>
                      <w:szCs w:val="15"/>
                      <w:lang w:eastAsia="es-PE"/>
                    </w:rPr>
                    <w:t>recepciona</w:t>
                  </w:r>
                  <w:proofErr w:type="spellEnd"/>
                  <w:r w:rsidRPr="00D02EA0">
                    <w:rPr>
                      <w:rFonts w:ascii="Verdana" w:eastAsia="Times New Roman" w:hAnsi="Verdana" w:cs="Times New Roman"/>
                      <w:sz w:val="15"/>
                      <w:szCs w:val="15"/>
                      <w:lang w:eastAsia="es-PE"/>
                    </w:rPr>
                    <w:t xml:space="preserve"> la documentación, verificará las firmas y sellos del personal autorizado que suscribe la Declaración, así como los demás datos que constan en ella, procediendo a ingresarlos en el SIGAD, validándolos con los datos del Manifiesto en el caso que se hubiese presentado, De ser conforme el SIGAD asignará numeración automática a la Declaración, en caso contrario se devolverá la documentación al Despachador Oficial indicándose el motivo del rechazo para la subsanación correspondiente.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3. El Especialista en Aduanas suscribirá su conformidad en el Rubro 2.2 de las Declaración numerada, con lo cual se considerará otorgada la autorización para el embarque de la mercancía. La verificación documentaría y la autorización para el retiro de la mercancía, deben efectuarse en un plazo que no podrá exceder de 24 horas de presentada la Declaración.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4. Finalizada la verificación documentaria, el Especialista en Aduanas la remitirá al </w:t>
                  </w:r>
                  <w:proofErr w:type="spellStart"/>
                  <w:r w:rsidRPr="00D02EA0">
                    <w:rPr>
                      <w:rFonts w:ascii="Verdana" w:eastAsia="Times New Roman" w:hAnsi="Verdana" w:cs="Times New Roman"/>
                      <w:sz w:val="15"/>
                      <w:szCs w:val="15"/>
                      <w:lang w:eastAsia="es-PE"/>
                    </w:rPr>
                    <w:t>Area</w:t>
                  </w:r>
                  <w:proofErr w:type="spellEnd"/>
                  <w:r w:rsidRPr="00D02EA0">
                    <w:rPr>
                      <w:rFonts w:ascii="Verdana" w:eastAsia="Times New Roman" w:hAnsi="Verdana" w:cs="Times New Roman"/>
                      <w:sz w:val="15"/>
                      <w:szCs w:val="15"/>
                      <w:lang w:eastAsia="es-PE"/>
                    </w:rPr>
                    <w:t xml:space="preserve"> de Oficiales de Aduana para efectos del control de embarque de la mercancía, entregando al Despachador Oficial la 1ra. Copia de la Declaración.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DEL EMBARQUE DE LAS MERCANCIAS</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5. El Despachador Oficial se presentará ante el </w:t>
                  </w:r>
                  <w:proofErr w:type="spellStart"/>
                  <w:r w:rsidRPr="00D02EA0">
                    <w:rPr>
                      <w:rFonts w:ascii="Verdana" w:eastAsia="Times New Roman" w:hAnsi="Verdana" w:cs="Times New Roman"/>
                      <w:sz w:val="15"/>
                      <w:szCs w:val="15"/>
                      <w:lang w:eastAsia="es-PE"/>
                    </w:rPr>
                    <w:t>Area</w:t>
                  </w:r>
                  <w:proofErr w:type="spellEnd"/>
                  <w:r w:rsidRPr="00D02EA0">
                    <w:rPr>
                      <w:rFonts w:ascii="Verdana" w:eastAsia="Times New Roman" w:hAnsi="Verdana" w:cs="Times New Roman"/>
                      <w:sz w:val="15"/>
                      <w:szCs w:val="15"/>
                      <w:lang w:eastAsia="es-PE"/>
                    </w:rPr>
                    <w:t xml:space="preserve"> de Oficiales de aduana, entregando la 1ra. Copia de la Declaración al Oficial designado para el control de embarque, quien deberá constatar el estado exterior de los bultos, embalajes, contenedores, sellos y precintos de seguridad suscribiendo su conformidad en el Rubro 6 de la Declaración.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6. Si el transportista fuese un tercero distinto a la entidad exportadora, deberá entregar en este acto, el Manifiesto de Carga y el Documento de Transporte respectivo.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7. Concluido el control de embarque el Oficial de Aduanas ingresará los datos </w:t>
                  </w:r>
                  <w:proofErr w:type="gramStart"/>
                  <w:r w:rsidRPr="00D02EA0">
                    <w:rPr>
                      <w:rFonts w:ascii="Verdana" w:eastAsia="Times New Roman" w:hAnsi="Verdana" w:cs="Times New Roman"/>
                      <w:sz w:val="15"/>
                      <w:szCs w:val="15"/>
                      <w:lang w:eastAsia="es-PE"/>
                    </w:rPr>
                    <w:t>del mismo</w:t>
                  </w:r>
                  <w:proofErr w:type="gramEnd"/>
                  <w:r w:rsidRPr="00D02EA0">
                    <w:rPr>
                      <w:rFonts w:ascii="Verdana" w:eastAsia="Times New Roman" w:hAnsi="Verdana" w:cs="Times New Roman"/>
                      <w:sz w:val="15"/>
                      <w:szCs w:val="15"/>
                      <w:lang w:eastAsia="es-PE"/>
                    </w:rPr>
                    <w:t xml:space="preserve"> en el SIGAD, entregará la 1ra. y 3ra. Copia de la Declaración al Despachador Oficial y remitirá al </w:t>
                  </w:r>
                  <w:proofErr w:type="spellStart"/>
                  <w:r w:rsidRPr="00D02EA0">
                    <w:rPr>
                      <w:rFonts w:ascii="Verdana" w:eastAsia="Times New Roman" w:hAnsi="Verdana" w:cs="Times New Roman"/>
                      <w:sz w:val="15"/>
                      <w:szCs w:val="15"/>
                      <w:lang w:eastAsia="es-PE"/>
                    </w:rPr>
                    <w:t>Area</w:t>
                  </w:r>
                  <w:proofErr w:type="spellEnd"/>
                  <w:r w:rsidRPr="00D02EA0">
                    <w:rPr>
                      <w:rFonts w:ascii="Verdana" w:eastAsia="Times New Roman" w:hAnsi="Verdana" w:cs="Times New Roman"/>
                      <w:sz w:val="15"/>
                      <w:szCs w:val="15"/>
                      <w:lang w:eastAsia="es-PE"/>
                    </w:rPr>
                    <w:t xml:space="preserve"> respectiva el original de la Declaración y la documentación presentada, para su archivo.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VIII</w:t>
                  </w:r>
                  <w:r w:rsidRPr="00D02EA0">
                    <w:rPr>
                      <w:rFonts w:ascii="Verdana" w:eastAsia="Times New Roman" w:hAnsi="Verdana" w:cs="Times New Roman"/>
                      <w:sz w:val="15"/>
                      <w:szCs w:val="15"/>
                      <w:lang w:eastAsia="es-PE"/>
                    </w:rPr>
                    <w:t xml:space="preserve">. </w:t>
                  </w:r>
                  <w:r w:rsidRPr="00D02EA0">
                    <w:rPr>
                      <w:rFonts w:ascii="Verdana" w:eastAsia="Times New Roman" w:hAnsi="Verdana" w:cs="Times New Roman"/>
                      <w:b/>
                      <w:bCs/>
                      <w:sz w:val="15"/>
                      <w:szCs w:val="15"/>
                      <w:lang w:eastAsia="es-PE"/>
                    </w:rPr>
                    <w:t>FLUJOGRAMAS</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Importación de Material de Guerra, ver página </w:t>
                  </w:r>
                  <w:proofErr w:type="spellStart"/>
                  <w:r w:rsidRPr="00D02EA0">
                    <w:rPr>
                      <w:rFonts w:ascii="Verdana" w:eastAsia="Times New Roman" w:hAnsi="Verdana" w:cs="Times New Roman"/>
                      <w:sz w:val="15"/>
                      <w:szCs w:val="15"/>
                      <w:lang w:eastAsia="es-PE"/>
                    </w:rPr>
                    <w:t>N°</w:t>
                  </w:r>
                  <w:proofErr w:type="spellEnd"/>
                  <w:r w:rsidRPr="00D02EA0">
                    <w:rPr>
                      <w:rFonts w:ascii="Verdana" w:eastAsia="Times New Roman" w:hAnsi="Verdana" w:cs="Times New Roman"/>
                      <w:sz w:val="15"/>
                      <w:szCs w:val="15"/>
                      <w:lang w:eastAsia="es-PE"/>
                    </w:rPr>
                    <w:t xml:space="preserve"> 6.</w:t>
                  </w:r>
                  <w:r w:rsidRPr="00D02EA0">
                    <w:rPr>
                      <w:rFonts w:ascii="Verdana" w:eastAsia="Times New Roman" w:hAnsi="Verdana" w:cs="Times New Roman"/>
                      <w:sz w:val="15"/>
                      <w:szCs w:val="15"/>
                      <w:lang w:eastAsia="es-PE"/>
                    </w:rPr>
                    <w:br/>
                    <w:t xml:space="preserve">Exportación de Material de Guerra, ver página </w:t>
                  </w:r>
                  <w:proofErr w:type="spellStart"/>
                  <w:r w:rsidRPr="00D02EA0">
                    <w:rPr>
                      <w:rFonts w:ascii="Verdana" w:eastAsia="Times New Roman" w:hAnsi="Verdana" w:cs="Times New Roman"/>
                      <w:sz w:val="15"/>
                      <w:szCs w:val="15"/>
                      <w:lang w:eastAsia="es-PE"/>
                    </w:rPr>
                    <w:t>N°</w:t>
                  </w:r>
                  <w:proofErr w:type="spellEnd"/>
                  <w:r w:rsidRPr="00D02EA0">
                    <w:rPr>
                      <w:rFonts w:ascii="Verdana" w:eastAsia="Times New Roman" w:hAnsi="Verdana" w:cs="Times New Roman"/>
                      <w:sz w:val="15"/>
                      <w:szCs w:val="15"/>
                      <w:lang w:eastAsia="es-PE"/>
                    </w:rPr>
                    <w:t xml:space="preserve"> 7.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IX.</w:t>
                  </w:r>
                  <w:r w:rsidRPr="00D02EA0">
                    <w:rPr>
                      <w:rFonts w:ascii="Verdana" w:eastAsia="Times New Roman" w:hAnsi="Verdana" w:cs="Times New Roman"/>
                      <w:sz w:val="15"/>
                      <w:szCs w:val="15"/>
                      <w:lang w:eastAsia="es-PE"/>
                    </w:rPr>
                    <w:t xml:space="preserve"> </w:t>
                  </w:r>
                  <w:r w:rsidRPr="00D02EA0">
                    <w:rPr>
                      <w:rFonts w:ascii="Verdana" w:eastAsia="Times New Roman" w:hAnsi="Verdana" w:cs="Times New Roman"/>
                      <w:b/>
                      <w:bCs/>
                      <w:sz w:val="15"/>
                      <w:szCs w:val="15"/>
                      <w:lang w:eastAsia="es-PE"/>
                    </w:rPr>
                    <w:t>INFRACCIONES, SANCIONES Y DELITOS</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La aplicación de sanciones por las infracciones previstas en la Ley General de Aduanas y, la formulación de denuncias por hechos ¡lícitos tipificados en la Ley N" 26461 "Ley de los Delitos Aduaneros", se efectuarán </w:t>
                  </w:r>
                  <w:proofErr w:type="gramStart"/>
                  <w:r w:rsidRPr="00D02EA0">
                    <w:rPr>
                      <w:rFonts w:ascii="Verdana" w:eastAsia="Times New Roman" w:hAnsi="Verdana" w:cs="Times New Roman"/>
                      <w:sz w:val="15"/>
                      <w:szCs w:val="15"/>
                      <w:lang w:eastAsia="es-PE"/>
                    </w:rPr>
                    <w:t>de acuerdo al</w:t>
                  </w:r>
                  <w:proofErr w:type="gramEnd"/>
                  <w:r w:rsidRPr="00D02EA0">
                    <w:rPr>
                      <w:rFonts w:ascii="Verdana" w:eastAsia="Times New Roman" w:hAnsi="Verdana" w:cs="Times New Roman"/>
                      <w:sz w:val="15"/>
                      <w:szCs w:val="15"/>
                      <w:lang w:eastAsia="es-PE"/>
                    </w:rPr>
                    <w:t xml:space="preserve"> Informe que remita Inspectoría Interna del Ministerio de Defensa y del Interior 6 de quien cumpla esta función en cada una de las Instituciones de las Fuerzas Armadas y Policiales, de conformidad con las facultades otorgadas por la legislación pertinente.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X. REGISTROS</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Las Intendencias de Aduana deberán transmitir mensualmente a la Intendencia Nacional de Técnica Aduanera, los siguientes registros: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 Registro de Declaraciones de Material de Guerra (FORM.MAT.DE GUERRA-001).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 Registro de las Firmas presentadas por ¡os Jefes Responsables de las entidades que solicitan el Destino Especial de Material de Guerra.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 Registro de los Informes remitidos por los funcionarios competentes de las entidades que solicitan el Destino Especial de Material de Guerra.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 Registro de Aplicación de Sanciones.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ANEXO</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proofErr w:type="gramStart"/>
                  <w:r w:rsidRPr="00D02EA0">
                    <w:rPr>
                      <w:rFonts w:ascii="Verdana" w:eastAsia="Times New Roman" w:hAnsi="Verdana" w:cs="Times New Roman"/>
                      <w:b/>
                      <w:bCs/>
                      <w:sz w:val="15"/>
                      <w:szCs w:val="15"/>
                      <w:lang w:eastAsia="es-PE"/>
                    </w:rPr>
                    <w:t>1 .</w:t>
                  </w:r>
                  <w:proofErr w:type="gramEnd"/>
                  <w:r w:rsidRPr="00D02EA0">
                    <w:rPr>
                      <w:rFonts w:ascii="Verdana" w:eastAsia="Times New Roman" w:hAnsi="Verdana" w:cs="Times New Roman"/>
                      <w:sz w:val="15"/>
                      <w:szCs w:val="15"/>
                      <w:lang w:eastAsia="es-PE"/>
                    </w:rPr>
                    <w:t xml:space="preserve"> Declaración de Material de Guerra (FORM.MAT.DE GUERRA-001).</w:t>
                  </w:r>
                  <w:r w:rsidRPr="00D02EA0">
                    <w:rPr>
                      <w:rFonts w:ascii="Verdana" w:eastAsia="Times New Roman" w:hAnsi="Verdana" w:cs="Times New Roman"/>
                      <w:sz w:val="15"/>
                      <w:szCs w:val="15"/>
                      <w:lang w:eastAsia="es-PE"/>
                    </w:rPr>
                    <w:br/>
                    <w:t xml:space="preserve">     Instructivo de la Declaración de Material de Guerra. </w:t>
                  </w:r>
                </w:p>
                <w:p w:rsidR="00D02EA0" w:rsidRPr="00D02EA0" w:rsidRDefault="00D02EA0" w:rsidP="00D02EA0">
                  <w:pPr>
                    <w:spacing w:before="100" w:beforeAutospacing="1" w:after="100" w:afterAutospacing="1" w:line="240" w:lineRule="auto"/>
                    <w:jc w:val="center"/>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br/>
                  </w:r>
                  <w:r w:rsidRPr="00D02EA0">
                    <w:rPr>
                      <w:rFonts w:ascii="Verdana" w:eastAsia="Times New Roman" w:hAnsi="Verdana" w:cs="Times New Roman"/>
                      <w:b/>
                      <w:bCs/>
                      <w:sz w:val="15"/>
                      <w:szCs w:val="15"/>
                      <w:lang w:eastAsia="es-PE"/>
                    </w:rPr>
                    <w:t>INSTRUCTIVO DE LA DECLARACION DE MATERIAL DE GUERRA</w:t>
                  </w:r>
                  <w:r w:rsidRPr="00D02EA0">
                    <w:rPr>
                      <w:rFonts w:ascii="Verdana" w:eastAsia="Times New Roman" w:hAnsi="Verdana" w:cs="Times New Roman"/>
                      <w:sz w:val="15"/>
                      <w:szCs w:val="15"/>
                      <w:lang w:eastAsia="es-PE"/>
                    </w:rPr>
                    <w:br/>
                  </w:r>
                  <w:r w:rsidRPr="00D02EA0">
                    <w:rPr>
                      <w:rFonts w:ascii="Verdana" w:eastAsia="Times New Roman" w:hAnsi="Verdana" w:cs="Times New Roman"/>
                      <w:b/>
                      <w:bCs/>
                      <w:sz w:val="15"/>
                      <w:szCs w:val="15"/>
                      <w:lang w:eastAsia="es-PE"/>
                    </w:rPr>
                    <w:t>(FORM. MAT. DE GUERRA - 001)</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S </w:t>
                  </w:r>
                  <w:proofErr w:type="spellStart"/>
                  <w:r w:rsidRPr="00D02EA0">
                    <w:rPr>
                      <w:rFonts w:ascii="Verdana" w:eastAsia="Times New Roman" w:hAnsi="Verdana" w:cs="Times New Roman"/>
                      <w:sz w:val="15"/>
                      <w:szCs w:val="15"/>
                      <w:lang w:eastAsia="es-PE"/>
                    </w:rPr>
                    <w:t>erá</w:t>
                  </w:r>
                  <w:proofErr w:type="spellEnd"/>
                  <w:r w:rsidRPr="00D02EA0">
                    <w:rPr>
                      <w:rFonts w:ascii="Verdana" w:eastAsia="Times New Roman" w:hAnsi="Verdana" w:cs="Times New Roman"/>
                      <w:sz w:val="15"/>
                      <w:szCs w:val="15"/>
                      <w:lang w:eastAsia="es-PE"/>
                    </w:rPr>
                    <w:t xml:space="preserve"> </w:t>
                  </w:r>
                  <w:proofErr w:type="spellStart"/>
                  <w:r w:rsidRPr="00D02EA0">
                    <w:rPr>
                      <w:rFonts w:ascii="Verdana" w:eastAsia="Times New Roman" w:hAnsi="Verdana" w:cs="Times New Roman"/>
                      <w:sz w:val="15"/>
                      <w:szCs w:val="15"/>
                      <w:lang w:eastAsia="es-PE"/>
                    </w:rPr>
                    <w:t>utilizadopara</w:t>
                  </w:r>
                  <w:proofErr w:type="spellEnd"/>
                  <w:r w:rsidRPr="00D02EA0">
                    <w:rPr>
                      <w:rFonts w:ascii="Verdana" w:eastAsia="Times New Roman" w:hAnsi="Verdana" w:cs="Times New Roman"/>
                      <w:sz w:val="15"/>
                      <w:szCs w:val="15"/>
                      <w:lang w:eastAsia="es-PE"/>
                    </w:rPr>
                    <w:t xml:space="preserve"> solicitar el Destino Aduanero Especial de Importación y Exportación de Material de Guerra.</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r>
                  <w:r w:rsidRPr="00D02EA0">
                    <w:rPr>
                      <w:rFonts w:ascii="Verdana" w:eastAsia="Times New Roman" w:hAnsi="Verdana" w:cs="Times New Roman"/>
                      <w:b/>
                      <w:bCs/>
                      <w:sz w:val="15"/>
                      <w:szCs w:val="15"/>
                      <w:lang w:eastAsia="es-PE"/>
                    </w:rPr>
                    <w:t>1. MODALIDAD</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Deberá consignarse en el recuadro derecho la operación a realizarse.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2. USO EXCLUSIVO DE ADUANAS</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Casilla reservada para uso exclusivo de ADUANAS,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3. IDENTIFICACION</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3.1 ADUANA - CODIGO</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Se indicará el nombre y código de la Aduana bajo cuya jurisdicción se realiza el despacho aduanero,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3.2 DECLARANTE - CODIGO</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Se indicará el nombre y código del Despachador Oficial,</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r>
                  <w:r w:rsidRPr="00D02EA0">
                    <w:rPr>
                      <w:rFonts w:ascii="Verdana" w:eastAsia="Times New Roman" w:hAnsi="Verdana" w:cs="Times New Roman"/>
                      <w:b/>
                      <w:bCs/>
                      <w:sz w:val="15"/>
                      <w:szCs w:val="15"/>
                      <w:lang w:eastAsia="es-PE"/>
                    </w:rPr>
                    <w:t>3.3 DESTINATARIO/EMBARCADOR</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Se colocará el nombre de la entidad importadora o exportadora según el caso- Ministerio de Defensa/ Ejército Peruano/ Fuerza Aérea de Perú / Marina de Guerra </w:t>
                  </w:r>
                  <w:proofErr w:type="gramStart"/>
                  <w:r w:rsidRPr="00D02EA0">
                    <w:rPr>
                      <w:rFonts w:ascii="Verdana" w:eastAsia="Times New Roman" w:hAnsi="Verdana" w:cs="Times New Roman"/>
                      <w:sz w:val="15"/>
                      <w:szCs w:val="15"/>
                      <w:lang w:eastAsia="es-PE"/>
                    </w:rPr>
                    <w:t>del  Perú</w:t>
                  </w:r>
                  <w:proofErr w:type="gramEnd"/>
                  <w:r w:rsidRPr="00D02EA0">
                    <w:rPr>
                      <w:rFonts w:ascii="Verdana" w:eastAsia="Times New Roman" w:hAnsi="Verdana" w:cs="Times New Roman"/>
                      <w:sz w:val="15"/>
                      <w:szCs w:val="15"/>
                      <w:lang w:eastAsia="es-PE"/>
                    </w:rPr>
                    <w:t xml:space="preserve"> /Ministerio del Interior/ Policía Nacional del Perú, En el caso de importación, también puede agregarse el nombre de la institución de la entidad solicitante a la cual se destina finalmente el Material de Guerra.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3.4 DIRECCION</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Se indicará el domicilio legal del Declarante.</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r>
                  <w:r w:rsidRPr="00D02EA0">
                    <w:rPr>
                      <w:rFonts w:ascii="Verdana" w:eastAsia="Times New Roman" w:hAnsi="Verdana" w:cs="Times New Roman"/>
                      <w:b/>
                      <w:bCs/>
                      <w:sz w:val="15"/>
                      <w:szCs w:val="15"/>
                      <w:lang w:eastAsia="es-PE"/>
                    </w:rPr>
                    <w:t>4. TRANSPORTE/ ALMACENAMIENTO</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r>
                  <w:r w:rsidRPr="00D02EA0">
                    <w:rPr>
                      <w:rFonts w:ascii="Verdana" w:eastAsia="Times New Roman" w:hAnsi="Verdana" w:cs="Times New Roman"/>
                      <w:b/>
                      <w:bCs/>
                      <w:sz w:val="15"/>
                      <w:szCs w:val="15"/>
                      <w:lang w:eastAsia="es-PE"/>
                    </w:rPr>
                    <w:t>4.1 PUERTO DE EMBARQUE / DESEMBARQUE - CODIGO</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Se colocará el nombre del Puerto de Embarque en caso de exportación </w:t>
                  </w:r>
                  <w:proofErr w:type="spellStart"/>
                  <w:r w:rsidRPr="00D02EA0">
                    <w:rPr>
                      <w:rFonts w:ascii="Verdana" w:eastAsia="Times New Roman" w:hAnsi="Verdana" w:cs="Times New Roman"/>
                      <w:sz w:val="15"/>
                      <w:szCs w:val="15"/>
                      <w:lang w:eastAsia="es-PE"/>
                    </w:rPr>
                    <w:t>ó</w:t>
                  </w:r>
                  <w:proofErr w:type="spellEnd"/>
                  <w:r w:rsidRPr="00D02EA0">
                    <w:rPr>
                      <w:rFonts w:ascii="Verdana" w:eastAsia="Times New Roman" w:hAnsi="Verdana" w:cs="Times New Roman"/>
                      <w:sz w:val="15"/>
                      <w:szCs w:val="15"/>
                      <w:lang w:eastAsia="es-PE"/>
                    </w:rPr>
                    <w:t xml:space="preserve"> </w:t>
                  </w:r>
                  <w:proofErr w:type="gramStart"/>
                  <w:r w:rsidRPr="00D02EA0">
                    <w:rPr>
                      <w:rFonts w:ascii="Verdana" w:eastAsia="Times New Roman" w:hAnsi="Verdana" w:cs="Times New Roman"/>
                      <w:sz w:val="15"/>
                      <w:szCs w:val="15"/>
                      <w:lang w:eastAsia="es-PE"/>
                    </w:rPr>
                    <w:t>del  Puerto</w:t>
                  </w:r>
                  <w:proofErr w:type="gramEnd"/>
                  <w:r w:rsidRPr="00D02EA0">
                    <w:rPr>
                      <w:rFonts w:ascii="Verdana" w:eastAsia="Times New Roman" w:hAnsi="Verdana" w:cs="Times New Roman"/>
                      <w:sz w:val="15"/>
                      <w:szCs w:val="15"/>
                      <w:lang w:eastAsia="es-PE"/>
                    </w:rPr>
                    <w:t xml:space="preserve"> de Desembarque en caso de Importación y Código.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4.2 FECHA LLEGADA/ EMBARQUE</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Se indicará la Fecha de Llegada de la mercancía importada </w:t>
                  </w:r>
                  <w:proofErr w:type="spellStart"/>
                  <w:r w:rsidRPr="00D02EA0">
                    <w:rPr>
                      <w:rFonts w:ascii="Verdana" w:eastAsia="Times New Roman" w:hAnsi="Verdana" w:cs="Times New Roman"/>
                      <w:sz w:val="15"/>
                      <w:szCs w:val="15"/>
                      <w:lang w:eastAsia="es-PE"/>
                    </w:rPr>
                    <w:t>ó</w:t>
                  </w:r>
                  <w:proofErr w:type="spellEnd"/>
                  <w:r w:rsidRPr="00D02EA0">
                    <w:rPr>
                      <w:rFonts w:ascii="Verdana" w:eastAsia="Times New Roman" w:hAnsi="Verdana" w:cs="Times New Roman"/>
                      <w:sz w:val="15"/>
                      <w:szCs w:val="15"/>
                      <w:lang w:eastAsia="es-PE"/>
                    </w:rPr>
                    <w:t xml:space="preserve"> la Fecha Embarque en el caso de exportación,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4.3 EMPRESA DE TRANSPORTE - CODIGO</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Se colocará el nombre de la Empresa de Transporte y su Código.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 xml:space="preserve">4.4 </w:t>
                  </w:r>
                  <w:proofErr w:type="spellStart"/>
                  <w:r w:rsidRPr="00D02EA0">
                    <w:rPr>
                      <w:rFonts w:ascii="Verdana" w:eastAsia="Times New Roman" w:hAnsi="Verdana" w:cs="Times New Roman"/>
                      <w:b/>
                      <w:bCs/>
                      <w:sz w:val="15"/>
                      <w:szCs w:val="15"/>
                      <w:lang w:eastAsia="es-PE"/>
                    </w:rPr>
                    <w:t>N°</w:t>
                  </w:r>
                  <w:proofErr w:type="spellEnd"/>
                  <w:r w:rsidRPr="00D02EA0">
                    <w:rPr>
                      <w:rFonts w:ascii="Verdana" w:eastAsia="Times New Roman" w:hAnsi="Verdana" w:cs="Times New Roman"/>
                      <w:b/>
                      <w:bCs/>
                      <w:sz w:val="15"/>
                      <w:szCs w:val="15"/>
                      <w:lang w:eastAsia="es-PE"/>
                    </w:rPr>
                    <w:t xml:space="preserve"> DE MANIFIESTO</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Se indicará el NI de Manifiesto de Carga del Material de Guerra, En el caso de exportación, cuando el Manifiesto de Carga se entregue en el Control de Embarque, el Oficial de Aduana colocará este Dato en el Rubro 6 de la Declaración,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 xml:space="preserve">4.5 </w:t>
                  </w:r>
                  <w:proofErr w:type="spellStart"/>
                  <w:r w:rsidRPr="00D02EA0">
                    <w:rPr>
                      <w:rFonts w:ascii="Verdana" w:eastAsia="Times New Roman" w:hAnsi="Verdana" w:cs="Times New Roman"/>
                      <w:b/>
                      <w:bCs/>
                      <w:sz w:val="15"/>
                      <w:szCs w:val="15"/>
                      <w:lang w:eastAsia="es-PE"/>
                    </w:rPr>
                    <w:t>N°</w:t>
                  </w:r>
                  <w:proofErr w:type="spellEnd"/>
                  <w:r w:rsidRPr="00D02EA0">
                    <w:rPr>
                      <w:rFonts w:ascii="Verdana" w:eastAsia="Times New Roman" w:hAnsi="Verdana" w:cs="Times New Roman"/>
                      <w:sz w:val="15"/>
                      <w:szCs w:val="15"/>
                      <w:lang w:eastAsia="es-PE"/>
                    </w:rPr>
                    <w:t xml:space="preserve"> </w:t>
                  </w:r>
                  <w:r w:rsidRPr="00D02EA0">
                    <w:rPr>
                      <w:rFonts w:ascii="Verdana" w:eastAsia="Times New Roman" w:hAnsi="Verdana" w:cs="Times New Roman"/>
                      <w:b/>
                      <w:bCs/>
                      <w:sz w:val="15"/>
                      <w:szCs w:val="15"/>
                      <w:lang w:eastAsia="es-PE"/>
                    </w:rPr>
                    <w:t xml:space="preserve">DE CONOCIMIENTO DE EMBARQUE 1 GUIA AEREA /POSTAL/ </w:t>
                  </w:r>
                  <w:proofErr w:type="gramStart"/>
                  <w:r w:rsidRPr="00D02EA0">
                    <w:rPr>
                      <w:rFonts w:ascii="Verdana" w:eastAsia="Times New Roman" w:hAnsi="Verdana" w:cs="Times New Roman"/>
                      <w:b/>
                      <w:bCs/>
                      <w:sz w:val="15"/>
                      <w:szCs w:val="15"/>
                      <w:lang w:eastAsia="es-PE"/>
                    </w:rPr>
                    <w:t>C.PORTE</w:t>
                  </w:r>
                  <w:proofErr w:type="gramEnd"/>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Se indicará el Número del Documento de Transporte que corresponda. En el caso de exportación, cuando el Documento de Transporte se entregue en el Embarque, el Oficial de Aduana colocará este Dato en el Rubro 6 de la Declaración.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4.6 NOMBRE DEL ALMACEN ADUANERO – CODIGO</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t>Se colocará</w:t>
                  </w:r>
                  <w:r w:rsidRPr="00D02EA0">
                    <w:rPr>
                      <w:rFonts w:ascii="Verdana" w:eastAsia="Times New Roman" w:hAnsi="Verdana" w:cs="Times New Roman"/>
                      <w:b/>
                      <w:bCs/>
                      <w:sz w:val="15"/>
                      <w:szCs w:val="15"/>
                      <w:lang w:eastAsia="es-PE"/>
                    </w:rPr>
                    <w:t xml:space="preserve"> </w:t>
                  </w:r>
                  <w:r w:rsidRPr="00D02EA0">
                    <w:rPr>
                      <w:rFonts w:ascii="Verdana" w:eastAsia="Times New Roman" w:hAnsi="Verdana" w:cs="Times New Roman"/>
                      <w:sz w:val="15"/>
                      <w:szCs w:val="15"/>
                      <w:lang w:eastAsia="es-PE"/>
                    </w:rPr>
                    <w:t>el nombre del Almacén Aduanero y su Código.</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r>
                  <w:r w:rsidRPr="00D02EA0">
                    <w:rPr>
                      <w:rFonts w:ascii="Verdana" w:eastAsia="Times New Roman" w:hAnsi="Verdana" w:cs="Times New Roman"/>
                      <w:b/>
                      <w:bCs/>
                      <w:sz w:val="15"/>
                      <w:szCs w:val="15"/>
                      <w:lang w:eastAsia="es-PE"/>
                    </w:rPr>
                    <w:t>4.7 FECHA DE RECEPCION</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Se indicará la Fecha de Recepción </w:t>
                  </w:r>
                  <w:proofErr w:type="gramStart"/>
                  <w:r w:rsidRPr="00D02EA0">
                    <w:rPr>
                      <w:rFonts w:ascii="Verdana" w:eastAsia="Times New Roman" w:hAnsi="Verdana" w:cs="Times New Roman"/>
                      <w:sz w:val="15"/>
                      <w:szCs w:val="15"/>
                      <w:lang w:eastAsia="es-PE"/>
                    </w:rPr>
                    <w:t>del  Material</w:t>
                  </w:r>
                  <w:proofErr w:type="gramEnd"/>
                  <w:r w:rsidRPr="00D02EA0">
                    <w:rPr>
                      <w:rFonts w:ascii="Verdana" w:eastAsia="Times New Roman" w:hAnsi="Verdana" w:cs="Times New Roman"/>
                      <w:sz w:val="15"/>
                      <w:szCs w:val="15"/>
                      <w:lang w:eastAsia="es-PE"/>
                    </w:rPr>
                    <w:t xml:space="preserve"> de Guerra.</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r>
                  <w:r w:rsidRPr="00D02EA0">
                    <w:rPr>
                      <w:rFonts w:ascii="Verdana" w:eastAsia="Times New Roman" w:hAnsi="Verdana" w:cs="Times New Roman"/>
                      <w:b/>
                      <w:bCs/>
                      <w:sz w:val="15"/>
                      <w:szCs w:val="15"/>
                      <w:lang w:eastAsia="es-PE"/>
                    </w:rPr>
                    <w:t>5. DE LAS MERCANCIAS</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r>
                  <w:r w:rsidRPr="00D02EA0">
                    <w:rPr>
                      <w:rFonts w:ascii="Verdana" w:eastAsia="Times New Roman" w:hAnsi="Verdana" w:cs="Times New Roman"/>
                      <w:b/>
                      <w:bCs/>
                      <w:sz w:val="15"/>
                      <w:szCs w:val="15"/>
                      <w:lang w:eastAsia="es-PE"/>
                    </w:rPr>
                    <w:t>5.1 PAIS PROCEDENCIA/ DESTINO</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Se indicará el nombre del país de procedencia en el caso de las importaciones, o del país de destino cuando se trate de exportaciones,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 xml:space="preserve">5.2 </w:t>
                  </w:r>
                  <w:proofErr w:type="spellStart"/>
                  <w:r w:rsidRPr="00D02EA0">
                    <w:rPr>
                      <w:rFonts w:ascii="Verdana" w:eastAsia="Times New Roman" w:hAnsi="Verdana" w:cs="Times New Roman"/>
                      <w:b/>
                      <w:bCs/>
                      <w:sz w:val="15"/>
                      <w:szCs w:val="15"/>
                      <w:lang w:eastAsia="es-PE"/>
                    </w:rPr>
                    <w:t>N</w:t>
                  </w:r>
                  <w:proofErr w:type="gramStart"/>
                  <w:r w:rsidRPr="00D02EA0">
                    <w:rPr>
                      <w:rFonts w:ascii="Verdana" w:eastAsia="Times New Roman" w:hAnsi="Verdana" w:cs="Times New Roman"/>
                      <w:b/>
                      <w:bCs/>
                      <w:sz w:val="15"/>
                      <w:szCs w:val="15"/>
                      <w:lang w:eastAsia="es-PE"/>
                    </w:rPr>
                    <w:t>°</w:t>
                  </w:r>
                  <w:proofErr w:type="spellEnd"/>
                  <w:r w:rsidRPr="00D02EA0">
                    <w:rPr>
                      <w:rFonts w:ascii="Verdana" w:eastAsia="Times New Roman" w:hAnsi="Verdana" w:cs="Times New Roman"/>
                      <w:b/>
                      <w:bCs/>
                      <w:sz w:val="15"/>
                      <w:szCs w:val="15"/>
                      <w:lang w:eastAsia="es-PE"/>
                    </w:rPr>
                    <w:t> </w:t>
                  </w:r>
                  <w:r w:rsidRPr="00D02EA0">
                    <w:rPr>
                      <w:rFonts w:ascii="Verdana" w:eastAsia="Times New Roman" w:hAnsi="Verdana" w:cs="Times New Roman"/>
                      <w:sz w:val="15"/>
                      <w:szCs w:val="15"/>
                      <w:lang w:eastAsia="es-PE"/>
                    </w:rPr>
                    <w:t xml:space="preserve"> </w:t>
                  </w:r>
                  <w:r w:rsidRPr="00D02EA0">
                    <w:rPr>
                      <w:rFonts w:ascii="Verdana" w:eastAsia="Times New Roman" w:hAnsi="Verdana" w:cs="Times New Roman"/>
                      <w:b/>
                      <w:bCs/>
                      <w:sz w:val="15"/>
                      <w:szCs w:val="15"/>
                      <w:lang w:eastAsia="es-PE"/>
                    </w:rPr>
                    <w:t>DE</w:t>
                  </w:r>
                  <w:proofErr w:type="gramEnd"/>
                  <w:r w:rsidRPr="00D02EA0">
                    <w:rPr>
                      <w:rFonts w:ascii="Verdana" w:eastAsia="Times New Roman" w:hAnsi="Verdana" w:cs="Times New Roman"/>
                      <w:b/>
                      <w:bCs/>
                      <w:sz w:val="15"/>
                      <w:szCs w:val="15"/>
                      <w:lang w:eastAsia="es-PE"/>
                    </w:rPr>
                    <w:t xml:space="preserve"> FACTURA COMERCIAL</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Se colocará el número de la Factura Comercial,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5.3 FECHA</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Se indicará la Fecha de la Factura Comercial.</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r>
                  <w:r w:rsidRPr="00D02EA0">
                    <w:rPr>
                      <w:rFonts w:ascii="Verdana" w:eastAsia="Times New Roman" w:hAnsi="Verdana" w:cs="Times New Roman"/>
                      <w:b/>
                      <w:bCs/>
                      <w:sz w:val="15"/>
                      <w:szCs w:val="15"/>
                      <w:lang w:eastAsia="es-PE"/>
                    </w:rPr>
                    <w:t xml:space="preserve">5.4 </w:t>
                  </w:r>
                  <w:proofErr w:type="spellStart"/>
                  <w:r w:rsidRPr="00D02EA0">
                    <w:rPr>
                      <w:rFonts w:ascii="Verdana" w:eastAsia="Times New Roman" w:hAnsi="Verdana" w:cs="Times New Roman"/>
                      <w:b/>
                      <w:bCs/>
                      <w:sz w:val="15"/>
                      <w:szCs w:val="15"/>
                      <w:lang w:eastAsia="es-PE"/>
                    </w:rPr>
                    <w:t>N°</w:t>
                  </w:r>
                  <w:proofErr w:type="spellEnd"/>
                  <w:r w:rsidRPr="00D02EA0">
                    <w:rPr>
                      <w:rFonts w:ascii="Verdana" w:eastAsia="Times New Roman" w:hAnsi="Verdana" w:cs="Times New Roman"/>
                      <w:b/>
                      <w:bCs/>
                      <w:sz w:val="15"/>
                      <w:szCs w:val="15"/>
                      <w:lang w:eastAsia="es-PE"/>
                    </w:rPr>
                    <w:t xml:space="preserve"> DE BULTOS</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Se indicará el número total de bultos.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5.5 PESO BRUTO</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Se colocará el peso bruto total del Material de Guerra.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FIRMA - SELLO DESPACHADOR OFICIAL</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Se colocará la firma autorizada y registrada del Despachador Oficial que declara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FIRMA - SELLO DEL JEFE RESPONSABLE</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Se colocará la firma autorizada y registrada del Jefe Responsable de la entidad solicitante.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 xml:space="preserve">5.6 PESO BRUTO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Se colocará el peso bruto total del Material de Guerra.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b/>
                      <w:bCs/>
                      <w:sz w:val="15"/>
                      <w:szCs w:val="15"/>
                      <w:lang w:eastAsia="es-PE"/>
                    </w:rPr>
                    <w:t>6. EMBARQUE</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Casilla reservada para uso exclusivo de ADUANAS,</w:t>
                  </w:r>
                  <w:r w:rsidRPr="00D02EA0">
                    <w:rPr>
                      <w:rFonts w:ascii="Verdana" w:eastAsia="Times New Roman" w:hAnsi="Verdana" w:cs="Times New Roman"/>
                      <w:sz w:val="15"/>
                      <w:szCs w:val="15"/>
                      <w:lang w:eastAsia="es-PE"/>
                    </w:rPr>
                    <w:br/>
                  </w:r>
                  <w:r w:rsidRPr="00D02EA0">
                    <w:rPr>
                      <w:rFonts w:ascii="Verdana" w:eastAsia="Times New Roman" w:hAnsi="Verdana" w:cs="Times New Roman"/>
                      <w:sz w:val="15"/>
                      <w:szCs w:val="15"/>
                      <w:lang w:eastAsia="es-PE"/>
                    </w:rPr>
                    <w:br/>
                  </w:r>
                  <w:r w:rsidRPr="00D02EA0">
                    <w:rPr>
                      <w:rFonts w:ascii="Verdana" w:eastAsia="Times New Roman" w:hAnsi="Verdana" w:cs="Times New Roman"/>
                      <w:b/>
                      <w:bCs/>
                      <w:sz w:val="15"/>
                      <w:szCs w:val="15"/>
                      <w:lang w:eastAsia="es-PE"/>
                    </w:rPr>
                    <w:t>7. OBSERVACIONES</w:t>
                  </w:r>
                  <w:r w:rsidRPr="00D02EA0">
                    <w:rPr>
                      <w:rFonts w:ascii="Verdana" w:eastAsia="Times New Roman" w:hAnsi="Verdana" w:cs="Times New Roman"/>
                      <w:sz w:val="15"/>
                      <w:szCs w:val="15"/>
                      <w:lang w:eastAsia="es-PE"/>
                    </w:rPr>
                    <w:t xml:space="preserve"> </w:t>
                  </w:r>
                </w:p>
                <w:p w:rsidR="00D02EA0" w:rsidRPr="00D02EA0" w:rsidRDefault="00D02EA0" w:rsidP="00D02EA0">
                  <w:pPr>
                    <w:spacing w:before="100" w:beforeAutospacing="1" w:after="100" w:afterAutospacing="1" w:line="240" w:lineRule="auto"/>
                    <w:rPr>
                      <w:rFonts w:ascii="Verdana" w:eastAsia="Times New Roman" w:hAnsi="Verdana" w:cs="Times New Roman"/>
                      <w:sz w:val="15"/>
                      <w:szCs w:val="15"/>
                      <w:lang w:eastAsia="es-PE"/>
                    </w:rPr>
                  </w:pPr>
                  <w:r w:rsidRPr="00D02EA0">
                    <w:rPr>
                      <w:rFonts w:ascii="Verdana" w:eastAsia="Times New Roman" w:hAnsi="Verdana" w:cs="Times New Roman"/>
                      <w:sz w:val="15"/>
                      <w:szCs w:val="15"/>
                      <w:lang w:eastAsia="es-PE"/>
                    </w:rPr>
                    <w:t xml:space="preserve">Casilla reservada para el uso exclusivo de ADUANAS. </w:t>
                  </w:r>
                </w:p>
              </w:tc>
            </w:tr>
          </w:tbl>
          <w:p w:rsidR="00D02EA0" w:rsidRPr="00D02EA0" w:rsidRDefault="00D02EA0" w:rsidP="00D02EA0">
            <w:pPr>
              <w:spacing w:after="0" w:line="240" w:lineRule="auto"/>
              <w:rPr>
                <w:rFonts w:ascii="Verdana" w:eastAsia="Times New Roman" w:hAnsi="Verdana" w:cs="Times New Roman"/>
                <w:sz w:val="15"/>
                <w:szCs w:val="15"/>
                <w:lang w:eastAsia="es-PE"/>
              </w:rPr>
            </w:pPr>
          </w:p>
        </w:tc>
        <w:bookmarkStart w:id="0" w:name="_GoBack"/>
        <w:bookmarkEnd w:id="0"/>
      </w:tr>
    </w:tbl>
    <w:p w:rsidR="009159BC" w:rsidRDefault="00D02EA0"/>
    <w:sectPr w:rsidR="009159BC" w:rsidSect="00D02EA0">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2EA0" w:rsidRDefault="00D02EA0" w:rsidP="00D02EA0">
      <w:pPr>
        <w:spacing w:after="0" w:line="240" w:lineRule="auto"/>
      </w:pPr>
      <w:r>
        <w:separator/>
      </w:r>
    </w:p>
  </w:endnote>
  <w:endnote w:type="continuationSeparator" w:id="0">
    <w:p w:rsidR="00D02EA0" w:rsidRDefault="00D02EA0" w:rsidP="00D0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2EA0" w:rsidRDefault="00D02EA0" w:rsidP="00D02EA0">
      <w:pPr>
        <w:spacing w:after="0" w:line="240" w:lineRule="auto"/>
      </w:pPr>
      <w:r>
        <w:separator/>
      </w:r>
    </w:p>
  </w:footnote>
  <w:footnote w:type="continuationSeparator" w:id="0">
    <w:p w:rsidR="00D02EA0" w:rsidRDefault="00D02EA0" w:rsidP="00D02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A0"/>
    <w:rsid w:val="00147897"/>
    <w:rsid w:val="001D7365"/>
    <w:rsid w:val="00202316"/>
    <w:rsid w:val="004F2B8D"/>
    <w:rsid w:val="00955DC8"/>
    <w:rsid w:val="009A78EF"/>
    <w:rsid w:val="00B867BE"/>
    <w:rsid w:val="00D02EA0"/>
    <w:rsid w:val="00D82D1B"/>
    <w:rsid w:val="00EE1BEA"/>
    <w:rsid w:val="00F96F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53B6B3-9EF0-45BA-BFCB-6B9160A2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9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at.gob.pe/legislacion/procedim/despacho/especiales/materGuerra/instructivos/index.htm" TargetMode="External"/><Relationship Id="rId13" Type="http://schemas.openxmlformats.org/officeDocument/2006/relationships/hyperlink" Target="https://www.sunat.gob.pe/legislacion/procedim/despacho/especiales/materGuerra/procGeneral/ctrlCambios/cambios/cc-pg.20-148-2020-11.09.2020.htm" TargetMode="External"/><Relationship Id="rId3" Type="http://schemas.openxmlformats.org/officeDocument/2006/relationships/webSettings" Target="webSettings.xml"/><Relationship Id="rId7" Type="http://schemas.openxmlformats.org/officeDocument/2006/relationships/hyperlink" Target="https://www.sunat.gob.pe/legislacion/procedim/despacho/especiales/materGuerra/procEspecif/index.htm" TargetMode="External"/><Relationship Id="rId12" Type="http://schemas.openxmlformats.org/officeDocument/2006/relationships/hyperlink" Target="https://www.sunat.gob.pe/legislacion/procedim/despacho/especiales/materGuerra/procGeneral/ctrlCambios/index.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unat.gob.pe/legislacion/procedim/despacho/especiales/materGuerra/procGeneral/index.html" TargetMode="External"/><Relationship Id="rId11" Type="http://schemas.openxmlformats.org/officeDocument/2006/relationships/hyperlink" Target="https://www.sunat.gob.pe/legislacion/procedim/despacho/especiales/materGuerra/procGeneral/circulares.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footnotes" Target="footnotes.xml"/><Relationship Id="rId9" Type="http://schemas.openxmlformats.org/officeDocument/2006/relationships/hyperlink" Target="javascript:printPage()" TargetMode="External"/><Relationship Id="rId14" Type="http://schemas.openxmlformats.org/officeDocument/2006/relationships/hyperlink" Target="https://www.sunat.gob.pe/legislacion/procedim/despacho/especiales/materGuerra/procGeneral/ctrlCambios/cambios/cc-pg.20-0032-06.09.201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2084</Words>
  <Characters>11464</Characters>
  <Application>Microsoft Office Word</Application>
  <DocSecurity>0</DocSecurity>
  <Lines>95</Lines>
  <Paragraphs>27</Paragraphs>
  <ScaleCrop>false</ScaleCrop>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 Serrano Maria Antonieta</dc:creator>
  <cp:keywords/>
  <dc:description/>
  <cp:lastModifiedBy>Villar Serrano Maria Antonieta</cp:lastModifiedBy>
  <cp:revision>1</cp:revision>
  <dcterms:created xsi:type="dcterms:W3CDTF">2021-12-27T21:50:00Z</dcterms:created>
  <dcterms:modified xsi:type="dcterms:W3CDTF">2021-12-27T21:52:00Z</dcterms:modified>
</cp:coreProperties>
</file>