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86A" w:rsidRPr="00F0486A" w:rsidRDefault="00F0486A" w:rsidP="00F0486A">
      <w:pPr>
        <w:spacing w:before="100" w:beforeAutospacing="1" w:after="100" w:afterAutospacing="1" w:line="240" w:lineRule="auto"/>
        <w:jc w:val="center"/>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AUTORIZACIÓN  DE OPERADORES DE COMERCIO EXTERIOR</w:t>
      </w:r>
      <w:r w:rsidRPr="00F0486A">
        <w:rPr>
          <w:rFonts w:ascii="Verdana" w:eastAsia="Times New Roman" w:hAnsi="Verdana" w:cs="Times New Roman"/>
          <w:b/>
          <w:bCs/>
          <w:sz w:val="15"/>
          <w:szCs w:val="15"/>
          <w:lang w:eastAsia="es-PE"/>
        </w:rPr>
        <w:br/>
      </w:r>
      <w:r w:rsidRPr="00F0486A">
        <w:rPr>
          <w:rFonts w:ascii="Verdana" w:eastAsia="Times New Roman" w:hAnsi="Verdana" w:cs="Times New Roman"/>
          <w:b/>
          <w:bCs/>
          <w:color w:val="800000"/>
          <w:sz w:val="15"/>
          <w:szCs w:val="15"/>
          <w:lang w:eastAsia="es-PE"/>
        </w:rPr>
        <w:t>PROCEDIMIENTO GENERAL</w:t>
      </w:r>
    </w:p>
    <w:tbl>
      <w:tblPr>
        <w:tblW w:w="4900" w:type="pct"/>
        <w:jc w:val="center"/>
        <w:tblCellSpacing w:w="0" w:type="dxa"/>
        <w:tblCellMar>
          <w:left w:w="0" w:type="dxa"/>
          <w:right w:w="0" w:type="dxa"/>
        </w:tblCellMar>
        <w:tblLook w:val="04A0" w:firstRow="1" w:lastRow="0" w:firstColumn="1" w:lastColumn="0" w:noHBand="0" w:noVBand="1"/>
      </w:tblPr>
      <w:tblGrid>
        <w:gridCol w:w="8661"/>
      </w:tblGrid>
      <w:tr w:rsidR="00F0486A" w:rsidRPr="00F0486A" w:rsidTr="00F0486A">
        <w:trPr>
          <w:tblCellSpacing w:w="0" w:type="dxa"/>
          <w:jc w:val="center"/>
        </w:trPr>
        <w:tc>
          <w:tcPr>
            <w:tcW w:w="5000" w:type="pct"/>
            <w:vAlign w:val="center"/>
            <w:hideMark/>
          </w:tcPr>
          <w:tbl>
            <w:tblPr>
              <w:tblW w:w="4900" w:type="pct"/>
              <w:jc w:val="center"/>
              <w:tblCellSpacing w:w="15" w:type="dxa"/>
              <w:shd w:val="clear" w:color="auto" w:fill="DEEBFF"/>
              <w:tblCellMar>
                <w:top w:w="15" w:type="dxa"/>
                <w:left w:w="15" w:type="dxa"/>
                <w:bottom w:w="15" w:type="dxa"/>
                <w:right w:w="15" w:type="dxa"/>
              </w:tblCellMar>
              <w:tblLook w:val="04A0" w:firstRow="1" w:lastRow="0" w:firstColumn="1" w:lastColumn="0" w:noHBand="0" w:noVBand="1"/>
            </w:tblPr>
            <w:tblGrid>
              <w:gridCol w:w="2462"/>
              <w:gridCol w:w="2115"/>
              <w:gridCol w:w="1781"/>
              <w:gridCol w:w="2130"/>
            </w:tblGrid>
            <w:tr w:rsidR="00F0486A" w:rsidRPr="00F0486A">
              <w:trPr>
                <w:tblCellSpacing w:w="15" w:type="dxa"/>
                <w:jc w:val="center"/>
              </w:trPr>
              <w:tc>
                <w:tcPr>
                  <w:tcW w:w="1450" w:type="pct"/>
                  <w:shd w:val="clear" w:color="auto" w:fill="DEEBFF"/>
                  <w:vAlign w:val="center"/>
                  <w:hideMark/>
                </w:tcPr>
                <w:p w:rsidR="00F0486A" w:rsidRPr="00F0486A" w:rsidRDefault="00F0486A" w:rsidP="00F0486A">
                  <w:pPr>
                    <w:spacing w:after="0" w:line="240" w:lineRule="auto"/>
                    <w:jc w:val="center"/>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pict/>
                  </w:r>
                  <w:hyperlink r:id="rId6" w:tgtFrame="_parent" w:history="1">
                    <w:r w:rsidRPr="00F0486A">
                      <w:rPr>
                        <w:rFonts w:ascii="Verdana" w:eastAsia="Times New Roman" w:hAnsi="Verdana" w:cs="Times New Roman"/>
                        <w:color w:val="000080"/>
                        <w:sz w:val="15"/>
                        <w:szCs w:val="15"/>
                        <w:lang w:eastAsia="es-PE"/>
                      </w:rPr>
                      <w:t>Procedimiento General</w:t>
                    </w:r>
                  </w:hyperlink>
                </w:p>
              </w:tc>
              <w:tc>
                <w:tcPr>
                  <w:tcW w:w="1250" w:type="pct"/>
                  <w:shd w:val="clear" w:color="auto" w:fill="DEEBFF"/>
                  <w:vAlign w:val="center"/>
                  <w:hideMark/>
                </w:tcPr>
                <w:p w:rsidR="00F0486A" w:rsidRPr="00F0486A" w:rsidRDefault="00F0486A" w:rsidP="00F0486A">
                  <w:pPr>
                    <w:spacing w:after="0" w:line="240" w:lineRule="auto"/>
                    <w:jc w:val="center"/>
                    <w:rPr>
                      <w:rFonts w:ascii="Verdana" w:eastAsia="Times New Roman" w:hAnsi="Verdana" w:cs="Times New Roman"/>
                      <w:sz w:val="15"/>
                      <w:szCs w:val="15"/>
                      <w:lang w:eastAsia="es-PE"/>
                    </w:rPr>
                  </w:pPr>
                  <w:hyperlink r:id="rId7" w:tgtFrame="_self" w:history="1">
                    <w:r w:rsidRPr="00F0486A">
                      <w:rPr>
                        <w:rFonts w:ascii="Verdana" w:eastAsia="Times New Roman" w:hAnsi="Verdana" w:cs="Times New Roman"/>
                        <w:color w:val="000080"/>
                        <w:sz w:val="15"/>
                        <w:szCs w:val="15"/>
                        <w:lang w:eastAsia="es-PE"/>
                      </w:rPr>
                      <w:t>Proced. Específico</w:t>
                    </w:r>
                  </w:hyperlink>
                </w:p>
              </w:tc>
              <w:tc>
                <w:tcPr>
                  <w:tcW w:w="1050" w:type="pct"/>
                  <w:shd w:val="clear" w:color="auto" w:fill="DEEBFF"/>
                  <w:vAlign w:val="center"/>
                  <w:hideMark/>
                </w:tcPr>
                <w:p w:rsidR="00F0486A" w:rsidRPr="00F0486A" w:rsidRDefault="00F0486A" w:rsidP="00F0486A">
                  <w:pPr>
                    <w:spacing w:after="0" w:line="240" w:lineRule="auto"/>
                    <w:jc w:val="center"/>
                    <w:rPr>
                      <w:rFonts w:ascii="Verdana" w:eastAsia="Times New Roman" w:hAnsi="Verdana" w:cs="Times New Roman"/>
                      <w:sz w:val="15"/>
                      <w:szCs w:val="15"/>
                      <w:lang w:eastAsia="es-PE"/>
                    </w:rPr>
                  </w:pPr>
                  <w:hyperlink r:id="rId8" w:tgtFrame="_self" w:history="1">
                    <w:r w:rsidRPr="00F0486A">
                      <w:rPr>
                        <w:rFonts w:ascii="Verdana" w:eastAsia="Times New Roman" w:hAnsi="Verdana" w:cs="Times New Roman"/>
                        <w:color w:val="000080"/>
                        <w:sz w:val="15"/>
                        <w:szCs w:val="15"/>
                        <w:lang w:eastAsia="es-PE"/>
                      </w:rPr>
                      <w:t>Instructivos</w:t>
                    </w:r>
                  </w:hyperlink>
                </w:p>
              </w:tc>
              <w:tc>
                <w:tcPr>
                  <w:tcW w:w="1250" w:type="pct"/>
                  <w:shd w:val="clear" w:color="auto" w:fill="DEEBFF"/>
                  <w:vAlign w:val="center"/>
                  <w:hideMark/>
                </w:tcPr>
                <w:p w:rsidR="00F0486A" w:rsidRPr="00F0486A" w:rsidRDefault="00F0486A" w:rsidP="00F0486A">
                  <w:pPr>
                    <w:spacing w:after="0" w:line="240" w:lineRule="auto"/>
                    <w:jc w:val="center"/>
                    <w:rPr>
                      <w:rFonts w:ascii="Verdana" w:eastAsia="Times New Roman" w:hAnsi="Verdana" w:cs="Times New Roman"/>
                      <w:sz w:val="15"/>
                      <w:szCs w:val="15"/>
                      <w:lang w:eastAsia="es-PE"/>
                    </w:rPr>
                  </w:pPr>
                  <w:r w:rsidRPr="00F0486A">
                    <w:rPr>
                      <w:rFonts w:ascii="Verdana" w:eastAsia="Times New Roman" w:hAnsi="Verdana" w:cs="Times New Roman"/>
                      <w:noProof/>
                      <w:color w:val="000080"/>
                      <w:sz w:val="15"/>
                      <w:szCs w:val="15"/>
                      <w:lang w:eastAsia="es-PE"/>
                    </w:rPr>
                    <w:drawing>
                      <wp:inline distT="0" distB="0" distL="0" distR="0">
                        <wp:extent cx="211455" cy="191135"/>
                        <wp:effectExtent l="0" t="0" r="0" b="0"/>
                        <wp:docPr id="1" name="Imagen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 cy="191135"/>
                                </a:xfrm>
                                <a:prstGeom prst="rect">
                                  <a:avLst/>
                                </a:prstGeom>
                                <a:noFill/>
                                <a:ln>
                                  <a:noFill/>
                                </a:ln>
                              </pic:spPr>
                            </pic:pic>
                          </a:graphicData>
                        </a:graphic>
                      </wp:inline>
                    </w:drawing>
                  </w:r>
                </w:p>
              </w:tc>
            </w:tr>
          </w:tbl>
          <w:p w:rsidR="00F0486A" w:rsidRPr="00F0486A" w:rsidRDefault="00F0486A" w:rsidP="00F0486A">
            <w:pPr>
              <w:spacing w:after="0" w:line="240" w:lineRule="auto"/>
              <w:jc w:val="center"/>
              <w:rPr>
                <w:rFonts w:ascii="Verdana" w:eastAsia="Times New Roman" w:hAnsi="Verdana" w:cs="Times New Roman"/>
                <w:sz w:val="15"/>
                <w:szCs w:val="15"/>
                <w:lang w:eastAsia="es-PE"/>
              </w:rPr>
            </w:pPr>
          </w:p>
        </w:tc>
      </w:tr>
    </w:tbl>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w:t>
      </w:r>
    </w:p>
    <w:tbl>
      <w:tblPr>
        <w:tblW w:w="0" w:type="auto"/>
        <w:jc w:val="center"/>
        <w:tblCellSpacing w:w="0" w:type="dxa"/>
        <w:tblCellMar>
          <w:left w:w="0" w:type="dxa"/>
          <w:right w:w="0" w:type="dxa"/>
        </w:tblCellMar>
        <w:tblLook w:val="04A0" w:firstRow="1" w:lastRow="0" w:firstColumn="1" w:lastColumn="0" w:noHBand="0" w:noVBand="1"/>
      </w:tblPr>
      <w:tblGrid>
        <w:gridCol w:w="8838"/>
      </w:tblGrid>
      <w:tr w:rsidR="00F0486A" w:rsidRPr="00F0486A" w:rsidTr="00F0486A">
        <w:trPr>
          <w:tblCellSpacing w:w="0" w:type="dxa"/>
          <w:jc w:val="center"/>
        </w:trPr>
        <w:tc>
          <w:tcPr>
            <w:tcW w:w="0" w:type="auto"/>
          </w:tcPr>
          <w:tbl>
            <w:tblPr>
              <w:tblW w:w="5000" w:type="pct"/>
              <w:tblCellSpacing w:w="7" w:type="dxa"/>
              <w:shd w:val="clear" w:color="auto" w:fill="336699"/>
              <w:tblCellMar>
                <w:left w:w="0" w:type="dxa"/>
                <w:right w:w="0" w:type="dxa"/>
              </w:tblCellMar>
              <w:tblLook w:val="04A0" w:firstRow="1" w:lastRow="0" w:firstColumn="1" w:lastColumn="0" w:noHBand="0" w:noVBand="1"/>
            </w:tblPr>
            <w:tblGrid>
              <w:gridCol w:w="8838"/>
            </w:tblGrid>
            <w:tr w:rsidR="00F0486A" w:rsidRPr="00F0486A">
              <w:trPr>
                <w:tblCellSpacing w:w="7" w:type="dxa"/>
              </w:trPr>
              <w:tc>
                <w:tcPr>
                  <w:tcW w:w="5000" w:type="pct"/>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3964"/>
                    <w:gridCol w:w="2643"/>
                    <w:gridCol w:w="2203"/>
                  </w:tblGrid>
                  <w:tr w:rsidR="00F0486A" w:rsidRPr="00F0486A">
                    <w:trPr>
                      <w:tblCellSpacing w:w="0" w:type="dxa"/>
                    </w:trPr>
                    <w:tc>
                      <w:tcPr>
                        <w:tcW w:w="2250" w:type="pct"/>
                        <w:hideMark/>
                      </w:tcPr>
                      <w:tbl>
                        <w:tblPr>
                          <w:tblW w:w="4900" w:type="pct"/>
                          <w:jc w:val="center"/>
                          <w:tblCellSpacing w:w="15" w:type="dxa"/>
                          <w:tblCellMar>
                            <w:left w:w="0" w:type="dxa"/>
                            <w:right w:w="0" w:type="dxa"/>
                          </w:tblCellMar>
                          <w:tblLook w:val="04A0" w:firstRow="1" w:lastRow="0" w:firstColumn="1" w:lastColumn="0" w:noHBand="0" w:noVBand="1"/>
                        </w:tblPr>
                        <w:tblGrid>
                          <w:gridCol w:w="1913"/>
                          <w:gridCol w:w="1913"/>
                        </w:tblGrid>
                        <w:tr w:rsidR="00F0486A" w:rsidRPr="00F0486A">
                          <w:trPr>
                            <w:tblCellSpacing w:w="15" w:type="dxa"/>
                            <w:jc w:val="center"/>
                          </w:trPr>
                          <w:tc>
                            <w:tcPr>
                              <w:tcW w:w="2500" w:type="pct"/>
                              <w:shd w:val="clear" w:color="auto" w:fill="E1E4E8"/>
                              <w:hideMark/>
                            </w:tcPr>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Proc:</w:t>
                              </w:r>
                              <w:r w:rsidRPr="00F0486A">
                                <w:rPr>
                                  <w:rFonts w:ascii="Verdana" w:eastAsia="Times New Roman" w:hAnsi="Verdana" w:cs="Times New Roman"/>
                                  <w:sz w:val="15"/>
                                  <w:szCs w:val="15"/>
                                  <w:lang w:eastAsia="es-PE"/>
                                </w:rPr>
                                <w:t xml:space="preserve"> </w:t>
                              </w:r>
                              <w:r w:rsidRPr="00F0486A">
                                <w:rPr>
                                  <w:rFonts w:ascii="Verdana" w:eastAsia="Times New Roman" w:hAnsi="Verdana" w:cs="Times New Roman"/>
                                  <w:b/>
                                  <w:bCs/>
                                  <w:color w:val="FF0000"/>
                                  <w:sz w:val="15"/>
                                  <w:szCs w:val="15"/>
                                  <w:lang w:eastAsia="es-PE"/>
                                </w:rPr>
                                <w:t>DESPA-PG.24</w:t>
                              </w:r>
                            </w:p>
                          </w:tc>
                          <w:tc>
                            <w:tcPr>
                              <w:tcW w:w="2500" w:type="pct"/>
                              <w:shd w:val="clear" w:color="auto" w:fill="E1E4E8"/>
                              <w:vAlign w:val="center"/>
                              <w:hideMark/>
                            </w:tcPr>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Autorización de Operadores de Comercio Exterior</w:t>
                              </w:r>
                            </w:p>
                          </w:tc>
                        </w:tr>
                        <w:tr w:rsidR="00F0486A" w:rsidRPr="00F0486A">
                          <w:trPr>
                            <w:tblCellSpacing w:w="15" w:type="dxa"/>
                            <w:jc w:val="center"/>
                          </w:trPr>
                          <w:tc>
                            <w:tcPr>
                              <w:tcW w:w="2500" w:type="pct"/>
                              <w:hideMark/>
                            </w:tcPr>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Vigencia:</w:t>
                              </w:r>
                              <w:r w:rsidRPr="00F0486A">
                                <w:rPr>
                                  <w:rFonts w:ascii="Verdana" w:eastAsia="Times New Roman" w:hAnsi="Verdana" w:cs="Times New Roman"/>
                                  <w:sz w:val="15"/>
                                  <w:szCs w:val="15"/>
                                  <w:lang w:eastAsia="es-PE"/>
                                </w:rPr>
                                <w:t xml:space="preserve"> 05.06.2016</w:t>
                              </w:r>
                            </w:p>
                          </w:tc>
                          <w:tc>
                            <w:tcPr>
                              <w:tcW w:w="2500" w:type="pct"/>
                              <w:vAlign w:val="center"/>
                              <w:hideMark/>
                            </w:tcPr>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Publicación:</w:t>
                              </w:r>
                              <w:r w:rsidRPr="00F0486A">
                                <w:rPr>
                                  <w:rFonts w:ascii="Verdana" w:eastAsia="Times New Roman" w:hAnsi="Verdana" w:cs="Times New Roman"/>
                                  <w:sz w:val="15"/>
                                  <w:szCs w:val="15"/>
                                  <w:lang w:eastAsia="es-PE"/>
                                </w:rPr>
                                <w:t xml:space="preserve"> 04.06.2016</w:t>
                              </w:r>
                            </w:p>
                          </w:tc>
                        </w:tr>
                        <w:tr w:rsidR="00F0486A" w:rsidRPr="00F0486A">
                          <w:trPr>
                            <w:tblCellSpacing w:w="15" w:type="dxa"/>
                            <w:jc w:val="center"/>
                          </w:trPr>
                          <w:tc>
                            <w:tcPr>
                              <w:tcW w:w="2500" w:type="pct"/>
                              <w:hideMark/>
                            </w:tcPr>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Resolución:</w:t>
                              </w:r>
                              <w:r w:rsidRPr="00F0486A">
                                <w:rPr>
                                  <w:rFonts w:ascii="Verdana" w:eastAsia="Times New Roman" w:hAnsi="Verdana" w:cs="Times New Roman"/>
                                  <w:sz w:val="15"/>
                                  <w:szCs w:val="15"/>
                                  <w:lang w:eastAsia="es-PE"/>
                                </w:rPr>
                                <w:t xml:space="preserve"> 10-2016-SUNAT/5F0000</w:t>
                              </w:r>
                            </w:p>
                          </w:tc>
                          <w:tc>
                            <w:tcPr>
                              <w:tcW w:w="2500" w:type="pct"/>
                              <w:vAlign w:val="center"/>
                              <w:hideMark/>
                            </w:tcPr>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 xml:space="preserve">Fecha Res.: </w:t>
                              </w:r>
                              <w:r w:rsidRPr="00F0486A">
                                <w:rPr>
                                  <w:rFonts w:ascii="Verdana" w:eastAsia="Times New Roman" w:hAnsi="Verdana" w:cs="Times New Roman"/>
                                  <w:sz w:val="15"/>
                                  <w:szCs w:val="15"/>
                                  <w:lang w:eastAsia="es-PE"/>
                                </w:rPr>
                                <w:t>30/05/2016</w:t>
                              </w:r>
                            </w:p>
                          </w:tc>
                        </w:tr>
                        <w:tr w:rsidR="00F0486A" w:rsidRPr="00F0486A">
                          <w:trPr>
                            <w:tblCellSpacing w:w="15" w:type="dxa"/>
                            <w:jc w:val="center"/>
                          </w:trPr>
                          <w:tc>
                            <w:tcPr>
                              <w:tcW w:w="5000" w:type="pct"/>
                              <w:gridSpan w:val="2"/>
                              <w:hideMark/>
                            </w:tcPr>
                            <w:p w:rsidR="00F0486A" w:rsidRPr="00F0486A" w:rsidRDefault="00F0486A" w:rsidP="00F0486A">
                              <w:pPr>
                                <w:spacing w:after="0" w:line="240" w:lineRule="auto"/>
                                <w:rPr>
                                  <w:rFonts w:ascii="Verdana" w:eastAsia="Times New Roman" w:hAnsi="Verdana" w:cs="Times New Roman"/>
                                  <w:sz w:val="15"/>
                                  <w:szCs w:val="15"/>
                                  <w:lang w:eastAsia="es-PE"/>
                                </w:rPr>
                              </w:pPr>
                            </w:p>
                          </w:tc>
                        </w:tr>
                      </w:tbl>
                      <w:p w:rsidR="00F0486A" w:rsidRPr="00F0486A" w:rsidRDefault="00F0486A" w:rsidP="00F0486A">
                        <w:pPr>
                          <w:spacing w:after="0" w:line="240" w:lineRule="auto"/>
                          <w:jc w:val="center"/>
                          <w:rPr>
                            <w:rFonts w:ascii="Verdana" w:eastAsia="Times New Roman" w:hAnsi="Verdana" w:cs="Times New Roman"/>
                            <w:sz w:val="15"/>
                            <w:szCs w:val="15"/>
                            <w:lang w:eastAsia="es-PE"/>
                          </w:rPr>
                        </w:pPr>
                      </w:p>
                    </w:tc>
                    <w:tc>
                      <w:tcPr>
                        <w:tcW w:w="1500" w:type="pct"/>
                        <w:hideMark/>
                      </w:tcPr>
                      <w:tbl>
                        <w:tblPr>
                          <w:tblW w:w="4900" w:type="pct"/>
                          <w:jc w:val="center"/>
                          <w:tblCellSpacing w:w="15" w:type="dxa"/>
                          <w:tblCellMar>
                            <w:left w:w="0" w:type="dxa"/>
                            <w:right w:w="0" w:type="dxa"/>
                          </w:tblCellMar>
                          <w:tblLook w:val="04A0" w:firstRow="1" w:lastRow="0" w:firstColumn="1" w:lastColumn="0" w:noHBand="0" w:noVBand="1"/>
                        </w:tblPr>
                        <w:tblGrid>
                          <w:gridCol w:w="2531"/>
                        </w:tblGrid>
                        <w:tr w:rsidR="00F0486A" w:rsidRPr="00F0486A">
                          <w:trPr>
                            <w:tblCellSpacing w:w="15" w:type="dxa"/>
                            <w:jc w:val="center"/>
                          </w:trPr>
                          <w:tc>
                            <w:tcPr>
                              <w:tcW w:w="5000" w:type="pct"/>
                              <w:shd w:val="clear" w:color="auto" w:fill="E1E4E8"/>
                              <w:vAlign w:val="center"/>
                              <w:hideMark/>
                            </w:tcPr>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Versión:</w:t>
                              </w:r>
                              <w:r w:rsidRPr="00F0486A">
                                <w:rPr>
                                  <w:rFonts w:ascii="Verdana" w:eastAsia="Times New Roman" w:hAnsi="Verdana" w:cs="Times New Roman"/>
                                  <w:sz w:val="15"/>
                                  <w:szCs w:val="15"/>
                                  <w:lang w:eastAsia="es-PE"/>
                                </w:rPr>
                                <w:t xml:space="preserve"> 3</w:t>
                              </w:r>
                            </w:p>
                          </w:tc>
                        </w:tr>
                        <w:tr w:rsidR="00F0486A" w:rsidRPr="00F0486A">
                          <w:trPr>
                            <w:tblCellSpacing w:w="15" w:type="dxa"/>
                            <w:jc w:val="center"/>
                          </w:trPr>
                          <w:tc>
                            <w:tcPr>
                              <w:tcW w:w="5000" w:type="pct"/>
                              <w:vAlign w:val="center"/>
                              <w:hideMark/>
                            </w:tcPr>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 xml:space="preserve">Lista: </w:t>
                              </w:r>
                              <w:r w:rsidRPr="00F0486A">
                                <w:rPr>
                                  <w:rFonts w:ascii="Verdana" w:eastAsia="Times New Roman" w:hAnsi="Verdana" w:cs="Times New Roman"/>
                                  <w:b/>
                                  <w:bCs/>
                                  <w:color w:val="800000"/>
                                  <w:sz w:val="15"/>
                                  <w:szCs w:val="15"/>
                                  <w:lang w:eastAsia="es-PE"/>
                                </w:rPr>
                                <w:t>Complementaria</w:t>
                              </w:r>
                            </w:p>
                          </w:tc>
                        </w:tr>
                      </w:tbl>
                      <w:p w:rsidR="00F0486A" w:rsidRPr="00F0486A" w:rsidRDefault="00F0486A" w:rsidP="00F0486A">
                        <w:pPr>
                          <w:spacing w:after="0" w:line="240" w:lineRule="auto"/>
                          <w:jc w:val="center"/>
                          <w:rPr>
                            <w:rFonts w:ascii="Verdana" w:eastAsia="Times New Roman" w:hAnsi="Verdana" w:cs="Times New Roman"/>
                            <w:sz w:val="15"/>
                            <w:szCs w:val="15"/>
                            <w:lang w:eastAsia="es-PE"/>
                          </w:rPr>
                        </w:pPr>
                      </w:p>
                    </w:tc>
                    <w:tc>
                      <w:tcPr>
                        <w:tcW w:w="1250" w:type="pct"/>
                        <w:hideMark/>
                      </w:tcPr>
                      <w:tbl>
                        <w:tblPr>
                          <w:tblW w:w="4000" w:type="pct"/>
                          <w:jc w:val="center"/>
                          <w:tblCellSpacing w:w="7" w:type="dxa"/>
                          <w:shd w:val="clear" w:color="auto" w:fill="336699"/>
                          <w:tblCellMar>
                            <w:left w:w="0" w:type="dxa"/>
                            <w:right w:w="0" w:type="dxa"/>
                          </w:tblCellMar>
                          <w:tblLook w:val="04A0" w:firstRow="1" w:lastRow="0" w:firstColumn="1" w:lastColumn="0" w:noHBand="0" w:noVBand="1"/>
                        </w:tblPr>
                        <w:tblGrid>
                          <w:gridCol w:w="1714"/>
                        </w:tblGrid>
                        <w:tr w:rsidR="00F0486A" w:rsidRPr="00F0486A">
                          <w:trPr>
                            <w:tblCellSpacing w:w="7" w:type="dxa"/>
                            <w:jc w:val="center"/>
                          </w:trPr>
                          <w:tc>
                            <w:tcPr>
                              <w:tcW w:w="5000" w:type="pct"/>
                              <w:shd w:val="clear" w:color="auto" w:fill="FFFFFF"/>
                              <w:vAlign w:val="center"/>
                              <w:hideMark/>
                            </w:tcPr>
                            <w:p w:rsidR="00F0486A" w:rsidRPr="00F0486A" w:rsidRDefault="00F0486A" w:rsidP="00F0486A">
                              <w:pPr>
                                <w:spacing w:before="100" w:beforeAutospacing="1" w:after="100" w:afterAutospacing="1" w:line="240" w:lineRule="auto"/>
                                <w:jc w:val="center"/>
                                <w:rPr>
                                  <w:rFonts w:ascii="Verdana" w:eastAsia="Times New Roman" w:hAnsi="Verdana" w:cs="Times New Roman"/>
                                  <w:sz w:val="15"/>
                                  <w:szCs w:val="15"/>
                                  <w:lang w:eastAsia="es-PE"/>
                                </w:rPr>
                              </w:pPr>
                              <w:hyperlink r:id="rId11" w:tgtFrame="_self" w:history="1">
                                <w:r w:rsidRPr="00F0486A">
                                  <w:rPr>
                                    <w:rFonts w:ascii="Verdana" w:eastAsia="Times New Roman" w:hAnsi="Verdana" w:cs="Times New Roman"/>
                                    <w:b/>
                                    <w:bCs/>
                                    <w:color w:val="000080"/>
                                    <w:sz w:val="15"/>
                                    <w:szCs w:val="15"/>
                                    <w:lang w:eastAsia="es-PE"/>
                                  </w:rPr>
                                  <w:t>Circulares Anexa</w:t>
                                </w:r>
                              </w:hyperlink>
                            </w:p>
                          </w:tc>
                        </w:tr>
                        <w:tr w:rsidR="00F0486A" w:rsidRPr="00F0486A">
                          <w:trPr>
                            <w:tblCellSpacing w:w="7" w:type="dxa"/>
                            <w:jc w:val="center"/>
                          </w:trPr>
                          <w:tc>
                            <w:tcPr>
                              <w:tcW w:w="0" w:type="auto"/>
                              <w:shd w:val="clear" w:color="auto" w:fill="FFFFFF"/>
                              <w:vAlign w:val="center"/>
                              <w:hideMark/>
                            </w:tcPr>
                            <w:p w:rsidR="00F0486A" w:rsidRPr="00F0486A" w:rsidRDefault="00F0486A" w:rsidP="00F0486A">
                              <w:pPr>
                                <w:spacing w:before="100" w:beforeAutospacing="1" w:after="100" w:afterAutospacing="1" w:line="240" w:lineRule="auto"/>
                                <w:jc w:val="center"/>
                                <w:rPr>
                                  <w:rFonts w:ascii="Verdana" w:eastAsia="Times New Roman" w:hAnsi="Verdana" w:cs="Times New Roman"/>
                                  <w:sz w:val="15"/>
                                  <w:szCs w:val="15"/>
                                  <w:lang w:eastAsia="es-PE"/>
                                </w:rPr>
                              </w:pPr>
                              <w:hyperlink r:id="rId12" w:tgtFrame="_self" w:history="1">
                                <w:r w:rsidRPr="00F0486A">
                                  <w:rPr>
                                    <w:rFonts w:ascii="Verdana" w:eastAsia="Times New Roman" w:hAnsi="Verdana" w:cs="Times New Roman"/>
                                    <w:b/>
                                    <w:bCs/>
                                    <w:color w:val="000080"/>
                                    <w:sz w:val="15"/>
                                    <w:szCs w:val="15"/>
                                    <w:lang w:eastAsia="es-PE"/>
                                  </w:rPr>
                                  <w:t>Control de Cambios</w:t>
                                </w:r>
                                <w:r w:rsidRPr="00F0486A">
                                  <w:rPr>
                                    <w:rFonts w:ascii="Verdana" w:eastAsia="Times New Roman" w:hAnsi="Verdana" w:cs="Times New Roman"/>
                                    <w:color w:val="000080"/>
                                    <w:sz w:val="15"/>
                                    <w:szCs w:val="15"/>
                                    <w:lang w:eastAsia="es-PE"/>
                                  </w:rPr>
                                  <w:t> </w:t>
                                </w:r>
                              </w:hyperlink>
                            </w:p>
                          </w:tc>
                        </w:tr>
                      </w:tbl>
                      <w:p w:rsidR="00F0486A" w:rsidRPr="00F0486A" w:rsidRDefault="00F0486A" w:rsidP="00F0486A">
                        <w:pPr>
                          <w:spacing w:after="0" w:line="240" w:lineRule="auto"/>
                          <w:jc w:val="center"/>
                          <w:rPr>
                            <w:rFonts w:ascii="Verdana" w:eastAsia="Times New Roman" w:hAnsi="Verdana" w:cs="Times New Roman"/>
                            <w:sz w:val="15"/>
                            <w:szCs w:val="15"/>
                            <w:lang w:eastAsia="es-PE"/>
                          </w:rPr>
                        </w:pPr>
                      </w:p>
                    </w:tc>
                  </w:tr>
                </w:tbl>
                <w:p w:rsidR="00F0486A" w:rsidRPr="00F0486A" w:rsidRDefault="00F0486A" w:rsidP="00F0486A">
                  <w:pPr>
                    <w:spacing w:after="0" w:line="240" w:lineRule="auto"/>
                    <w:rPr>
                      <w:rFonts w:ascii="Verdana" w:eastAsia="Times New Roman" w:hAnsi="Verdana" w:cs="Times New Roman"/>
                      <w:sz w:val="15"/>
                      <w:szCs w:val="15"/>
                      <w:lang w:eastAsia="es-PE"/>
                    </w:rPr>
                  </w:pPr>
                </w:p>
              </w:tc>
            </w:tr>
          </w:tbl>
          <w:p w:rsidR="00F0486A" w:rsidRPr="00F0486A" w:rsidRDefault="00F0486A" w:rsidP="00F0486A">
            <w:pPr>
              <w:pBdr>
                <w:bottom w:val="single" w:sz="6" w:space="1" w:color="auto"/>
              </w:pBdr>
              <w:spacing w:after="0" w:line="240" w:lineRule="auto"/>
              <w:jc w:val="center"/>
              <w:rPr>
                <w:rFonts w:ascii="Arial" w:eastAsia="Times New Roman" w:hAnsi="Arial" w:cs="Arial"/>
                <w:vanish/>
                <w:sz w:val="16"/>
                <w:szCs w:val="16"/>
                <w:lang w:eastAsia="es-PE"/>
              </w:rPr>
            </w:pPr>
            <w:r w:rsidRPr="00F0486A">
              <w:rPr>
                <w:rFonts w:ascii="Arial" w:eastAsia="Times New Roman" w:hAnsi="Arial" w:cs="Arial"/>
                <w:vanish/>
                <w:sz w:val="16"/>
                <w:szCs w:val="16"/>
                <w:lang w:eastAsia="es-PE"/>
              </w:rPr>
              <w:t>Principio del formulario</w:t>
            </w:r>
          </w:p>
          <w:p w:rsidR="00F0486A" w:rsidRPr="00F0486A" w:rsidRDefault="00F0486A" w:rsidP="00F0486A">
            <w:pPr>
              <w:spacing w:before="100" w:beforeAutospacing="1" w:after="100" w:afterAutospacing="1" w:line="240" w:lineRule="auto"/>
              <w:rPr>
                <w:rFonts w:ascii="Verdana" w:eastAsia="Times New Roman" w:hAnsi="Verdana" w:cs="Arial"/>
                <w:b/>
                <w:bCs/>
                <w:sz w:val="15"/>
                <w:szCs w:val="20"/>
                <w:lang w:eastAsia="es-PE"/>
              </w:rPr>
            </w:pPr>
            <w:r w:rsidRPr="00F0486A">
              <w:rPr>
                <w:rFonts w:ascii="Verdana" w:eastAsia="Times New Roman" w:hAnsi="Verdana" w:cs="Times New Roman"/>
                <w:b/>
                <w:bCs/>
                <w:sz w:val="15"/>
                <w:szCs w:val="20"/>
                <w:lang w:eastAsia="es-PE"/>
              </w:rPr>
              <w:br/>
            </w:r>
            <w:r w:rsidRPr="00F0486A">
              <w:rPr>
                <w:rFonts w:ascii="Verdana" w:eastAsia="Times New Roman" w:hAnsi="Verdana" w:cs="Arial"/>
                <w:b/>
                <w:bCs/>
                <w:sz w:val="15"/>
                <w:szCs w:val="20"/>
                <w:lang w:eastAsia="es-PE"/>
              </w:rPr>
              <w:t>I.</w:t>
            </w:r>
            <w:bookmarkStart w:id="0" w:name="_GoBack"/>
            <w:bookmarkEnd w:id="0"/>
            <w:r w:rsidRPr="00F0486A">
              <w:rPr>
                <w:rFonts w:ascii="Verdana" w:eastAsia="Times New Roman" w:hAnsi="Verdana" w:cs="Arial"/>
                <w:b/>
                <w:bCs/>
                <w:sz w:val="15"/>
                <w:szCs w:val="20"/>
                <w:lang w:eastAsia="es-PE"/>
              </w:rPr>
              <w:tab/>
              <w:t xml:space="preserve">OBJETIVO </w:t>
            </w:r>
          </w:p>
          <w:p w:rsidR="00F0486A" w:rsidRPr="00F0486A" w:rsidRDefault="00F0486A" w:rsidP="00F0486A">
            <w:pPr>
              <w:spacing w:before="100" w:beforeAutospacing="1" w:after="100" w:afterAutospacing="1" w:line="240" w:lineRule="auto"/>
              <w:rPr>
                <w:rFonts w:ascii="Arial" w:eastAsia="Times New Roman" w:hAnsi="Arial" w:cs="Arial"/>
                <w:lang w:val="es-ES" w:eastAsia="es-PE"/>
              </w:rPr>
            </w:pPr>
            <w:r w:rsidRPr="00F0486A">
              <w:rPr>
                <w:rFonts w:ascii="Verdana" w:eastAsia="Times New Roman" w:hAnsi="Verdana" w:cs="Times New Roman"/>
                <w:sz w:val="15"/>
                <w:szCs w:val="15"/>
                <w:lang w:eastAsia="es-PE"/>
              </w:rPr>
              <w:t>Establecer el procedimiento para la autorización de operadores de comercio exterior por la Administración Aduanera, así como los requisitos para la modificación, renovación, ampliación o revocación de la autorización, de conformidad con la Ley General de Aduanas, su Reglamento y normas pertinentes.</w:t>
            </w:r>
            <w:r w:rsidRPr="00F0486A">
              <w:rPr>
                <w:rFonts w:ascii="Arial" w:eastAsia="Times New Roman" w:hAnsi="Arial" w:cs="Arial"/>
                <w:lang w:val="es-ES" w:eastAsia="es-PE"/>
              </w:rPr>
              <w:t xml:space="preserve"> </w:t>
            </w:r>
          </w:p>
          <w:p w:rsidR="00F0486A" w:rsidRPr="00F0486A" w:rsidRDefault="00F0486A" w:rsidP="00F0486A">
            <w:pPr>
              <w:spacing w:before="100" w:beforeAutospacing="1" w:after="100" w:afterAutospacing="1" w:line="240" w:lineRule="auto"/>
              <w:jc w:val="both"/>
              <w:rPr>
                <w:rFonts w:ascii="Arial" w:eastAsia="Times New Roman" w:hAnsi="Arial" w:cs="Arial"/>
                <w:lang w:val="es-ES" w:eastAsia="es-PE"/>
              </w:rPr>
            </w:pPr>
            <w:r w:rsidRPr="00F0486A">
              <w:rPr>
                <w:rFonts w:ascii="Verdana" w:eastAsia="Times New Roman" w:hAnsi="Verdana" w:cs="Arial"/>
                <w:b/>
                <w:bCs/>
                <w:sz w:val="15"/>
                <w:szCs w:val="20"/>
                <w:lang w:eastAsia="es-PE"/>
              </w:rPr>
              <w:t xml:space="preserve">II. </w:t>
            </w:r>
            <w:r w:rsidRPr="00F0486A">
              <w:rPr>
                <w:rFonts w:ascii="Verdana" w:eastAsia="Times New Roman" w:hAnsi="Verdana" w:cs="Arial"/>
                <w:b/>
                <w:bCs/>
                <w:sz w:val="15"/>
                <w:szCs w:val="20"/>
                <w:lang w:eastAsia="es-PE"/>
              </w:rPr>
              <w:tab/>
              <w:t xml:space="preserve">ALCANCE </w:t>
            </w:r>
          </w:p>
          <w:p w:rsidR="00F0486A" w:rsidRPr="00F0486A" w:rsidRDefault="00F0486A" w:rsidP="00F0486A">
            <w:pPr>
              <w:spacing w:before="100" w:beforeAutospacing="1" w:after="100" w:afterAutospacing="1"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Está dirigido a las personas naturales o jurídicas que solicitan autorización o están autorizadas para desempeñarse como operador de comercio exterior y a la Administración Aduanera</w:t>
            </w:r>
            <w:r w:rsidRPr="00F0486A">
              <w:rPr>
                <w:rFonts w:ascii="Arial" w:eastAsia="Times New Roman" w:hAnsi="Arial" w:cs="Arial"/>
                <w:lang w:val="es-ES" w:eastAsia="es-PE"/>
              </w:rPr>
              <w:t xml:space="preserve">. </w:t>
            </w:r>
          </w:p>
          <w:p w:rsidR="00F0486A" w:rsidRPr="00F0486A" w:rsidRDefault="00F0486A" w:rsidP="00F0486A">
            <w:pPr>
              <w:spacing w:before="100" w:beforeAutospacing="1" w:after="100" w:afterAutospacing="1" w:line="240" w:lineRule="auto"/>
              <w:rPr>
                <w:rFonts w:ascii="Verdana" w:eastAsia="Times New Roman" w:hAnsi="Verdana" w:cs="Arial"/>
                <w:b/>
                <w:bCs/>
                <w:sz w:val="15"/>
                <w:szCs w:val="20"/>
                <w:lang w:eastAsia="es-PE"/>
              </w:rPr>
            </w:pPr>
            <w:r w:rsidRPr="00F0486A">
              <w:rPr>
                <w:rFonts w:ascii="Verdana" w:eastAsia="Times New Roman" w:hAnsi="Verdana" w:cs="Arial"/>
                <w:b/>
                <w:bCs/>
                <w:sz w:val="15"/>
                <w:szCs w:val="20"/>
                <w:lang w:eastAsia="es-PE"/>
              </w:rPr>
              <w:t xml:space="preserve">III. RESPONSABILIDAD </w:t>
            </w:r>
          </w:p>
          <w:p w:rsidR="00F0486A" w:rsidRPr="00F0486A" w:rsidRDefault="00F0486A" w:rsidP="00F0486A">
            <w:pPr>
              <w:spacing w:before="100" w:beforeAutospacing="1" w:after="100" w:afterAutospacing="1"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Son responsables de la aplicación y cumplimiento del presente procedimiento, la Intendencia de Gestión y Control Aduanero, la Intendencia Nacional de Sistemas de Información, las intendencias de aduana de la República y los operadores de comercio exterior.</w:t>
            </w:r>
            <w:r w:rsidRPr="00F0486A">
              <w:rPr>
                <w:rFonts w:ascii="Verdana" w:eastAsia="Times New Roman" w:hAnsi="Verdana" w:cs="Times New Roman"/>
                <w:lang w:eastAsia="es-PE"/>
              </w:rPr>
              <w:t xml:space="preserve"> </w:t>
            </w:r>
            <w:r w:rsidRPr="00F0486A">
              <w:rPr>
                <w:rFonts w:ascii="Verdana" w:eastAsia="Times New Roman" w:hAnsi="Verdana" w:cs="Times New Roman"/>
                <w:sz w:val="15"/>
                <w:szCs w:val="15"/>
                <w:lang w:eastAsia="es-PE"/>
              </w:rPr>
              <w:t xml:space="preserve">  </w:t>
            </w:r>
          </w:p>
          <w:p w:rsidR="00F0486A" w:rsidRPr="00F0486A" w:rsidRDefault="00F0486A" w:rsidP="00F0486A">
            <w:pPr>
              <w:spacing w:after="0" w:line="240" w:lineRule="auto"/>
              <w:ind w:hanging="567"/>
              <w:rPr>
                <w:rFonts w:ascii="Verdana" w:eastAsia="Times New Roman" w:hAnsi="Verdana" w:cs="Times New Roman"/>
                <w:sz w:val="15"/>
                <w:szCs w:val="15"/>
                <w:lang w:eastAsia="es-PE"/>
              </w:rPr>
            </w:pPr>
            <w:r w:rsidRPr="00F0486A">
              <w:rPr>
                <w:rFonts w:ascii="Verdana" w:eastAsia="Times New Roman" w:hAnsi="Verdana" w:cs="Arial"/>
                <w:b/>
                <w:bCs/>
                <w:sz w:val="15"/>
                <w:szCs w:val="20"/>
                <w:lang w:eastAsia="es-PE"/>
              </w:rPr>
              <w:t>IV. DEFINICIONES Y ABREVIATURAS </w:t>
            </w:r>
            <w:r w:rsidRPr="00F0486A">
              <w:rPr>
                <w:rFonts w:ascii="Verdana" w:eastAsia="Times New Roman" w:hAnsi="Verdana" w:cs="Arial"/>
                <w:sz w:val="15"/>
                <w:szCs w:val="20"/>
                <w:lang w:eastAsia="es-PE"/>
              </w:rPr>
              <w:t xml:space="preserve"> </w:t>
            </w:r>
          </w:p>
          <w:p w:rsidR="00F0486A" w:rsidRPr="00F0486A" w:rsidRDefault="00F0486A" w:rsidP="00F0486A">
            <w:pPr>
              <w:spacing w:after="0" w:line="240" w:lineRule="auto"/>
              <w:ind w:hanging="567"/>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Para los fines del presente procedimiento se entiende por:</w:t>
            </w:r>
          </w:p>
          <w:p w:rsidR="00F0486A" w:rsidRPr="00F0486A" w:rsidRDefault="00F0486A" w:rsidP="00F0486A">
            <w:pPr>
              <w:spacing w:after="0" w:line="240" w:lineRule="auto"/>
              <w:ind w:hanging="567"/>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100" w:line="240" w:lineRule="auto"/>
              <w:ind w:hanging="567"/>
              <w:rPr>
                <w:rFonts w:ascii="Arial" w:eastAsia="Times New Roman" w:hAnsi="Arial" w:cs="Arial"/>
                <w:bCs/>
                <w:lang w:val="es-ES" w:eastAsia="es-PE"/>
              </w:rPr>
            </w:pPr>
            <w:r w:rsidRPr="00F0486A">
              <w:rPr>
                <w:rFonts w:ascii="Arial" w:eastAsia="Times New Roman" w:hAnsi="Arial" w:cs="Arial"/>
                <w:bCs/>
                <w:lang w:val="es-ES" w:eastAsia="es-PE"/>
              </w:rPr>
              <w:t>     </w:t>
            </w:r>
            <w:r w:rsidRPr="00F0486A">
              <w:rPr>
                <w:rFonts w:ascii="Arial" w:eastAsia="Times New Roman" w:hAnsi="Arial" w:cs="Arial"/>
                <w:bCs/>
                <w:sz w:val="15"/>
                <w:szCs w:val="15"/>
                <w:lang w:val="es-ES" w:eastAsia="es-PE"/>
              </w:rPr>
              <w:t xml:space="preserve">   </w:t>
            </w:r>
            <w:r w:rsidRPr="00F0486A">
              <w:rPr>
                <w:rFonts w:ascii="Verdana" w:eastAsia="Times New Roman" w:hAnsi="Verdana" w:cs="Times New Roman"/>
                <w:bCs/>
                <w:sz w:val="15"/>
                <w:szCs w:val="15"/>
                <w:lang w:val="es-ES" w:eastAsia="es-PE"/>
              </w:rPr>
              <w:t>1. Administración.- A la Administración Aduanera.</w:t>
            </w:r>
            <w:r w:rsidRPr="00F0486A">
              <w:rPr>
                <w:rFonts w:ascii="Verdana" w:eastAsia="Times New Roman" w:hAnsi="Verdana" w:cs="Times New Roman"/>
                <w:bCs/>
                <w:sz w:val="15"/>
                <w:szCs w:val="15"/>
                <w:lang w:val="es-ES" w:eastAsia="es-PE"/>
              </w:rPr>
              <w:br/>
              <w:t>2. APN.- A la Autoridad Portuaria Nacional.</w:t>
            </w:r>
            <w:r w:rsidRPr="00F0486A">
              <w:rPr>
                <w:rFonts w:ascii="Verdana" w:eastAsia="Times New Roman" w:hAnsi="Verdana" w:cs="Times New Roman"/>
                <w:bCs/>
                <w:sz w:val="15"/>
                <w:szCs w:val="15"/>
                <w:lang w:val="es-ES" w:eastAsia="es-PE"/>
              </w:rPr>
              <w:br/>
              <w:t>3. DAM.- A la declaración aduanera de mercancías.</w:t>
            </w:r>
            <w:r w:rsidRPr="00F0486A">
              <w:rPr>
                <w:rFonts w:ascii="Verdana" w:eastAsia="Times New Roman" w:hAnsi="Verdana" w:cs="Times New Roman"/>
                <w:bCs/>
                <w:sz w:val="15"/>
                <w:szCs w:val="15"/>
                <w:lang w:val="es-ES" w:eastAsia="es-PE"/>
              </w:rPr>
              <w:br/>
              <w:t>4. IGCA.- A la Intendencia Nacional de Gestión y Control Aduanero.</w:t>
            </w:r>
            <w:r w:rsidRPr="00F0486A">
              <w:rPr>
                <w:rFonts w:ascii="Verdana" w:eastAsia="Times New Roman" w:hAnsi="Verdana" w:cs="Times New Roman"/>
                <w:bCs/>
                <w:sz w:val="15"/>
                <w:szCs w:val="15"/>
                <w:lang w:val="es-ES" w:eastAsia="es-PE"/>
              </w:rPr>
              <w:br/>
              <w:t>5. INSI.- A la Intendencia Nacional de Sistemas de Información.</w:t>
            </w:r>
            <w:r w:rsidRPr="00F0486A">
              <w:rPr>
                <w:rFonts w:ascii="Verdana" w:eastAsia="Times New Roman" w:hAnsi="Verdana" w:cs="Times New Roman"/>
                <w:bCs/>
                <w:sz w:val="15"/>
                <w:szCs w:val="15"/>
                <w:lang w:val="es-ES" w:eastAsia="es-PE"/>
              </w:rPr>
              <w:br/>
              <w:t>6. Ley.- A la Ley General de Aduanas.</w:t>
            </w:r>
            <w:r w:rsidRPr="00F0486A">
              <w:rPr>
                <w:rFonts w:ascii="Verdana" w:eastAsia="Times New Roman" w:hAnsi="Verdana" w:cs="Times New Roman"/>
                <w:bCs/>
                <w:sz w:val="15"/>
                <w:szCs w:val="15"/>
                <w:lang w:val="es-ES" w:eastAsia="es-PE"/>
              </w:rPr>
              <w:br/>
              <w:t>7. LPAG.- A la Ley del Procedimiento Administrativo General.</w:t>
            </w:r>
            <w:r w:rsidRPr="00F0486A">
              <w:rPr>
                <w:rFonts w:ascii="Verdana" w:eastAsia="Times New Roman" w:hAnsi="Verdana" w:cs="Times New Roman"/>
                <w:bCs/>
                <w:sz w:val="15"/>
                <w:szCs w:val="15"/>
                <w:lang w:val="es-ES" w:eastAsia="es-PE"/>
              </w:rPr>
              <w:br/>
              <w:t>8. MTC.- Al Ministerio de Transportes y Comunicaciones.</w:t>
            </w:r>
            <w:r w:rsidRPr="00F0486A">
              <w:rPr>
                <w:rFonts w:ascii="Verdana" w:eastAsia="Times New Roman" w:hAnsi="Verdana" w:cs="Times New Roman"/>
                <w:bCs/>
                <w:sz w:val="15"/>
                <w:szCs w:val="15"/>
                <w:lang w:val="es-ES" w:eastAsia="es-PE"/>
              </w:rPr>
              <w:br/>
              <w:t>9. Operador.- Al operador de comercio exterior autorizado por la Administración.</w:t>
            </w:r>
            <w:r w:rsidRPr="00F0486A">
              <w:rPr>
                <w:rFonts w:ascii="Verdana" w:eastAsia="Times New Roman" w:hAnsi="Verdana" w:cs="Times New Roman"/>
                <w:bCs/>
                <w:sz w:val="15"/>
                <w:szCs w:val="15"/>
                <w:lang w:val="es-ES" w:eastAsia="es-PE"/>
              </w:rPr>
              <w:br/>
              <w:t>10. Procedimiento de Garantías.- Al Procedimiento General “Garantías de Operadores de Comercio Exterior” INPCFA-PE.03.04.</w:t>
            </w:r>
            <w:r w:rsidRPr="00F0486A">
              <w:rPr>
                <w:rFonts w:ascii="Verdana" w:eastAsia="Times New Roman" w:hAnsi="Verdana" w:cs="Times New Roman"/>
                <w:bCs/>
                <w:sz w:val="15"/>
                <w:szCs w:val="15"/>
                <w:lang w:val="es-ES" w:eastAsia="es-PE"/>
              </w:rPr>
              <w:br/>
              <w:t>11. Reglamento.- Al Reglamento de la Ley General de Aduanas.</w:t>
            </w:r>
            <w:r w:rsidRPr="00F0486A">
              <w:rPr>
                <w:rFonts w:ascii="Verdana" w:eastAsia="Times New Roman" w:hAnsi="Verdana" w:cs="Times New Roman"/>
                <w:bCs/>
                <w:sz w:val="15"/>
                <w:szCs w:val="15"/>
                <w:lang w:val="es-ES" w:eastAsia="es-PE"/>
              </w:rPr>
              <w:br/>
              <w:t>12. RUC.- Al Registro Único de Contribuyentes.</w:t>
            </w:r>
            <w:r w:rsidRPr="00F0486A">
              <w:rPr>
                <w:rFonts w:ascii="Verdana" w:eastAsia="Times New Roman" w:hAnsi="Verdana" w:cs="Times New Roman"/>
                <w:bCs/>
                <w:sz w:val="15"/>
                <w:szCs w:val="15"/>
                <w:lang w:val="es-ES" w:eastAsia="es-PE"/>
              </w:rPr>
              <w:br/>
              <w:t>13. SDA.- Al Sistema de Despacho Aduanero.</w:t>
            </w:r>
            <w:r w:rsidRPr="00F0486A">
              <w:rPr>
                <w:rFonts w:ascii="Verdana" w:eastAsia="Times New Roman" w:hAnsi="Verdana" w:cs="Times New Roman"/>
                <w:bCs/>
                <w:sz w:val="15"/>
                <w:szCs w:val="15"/>
                <w:lang w:val="es-ES" w:eastAsia="es-PE"/>
              </w:rPr>
              <w:br/>
              <w:t>14. SUNAT.- A la Superintendencia Nacional de Aduanas y de Administración Tributaria.</w:t>
            </w:r>
            <w:r w:rsidRPr="00F0486A">
              <w:rPr>
                <w:rFonts w:ascii="Verdana" w:eastAsia="Times New Roman" w:hAnsi="Verdana" w:cs="Times New Roman"/>
                <w:bCs/>
                <w:sz w:val="15"/>
                <w:szCs w:val="15"/>
                <w:lang w:val="es-ES" w:eastAsia="es-PE"/>
              </w:rPr>
              <w:br/>
              <w:t>15. Tabla de Sanciones.- A la Tabla de Sanciones aplicables a las infracciones previstas en la Ley General de Aduanas.</w:t>
            </w:r>
            <w:r w:rsidRPr="00F0486A">
              <w:rPr>
                <w:rFonts w:ascii="Verdana" w:eastAsia="Times New Roman" w:hAnsi="Verdana" w:cs="Times New Roman"/>
                <w:bCs/>
                <w:sz w:val="15"/>
                <w:szCs w:val="15"/>
                <w:lang w:val="es-ES" w:eastAsia="es-PE"/>
              </w:rPr>
              <w:br/>
              <w:t>16. Transportista.- Al transportista internacional.</w:t>
            </w:r>
            <w:r w:rsidRPr="00F0486A">
              <w:rPr>
                <w:rFonts w:ascii="Verdana" w:eastAsia="Times New Roman" w:hAnsi="Verdana" w:cs="Times New Roman"/>
                <w:bCs/>
                <w:sz w:val="15"/>
                <w:szCs w:val="15"/>
                <w:lang w:val="es-ES" w:eastAsia="es-PE"/>
              </w:rPr>
              <w:br/>
            </w:r>
            <w:r w:rsidRPr="00F0486A">
              <w:rPr>
                <w:rFonts w:ascii="Verdana" w:eastAsia="Times New Roman" w:hAnsi="Verdana" w:cs="Times New Roman"/>
                <w:bCs/>
                <w:sz w:val="15"/>
                <w:szCs w:val="15"/>
                <w:lang w:val="es-ES" w:eastAsia="es-PE"/>
              </w:rPr>
              <w:br/>
              <w:t xml:space="preserve">Cuando se mencione a una sección, literal, numeral o anexo, sin especificar norma alguna, se entenderá que corresponde al presente procedimiento. </w:t>
            </w:r>
          </w:p>
          <w:p w:rsidR="00F0486A" w:rsidRPr="00F0486A" w:rsidRDefault="00F0486A" w:rsidP="00F0486A">
            <w:pPr>
              <w:spacing w:before="100" w:beforeAutospacing="1" w:after="100" w:afterAutospacing="1" w:line="240" w:lineRule="auto"/>
              <w:rPr>
                <w:rFonts w:ascii="Verdana" w:eastAsia="Times New Roman" w:hAnsi="Verdana" w:cs="Arial"/>
                <w:b/>
                <w:bCs/>
                <w:sz w:val="15"/>
                <w:szCs w:val="20"/>
                <w:lang w:eastAsia="es-PE"/>
              </w:rPr>
            </w:pPr>
            <w:r w:rsidRPr="00F0486A">
              <w:rPr>
                <w:rFonts w:ascii="Verdana" w:eastAsia="Times New Roman" w:hAnsi="Verdana" w:cs="Times New Roman"/>
                <w:sz w:val="15"/>
                <w:szCs w:val="15"/>
                <w:lang w:eastAsia="es-PE"/>
              </w:rPr>
              <w:t> </w:t>
            </w:r>
            <w:r w:rsidRPr="00F0486A">
              <w:rPr>
                <w:rFonts w:ascii="Verdana" w:eastAsia="Times New Roman" w:hAnsi="Verdana" w:cs="Arial"/>
                <w:b/>
                <w:bCs/>
                <w:sz w:val="15"/>
                <w:szCs w:val="20"/>
                <w:lang w:eastAsia="es-PE"/>
              </w:rPr>
              <w:t>V</w:t>
            </w:r>
            <w:r w:rsidRPr="00F0486A">
              <w:rPr>
                <w:rFonts w:ascii="Verdana" w:eastAsia="Times New Roman" w:hAnsi="Verdana" w:cs="Arial"/>
                <w:b/>
                <w:bCs/>
                <w:sz w:val="15"/>
                <w:szCs w:val="20"/>
                <w:lang w:eastAsia="es-PE"/>
              </w:rPr>
              <w:tab/>
              <w:t xml:space="preserve">.BASE LEGAL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-Ley General de Aduanas, Decreto Legislativo N° 1053, y sus normas modificatorias, publicada el 27.6.2008.</w:t>
            </w:r>
            <w:r w:rsidRPr="00F0486A">
              <w:rPr>
                <w:rFonts w:ascii="Verdana" w:eastAsia="Times New Roman" w:hAnsi="Verdana" w:cs="Times New Roman"/>
                <w:sz w:val="15"/>
                <w:szCs w:val="15"/>
                <w:lang w:eastAsia="es-PE"/>
              </w:rPr>
              <w:br/>
              <w:t>-Ley del Procedimiento Administrativo General, Ley N° 27444, y sus normas modificatorias, publicada el 11.4.2001.</w:t>
            </w:r>
            <w:r w:rsidRPr="00F0486A">
              <w:rPr>
                <w:rFonts w:ascii="Verdana" w:eastAsia="Times New Roman" w:hAnsi="Verdana" w:cs="Times New Roman"/>
                <w:sz w:val="15"/>
                <w:szCs w:val="15"/>
                <w:lang w:eastAsia="es-PE"/>
              </w:rPr>
              <w:br/>
              <w:t>-Ley de los Delitos Aduaneros, Ley N° 28008, y normas modificatorias, publicada el 19.6.2003.</w:t>
            </w:r>
            <w:r w:rsidRPr="00F0486A">
              <w:rPr>
                <w:rFonts w:ascii="Verdana" w:eastAsia="Times New Roman" w:hAnsi="Verdana" w:cs="Times New Roman"/>
                <w:sz w:val="15"/>
                <w:szCs w:val="15"/>
                <w:lang w:eastAsia="es-PE"/>
              </w:rPr>
              <w:br/>
              <w:t xml:space="preserve">-Tabla de Sanciones aplicables a las infracciones previstas en la Ley General de Aduanas, aprobada por el Decreto </w:t>
            </w:r>
            <w:r w:rsidRPr="00F0486A">
              <w:rPr>
                <w:rFonts w:ascii="Verdana" w:eastAsia="Times New Roman" w:hAnsi="Verdana" w:cs="Times New Roman"/>
                <w:sz w:val="15"/>
                <w:szCs w:val="15"/>
                <w:lang w:eastAsia="es-PE"/>
              </w:rPr>
              <w:lastRenderedPageBreak/>
              <w:t>Supremo N° 031-2009-EF y normas modificatorias, publicada el 11.2.2009.</w:t>
            </w:r>
            <w:r w:rsidRPr="00F0486A">
              <w:rPr>
                <w:rFonts w:ascii="Verdana" w:eastAsia="Times New Roman" w:hAnsi="Verdana" w:cs="Times New Roman"/>
                <w:sz w:val="15"/>
                <w:szCs w:val="15"/>
                <w:lang w:eastAsia="es-PE"/>
              </w:rPr>
              <w:br/>
              <w:t>-Reglamento de la Ley General de Aduanas, aprobado por el Decreto Supremo N° 010-2009-EF y sus normas modificatorias, publicado el 16.1.2009.</w:t>
            </w:r>
            <w:r w:rsidRPr="00F0486A">
              <w:rPr>
                <w:rFonts w:ascii="Verdana" w:eastAsia="Times New Roman" w:hAnsi="Verdana" w:cs="Times New Roman"/>
                <w:sz w:val="15"/>
                <w:szCs w:val="15"/>
                <w:lang w:eastAsia="es-PE"/>
              </w:rPr>
              <w:br/>
              <w:t>-Reglamento de la Ley de los Delitos Aduaneros, aprobado por el Decreto Supremo N° 121-2003-EF y normas modificatorias, publicado el 27.8.2003</w:t>
            </w:r>
            <w:r w:rsidRPr="00F0486A">
              <w:rPr>
                <w:rFonts w:ascii="Verdana" w:eastAsia="Times New Roman" w:hAnsi="Verdana" w:cs="Times New Roman"/>
                <w:sz w:val="15"/>
                <w:szCs w:val="15"/>
                <w:lang w:eastAsia="es-PE"/>
              </w:rPr>
              <w:br/>
              <w:t>-Procedimiento General “Garantías de Operadores de Comercio Exterior” INPCFA-PE.03.04, aprobado por la Resolución de Superintendencia Nacional Adjunta de Aduanas N° 493-2005-SUNAT/A y sus modificatorias, publicada el 23.10.2005.</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Arial"/>
                <w:b/>
                <w:bCs/>
                <w:sz w:val="15"/>
                <w:szCs w:val="20"/>
                <w:lang w:eastAsia="es-PE"/>
              </w:rPr>
              <w:t>VI. DISPOSICIONES GENERALES</w:t>
            </w:r>
          </w:p>
          <w:p w:rsidR="00F0486A" w:rsidRPr="00F0486A" w:rsidRDefault="00F0486A" w:rsidP="00F0486A">
            <w:pPr>
              <w:spacing w:after="10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1.  De los operadores </w:t>
            </w:r>
            <w:r w:rsidRPr="00F0486A">
              <w:rPr>
                <w:rFonts w:ascii="Verdana" w:eastAsia="Times New Roman" w:hAnsi="Verdana" w:cs="Times New Roman"/>
                <w:sz w:val="15"/>
                <w:szCs w:val="15"/>
                <w:lang w:eastAsia="es-PE"/>
              </w:rPr>
              <w:t xml:space="preserve"> </w:t>
            </w:r>
          </w:p>
          <w:p w:rsidR="00F0486A" w:rsidRPr="00F0486A" w:rsidRDefault="00F0486A" w:rsidP="00F0486A">
            <w:pPr>
              <w:spacing w:after="0" w:line="240" w:lineRule="auto"/>
              <w:rPr>
                <w:rFonts w:ascii="Verdana" w:eastAsia="Times New Roman" w:hAnsi="Verdana" w:cs="Times New Roman"/>
                <w:b/>
                <w:bCs/>
                <w:sz w:val="15"/>
                <w:szCs w:val="15"/>
                <w:lang w:eastAsia="es-PE"/>
              </w:rPr>
            </w:pPr>
            <w:r w:rsidRPr="00F0486A">
              <w:rPr>
                <w:rFonts w:ascii="Arial" w:eastAsia="Times New Roman" w:hAnsi="Arial" w:cs="Arial"/>
                <w:b/>
                <w:bCs/>
                <w:lang w:eastAsia="es-PE"/>
              </w:rPr>
              <w:t xml:space="preserve">     </w:t>
            </w:r>
            <w:r w:rsidRPr="00F0486A">
              <w:rPr>
                <w:rFonts w:ascii="Verdana" w:eastAsia="Times New Roman" w:hAnsi="Verdana" w:cs="Times New Roman"/>
                <w:sz w:val="15"/>
                <w:szCs w:val="15"/>
                <w:lang w:eastAsia="es-PE"/>
              </w:rPr>
              <w:t xml:space="preserve">En el presente procedimiento, son operadores: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1.1   Los despachadores de aduana: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a) En su calidad de dueños, consignatarios o consignantes, pueden ser: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    Los dueños, consignatarios o consignantes personas naturales o personas jurídicas.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ii.   Las misiones diplomáticas, oficinas consulares, representaciones permanentes u organismos internacionales, acreditados en el país. </w:t>
            </w:r>
          </w:p>
          <w:p w:rsidR="00F0486A" w:rsidRPr="00F0486A" w:rsidRDefault="00F0486A" w:rsidP="00F0486A">
            <w:pPr>
              <w:spacing w:after="10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iii.  Las entidades religiosas, instituciones privadas sin fines de lucro receptoras de donaciones de carácter asistencial o educacional, entidades e instituciones extranjeras de cooperación internacional - ENIEX, organizaciones no gubernamentales de desarrollo nacionales - ONGD-PERU, que se encuentren debidamente registradas en la Agencia Peruana de Cooperación Internacional - APCI.</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b) Entidades públicas, a través de sus despachadores oficiales.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c)  Agentes de aduana.</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1.2  Transportistas o sus representantes, autorizados por el MTC o la APN, según corresponda. Las agencias marítimas, fluviales o lacustres son representantes en el país de los transportistas marítimos,</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fluviales o lacustres, respectivamente.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1.3   Agentes de carga internacional, autorizados por el MTC.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1.4   Los almacenes aduaneros, pueden ser: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a)  Depósitos temporales.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b)  Depósitos aduaneros. </w:t>
            </w:r>
          </w:p>
          <w:p w:rsidR="00F0486A" w:rsidRPr="00F0486A" w:rsidRDefault="00F0486A" w:rsidP="00F0486A">
            <w:pPr>
              <w:spacing w:after="10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c)  Depósitos flotantes.</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1.5   Empresas del servicio postal.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1.6   Empresas de servicio de entrega rápida.</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1.7   Almacenes libres (Duty Free).</w:t>
            </w:r>
          </w:p>
          <w:p w:rsidR="00F0486A" w:rsidRPr="00F0486A" w:rsidRDefault="00F0486A" w:rsidP="00F0486A">
            <w:pPr>
              <w:spacing w:after="10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1.8   Beneficiarios de material de uso aeronáutico.</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val="es-ES" w:eastAsia="es-PE"/>
              </w:rPr>
              <w:t>      2. Responsabilidad de los operadores</w:t>
            </w:r>
          </w:p>
          <w:p w:rsidR="00F0486A" w:rsidRPr="00F0486A" w:rsidRDefault="00F0486A" w:rsidP="00F0486A">
            <w:pPr>
              <w:spacing w:after="10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Los operadores que intervienen en los procedimientos aduaneros previstos en la Ley, el Reglamento y demás normas aduaneras, son responsables administrativa, tributaria, civil y penalmente del cumplimiento de sus obligaciones.</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Arial" w:eastAsia="Times New Roman" w:hAnsi="Arial" w:cs="Arial"/>
                <w:b/>
                <w:bCs/>
                <w:lang w:val="es-ES" w:eastAsia="es-PE"/>
              </w:rPr>
              <w:t xml:space="preserve">3.   </w:t>
            </w:r>
            <w:r w:rsidRPr="00F0486A">
              <w:rPr>
                <w:rFonts w:ascii="Verdana" w:eastAsia="Times New Roman" w:hAnsi="Verdana" w:cs="Times New Roman"/>
                <w:b/>
                <w:bCs/>
                <w:sz w:val="15"/>
                <w:szCs w:val="15"/>
                <w:lang w:val="es-ES" w:eastAsia="es-PE"/>
              </w:rPr>
              <w:t>3. Facultad para autorizar y revocar a los operadores</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val="es-ES" w:eastAsia="es-PE"/>
              </w:rPr>
              <w:t xml:space="preserve">           </w:t>
            </w:r>
            <w:r w:rsidRPr="00F0486A">
              <w:rPr>
                <w:rFonts w:ascii="Verdana" w:eastAsia="Times New Roman" w:hAnsi="Verdana" w:cs="Times New Roman"/>
                <w:sz w:val="15"/>
                <w:szCs w:val="15"/>
                <w:lang w:val="es-ES" w:eastAsia="es-PE"/>
              </w:rPr>
              <w:t xml:space="preserve">La </w:t>
            </w:r>
            <w:r w:rsidRPr="00F0486A">
              <w:rPr>
                <w:rFonts w:ascii="Verdana" w:eastAsia="Times New Roman" w:hAnsi="Verdana" w:cs="Times New Roman"/>
                <w:sz w:val="15"/>
                <w:szCs w:val="15"/>
                <w:lang w:eastAsia="es-PE"/>
              </w:rPr>
              <w:t>IGCA autoriza y revoca a los operadores.</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val="es-ES" w:eastAsia="es-PE"/>
              </w:rPr>
              <w:t xml:space="preserve">      </w:t>
            </w:r>
            <w:r w:rsidRPr="00F0486A">
              <w:rPr>
                <w:rFonts w:ascii="Verdana" w:eastAsia="Arial" w:hAnsi="Verdana" w:cs="Times New Roman"/>
                <w:b/>
                <w:bCs/>
                <w:sz w:val="15"/>
                <w:szCs w:val="15"/>
                <w:lang w:val="es-ES" w:eastAsia="es-PE"/>
              </w:rPr>
              <w:t>4.</w:t>
            </w:r>
            <w:r w:rsidRPr="00F0486A">
              <w:rPr>
                <w:rFonts w:ascii="Verdana" w:eastAsia="Arial" w:hAnsi="Verdana" w:cs="Times New Roman"/>
                <w:sz w:val="15"/>
                <w:szCs w:val="15"/>
                <w:lang w:val="es-ES" w:eastAsia="es-PE"/>
              </w:rPr>
              <w:t xml:space="preserve">   </w:t>
            </w:r>
            <w:r w:rsidRPr="00F0486A">
              <w:rPr>
                <w:rFonts w:ascii="Verdana" w:eastAsia="Times New Roman" w:hAnsi="Verdana" w:cs="Times New Roman"/>
                <w:b/>
                <w:bCs/>
                <w:sz w:val="15"/>
                <w:szCs w:val="15"/>
                <w:lang w:val="es-ES" w:eastAsia="es-PE"/>
              </w:rPr>
              <w:t>De las renovaciones</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ind w:hanging="283"/>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val="es-ES" w:eastAsia="es-PE"/>
              </w:rPr>
              <w:t>          </w:t>
            </w:r>
            <w:r w:rsidRPr="00F0486A">
              <w:rPr>
                <w:rFonts w:ascii="Verdana" w:eastAsia="Times New Roman" w:hAnsi="Verdana" w:cs="Times New Roman"/>
                <w:sz w:val="15"/>
                <w:szCs w:val="15"/>
                <w:lang w:val="es-ES" w:eastAsia="es-PE"/>
              </w:rPr>
              <w:t xml:space="preserve"> </w:t>
            </w:r>
            <w:r w:rsidRPr="00F0486A">
              <w:rPr>
                <w:rFonts w:ascii="Verdana" w:eastAsia="Times New Roman" w:hAnsi="Verdana" w:cs="Times New Roman"/>
                <w:sz w:val="15"/>
                <w:szCs w:val="15"/>
                <w:lang w:eastAsia="es-PE"/>
              </w:rPr>
              <w:t>El operador debe solicitar la renovación de la autorización otorgada por la Administración antes de su vencimiento, previo cumplimiento de los requisitos vigentes para operar. </w:t>
            </w:r>
          </w:p>
          <w:p w:rsidR="00F0486A" w:rsidRPr="00F0486A" w:rsidRDefault="00F0486A" w:rsidP="00F0486A">
            <w:pPr>
              <w:spacing w:after="0" w:line="240" w:lineRule="auto"/>
              <w:ind w:left="397" w:hanging="283"/>
              <w:rPr>
                <w:rFonts w:ascii="Verdana" w:eastAsia="Times New Roman" w:hAnsi="Verdana" w:cs="Times New Roman"/>
                <w:lang w:val="es-ES" w:eastAsia="es-PE"/>
              </w:rPr>
            </w:pPr>
            <w:r w:rsidRPr="00F0486A">
              <w:rPr>
                <w:rFonts w:ascii="Verdana" w:eastAsia="Times New Roman" w:hAnsi="Verdana" w:cs="Times New Roman"/>
                <w:sz w:val="15"/>
                <w:szCs w:val="15"/>
                <w:lang w:val="es-ES" w:eastAsia="es-PE"/>
              </w:rPr>
              <w:t xml:space="preserve">     En el caso de que el permiso de renovación concedido por el MTC para los transportistas aéreos y beneficiarios de material de uso aeronáutico no exceda el plazo de 60 días, la Administración puede renovar automáticamente la autorización otorgada, sin la necesidad de expedir resolución alguna. </w:t>
            </w:r>
          </w:p>
          <w:p w:rsidR="00F0486A" w:rsidRPr="00F0486A" w:rsidRDefault="00F0486A" w:rsidP="00F0486A">
            <w:pPr>
              <w:spacing w:before="100" w:beforeAutospacing="1" w:after="100" w:afterAutospacing="1" w:line="240" w:lineRule="auto"/>
              <w:rPr>
                <w:rFonts w:ascii="Verdana" w:eastAsia="Times New Roman" w:hAnsi="Verdana" w:cs="Times New Roman"/>
                <w:sz w:val="15"/>
                <w:szCs w:val="15"/>
                <w:lang w:eastAsia="es-PE"/>
              </w:rPr>
            </w:pPr>
            <w:r w:rsidRPr="00F0486A">
              <w:rPr>
                <w:rFonts w:ascii="Verdana" w:eastAsia="Times New Roman" w:hAnsi="Verdana" w:cs="Arial"/>
                <w:b/>
                <w:bCs/>
                <w:sz w:val="15"/>
                <w:szCs w:val="20"/>
                <w:lang w:eastAsia="es-PE"/>
              </w:rPr>
              <w:t>VII</w:t>
            </w:r>
            <w:r w:rsidRPr="00F0486A">
              <w:rPr>
                <w:rFonts w:ascii="Verdana" w:eastAsia="Times New Roman" w:hAnsi="Verdana" w:cs="Arial"/>
                <w:b/>
                <w:bCs/>
                <w:sz w:val="15"/>
                <w:szCs w:val="20"/>
                <w:lang w:eastAsia="es-PE"/>
              </w:rPr>
              <w:tab/>
              <w:t>.DESCRIPCIÓN</w:t>
            </w:r>
            <w:r w:rsidRPr="00F0486A">
              <w:rPr>
                <w:rFonts w:ascii="Verdana" w:eastAsia="Times New Roman" w:hAnsi="Verdana" w:cs="Arial"/>
                <w:b/>
                <w:bCs/>
                <w:sz w:val="15"/>
                <w:szCs w:val="20"/>
                <w:lang w:eastAsia="es-PE"/>
              </w:rPr>
              <w:br/>
            </w:r>
            <w:r w:rsidRPr="00F0486A">
              <w:rPr>
                <w:rFonts w:ascii="Verdana" w:eastAsia="Times New Roman" w:hAnsi="Verdana" w:cs="Arial"/>
                <w:b/>
                <w:bCs/>
                <w:sz w:val="15"/>
                <w:szCs w:val="20"/>
                <w:lang w:eastAsia="es-PE"/>
              </w:rPr>
              <w:br/>
              <w:t>A. DE LA SOLICITUD</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Los interesados presentan la solicitud en el formato establecido en el Anexo 1, ante cualquier oficina de trámite documentario de la SUNAT.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Arial"/>
                <w:b/>
                <w:bCs/>
                <w:sz w:val="15"/>
                <w:szCs w:val="15"/>
                <w:lang w:eastAsia="es-PE"/>
              </w:rPr>
              <w:br/>
            </w:r>
            <w:r w:rsidRPr="00F0486A">
              <w:rPr>
                <w:rFonts w:ascii="Verdana" w:eastAsia="Times New Roman" w:hAnsi="Verdana" w:cs="Arial"/>
                <w:b/>
                <w:bCs/>
                <w:sz w:val="15"/>
                <w:szCs w:val="20"/>
                <w:lang w:eastAsia="es-PE"/>
              </w:rPr>
              <w:t>B. DE LOS REQUISITOS PARA AUTORIZAR A LOS OPERADORES</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w:t>
            </w:r>
          </w:p>
          <w:p w:rsidR="00F0486A" w:rsidRPr="00F0486A" w:rsidRDefault="00F0486A" w:rsidP="00F0486A">
            <w:pPr>
              <w:spacing w:after="0" w:line="240" w:lineRule="auto"/>
              <w:ind w:left="330"/>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r w:rsidRPr="00F0486A">
              <w:rPr>
                <w:rFonts w:ascii="Verdana" w:eastAsia="Times New Roman" w:hAnsi="Verdana" w:cs="Times New Roman"/>
                <w:sz w:val="15"/>
                <w:szCs w:val="15"/>
                <w:u w:val="single"/>
                <w:lang w:eastAsia="es-PE"/>
              </w:rPr>
              <w:t>Los interesados deben cumplir con los requisitos establecidos en la Ley, en el Reglamento y en los anexos del 2 al 13, según el tipo de operador que se trate.</w:t>
            </w:r>
            <w:r w:rsidRPr="00F0486A">
              <w:rPr>
                <w:rFonts w:ascii="Verdana" w:eastAsia="Times New Roman" w:hAnsi="Verdana" w:cs="Times New Roman"/>
                <w:sz w:val="15"/>
                <w:szCs w:val="15"/>
                <w:u w:val="single"/>
                <w:lang w:eastAsia="es-PE"/>
              </w:rPr>
              <w:br/>
            </w:r>
            <w:r w:rsidRPr="00F0486A">
              <w:rPr>
                <w:rFonts w:ascii="Verdana" w:eastAsia="Times New Roman" w:hAnsi="Verdana" w:cs="Times New Roman"/>
                <w:sz w:val="15"/>
                <w:szCs w:val="15"/>
                <w:u w:val="single"/>
                <w:lang w:eastAsia="es-PE"/>
              </w:rPr>
              <w:br/>
              <w:t xml:space="preserve">La información y los documentos requeridos en todos los anexos del presente procedimiento, referidos a la designación de representantes legales y a la titularidad o dominio sobre bienes registrados pueden ser </w:t>
            </w:r>
            <w:r w:rsidRPr="00F0486A">
              <w:rPr>
                <w:rFonts w:ascii="Verdana" w:eastAsia="Times New Roman" w:hAnsi="Verdana" w:cs="Times New Roman"/>
                <w:sz w:val="15"/>
                <w:szCs w:val="15"/>
                <w:u w:val="single"/>
                <w:lang w:eastAsia="es-PE"/>
              </w:rPr>
              <w:lastRenderedPageBreak/>
              <w:t xml:space="preserve">sustituidos, a opción del administrado, por declaración jurada, conforme a lo establecido en la LPAG. </w:t>
            </w:r>
            <w:hyperlink r:id="rId13" w:history="1">
              <w:r w:rsidRPr="00F0486A">
                <w:rPr>
                  <w:rFonts w:ascii="Verdana" w:eastAsia="Times New Roman" w:hAnsi="Verdana" w:cs="Times New Roman"/>
                  <w:i/>
                  <w:iCs/>
                  <w:color w:val="000080"/>
                  <w:sz w:val="15"/>
                  <w:szCs w:val="15"/>
                  <w:lang w:eastAsia="es-PE"/>
                </w:rPr>
                <w:t>(RIN N° 05-2018-SUNAT/310000 - 04/02/2018)</w:t>
              </w:r>
            </w:hyperlink>
          </w:p>
          <w:p w:rsidR="00F0486A" w:rsidRPr="00F0486A" w:rsidRDefault="00F0486A" w:rsidP="00F0486A">
            <w:pPr>
              <w:spacing w:before="100" w:beforeAutospacing="1" w:after="100" w:afterAutospacing="1" w:line="240" w:lineRule="auto"/>
              <w:rPr>
                <w:rFonts w:ascii="Verdana" w:eastAsia="Times New Roman" w:hAnsi="Verdana" w:cs="Times New Roman"/>
                <w:sz w:val="15"/>
                <w:szCs w:val="15"/>
                <w:lang w:eastAsia="es-PE"/>
              </w:rPr>
            </w:pPr>
            <w:r w:rsidRPr="00F0486A">
              <w:rPr>
                <w:rFonts w:ascii="Verdana" w:eastAsia="Times New Roman" w:hAnsi="Verdana" w:cs="Arial"/>
                <w:b/>
                <w:bCs/>
                <w:sz w:val="15"/>
                <w:szCs w:val="20"/>
                <w:lang w:eastAsia="es-PE"/>
              </w:rPr>
              <w:t>C. DEL TRAMITE DE LA SOLICITUD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Arial"/>
                <w:b/>
                <w:bCs/>
                <w:sz w:val="15"/>
                <w:szCs w:val="20"/>
                <w:lang w:eastAsia="es-PE"/>
              </w:rPr>
              <w:t>     C1. EVALUACIÓN DE LA DOCUMENTACIÓN</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1.   El área de trámite documentario de la unidad organizacional receptora remite la solicitud a la IGCA, para su atención.</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2.   El personal encargado de la IGCA evalúa la solicitud, constata la presentación de los documentos exigibles, y la información y condición de su inscripción en el RUC, conforme se indica en el anexo respectivo, según el operador del que se trate.</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3.   De no ser conforme, notifica al interesado para que subsane las observaciones dentro del plazo de quince (15) días hábiles contados a partir del día siguiente de recibida la notificación. De no efectuarse la subsanación, procede conforme a lo establecido en el artículo 191° de la LPAG, con lo que se da por concluido el procedimiento.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4. De ser conforme, el personal encargado de la IGCA efectúa la verificación física de la infraestructura del local del interesado.</w:t>
            </w:r>
          </w:p>
          <w:p w:rsidR="00F0486A" w:rsidRPr="00F0486A" w:rsidRDefault="00F0486A" w:rsidP="00F0486A">
            <w:pPr>
              <w:spacing w:after="0" w:line="240" w:lineRule="auto"/>
              <w:rPr>
                <w:rFonts w:ascii="Verdana" w:eastAsia="Times New Roman" w:hAnsi="Verdana" w:cs="Times New Roman"/>
                <w:bCs/>
                <w:lang w:val="es-ES" w:eastAsia="es-PE"/>
              </w:rPr>
            </w:pPr>
            <w:r w:rsidRPr="00F0486A">
              <w:rPr>
                <w:rFonts w:ascii="Verdana" w:eastAsia="Times New Roman" w:hAnsi="Verdana" w:cs="Arial"/>
                <w:b/>
                <w:bCs/>
                <w:sz w:val="15"/>
                <w:szCs w:val="20"/>
                <w:lang w:eastAsia="es-PE"/>
              </w:rPr>
              <w:t>     C2. DE LA VERIFICACIÓN DE LA INFRAESTRUCTURA</w:t>
            </w:r>
            <w:r w:rsidRPr="00F0486A">
              <w:rPr>
                <w:rFonts w:ascii="Verdana" w:eastAsia="Times New Roman" w:hAnsi="Verdana" w:cs="Times New Roman"/>
                <w:bCs/>
                <w:lang w:val="es-ES" w:eastAsia="es-PE"/>
              </w:rPr>
              <w:t xml:space="preserv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rPr>
                <w:rFonts w:ascii="Verdana" w:eastAsia="Times New Roman" w:hAnsi="Verdana" w:cs="Times New Roman"/>
                <w:b/>
                <w:bCs/>
                <w:sz w:val="15"/>
                <w:szCs w:val="15"/>
                <w:lang w:eastAsia="es-PE"/>
              </w:rPr>
            </w:pPr>
            <w:r w:rsidRPr="00F0486A">
              <w:rPr>
                <w:rFonts w:ascii="Verdana" w:eastAsia="Times New Roman" w:hAnsi="Verdana" w:cs="Times New Roman"/>
                <w:sz w:val="15"/>
                <w:szCs w:val="15"/>
                <w:lang w:eastAsia="es-PE"/>
              </w:rPr>
              <w:t xml:space="preserve">         </w:t>
            </w:r>
            <w:r w:rsidRPr="00F0486A">
              <w:rPr>
                <w:rFonts w:ascii="Verdana" w:eastAsia="Times New Roman" w:hAnsi="Verdana" w:cs="Times New Roman"/>
                <w:b/>
                <w:bCs/>
                <w:sz w:val="15"/>
                <w:szCs w:val="15"/>
                <w:lang w:eastAsia="es-PE"/>
              </w:rPr>
              <w:t xml:space="preserve">C2.1 Comunicación de la diligencia de verificación al interesado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1.   La IGCA comunica al interesado la realización de la verificación física, cuando el local se encuentre dentro de las circunscripciones de las Intendencias de Aduana Marítima del Callao, y Aérea y    Postal.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2.   En caso de circunscripciones distintas a las indicadas, la IGCA podrá solicitar a la respectiva intendencia de aduana que efectúe la comunicación y realice la  verificación física.</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C2.2 De la verificación física de la infraestructura</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1.   En la visita de verificación, el personal designado evalúa si se cumplen con los requisitos de infraestructura. Una vez terminada la diligencia formula el acta de verificación, conforme a lo siguiente: </w:t>
            </w:r>
          </w:p>
          <w:p w:rsidR="00F0486A" w:rsidRPr="00F0486A" w:rsidRDefault="00F0486A" w:rsidP="00F0486A">
            <w:pPr>
              <w:spacing w:after="100" w:line="240" w:lineRule="auto"/>
              <w:rPr>
                <w:rFonts w:ascii="Arial" w:eastAsia="Times New Roman" w:hAnsi="Arial" w:cs="Arial"/>
                <w:lang w:val="es-ES" w:eastAsia="es-PE"/>
              </w:rPr>
            </w:pPr>
            <w:r w:rsidRPr="00F0486A">
              <w:rPr>
                <w:rFonts w:ascii="Verdana" w:eastAsia="Times New Roman" w:hAnsi="Verdana" w:cs="Times New Roman"/>
                <w:sz w:val="15"/>
                <w:szCs w:val="15"/>
                <w:lang w:eastAsia="es-PE"/>
              </w:rPr>
              <w:t>a. Cuando se trata del dueño, consignatario o consignante, entidad pública, agente de aduana, empresa del servicio postal, transportista o su representante, almacén libre (Duty Free) y beneficiario de material de uso aeronáutico, utiliza el formato del Anexo 21.</w:t>
            </w:r>
            <w:r w:rsidRPr="00F0486A">
              <w:rPr>
                <w:rFonts w:ascii="Arial" w:eastAsia="Times New Roman" w:hAnsi="Arial" w:cs="Arial"/>
                <w:lang w:val="es-ES" w:eastAsia="es-PE"/>
              </w:rPr>
              <w:t xml:space="preserv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b. Cuando se trata del almacén aduanero, utiliza el formato del Anexo 22.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En ambos casos, el indicado personal suscribe las actas conjuntamente con el interesado o su representante.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2.   De haber observaciones, requiere al interesado en la misma acta la subsanación respectiva, y le otorga un plazo máximo de quince (15) días hábiles, contados a partir del día siguiente de la fecha de formulación del acta.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3.   Una vez subsanadas las observaciones, se realiza una nueva verificación y se deja constancia de su resultado.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4.   En el caso de verificaciones realizadas por una intendencia de aduana, el personal encargado remite las actas formuladas y toda la documentación correspondiente a la IGCA, asimismo, devuelve la documentación del interesado que no se ha presentado a la verificación física. De existir observaciones, se aplica lo previsto en los numerales 2 y 3 precedentes.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5.   Si el interesado abandona el trámite de su solicitud, la IGCA procede conforme a lo establecido en el artículo 191° de la LPAG, con lo que se da por concluido el procedimiento.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w:t>
            </w:r>
            <w:r w:rsidRPr="00F0486A">
              <w:rPr>
                <w:rFonts w:ascii="Verdana" w:eastAsia="Times New Roman" w:hAnsi="Verdana" w:cs="Times New Roman"/>
                <w:b/>
                <w:bCs/>
                <w:sz w:val="15"/>
                <w:szCs w:val="15"/>
                <w:lang w:eastAsia="es-PE"/>
              </w:rPr>
              <w:t>C2.3 De los sistemas y equipos</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Tratándose de los almacenes aduaneros, a solicitud de la IGCA el personal de la INSI:</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1.   Verifica el sistema de comunicación de datos y equipos de cómputo instalados en la oficina destinada para la autoridad aduanera, conforme a las especificaciones técnicas señaladas en el Anexo 18 y formula el “Acta de realización de pruebas técnicas”.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2.   Verifica el sistema de monitoreo de cámaras de televisión instalado en el almacén aduanero o depósito de material de uso aeronáutico, de conformidad con las especificaciones técnicas señaladas en el Anexo 19 y formula el acta conforme al Anexo 23.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3.   La INSI remite a la IGCA las referidas actas.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4.   Si las actas tuvieran observaciones, la IGCA procede conforme se está previsto en los numerales 2 y 3 del literal C2.2.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r w:rsidRPr="00F0486A">
              <w:rPr>
                <w:rFonts w:ascii="Verdana" w:eastAsia="Times New Roman" w:hAnsi="Verdana" w:cs="Times New Roman"/>
                <w:b/>
                <w:bCs/>
                <w:sz w:val="15"/>
                <w:szCs w:val="15"/>
                <w:lang w:eastAsia="es-PE"/>
              </w:rPr>
              <w:t xml:space="preserve">C2.4 De la resolución autorizante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rPr>
                <w:rFonts w:ascii="Arial" w:eastAsia="Times New Roman" w:hAnsi="Arial" w:cs="Arial"/>
                <w:lang w:val="es-ES" w:eastAsia="es-PE"/>
              </w:rPr>
            </w:pPr>
            <w:r w:rsidRPr="00F0486A">
              <w:rPr>
                <w:rFonts w:ascii="Verdana" w:eastAsia="Times New Roman" w:hAnsi="Verdana" w:cs="Times New Roman"/>
                <w:sz w:val="15"/>
                <w:szCs w:val="15"/>
                <w:lang w:eastAsia="es-PE"/>
              </w:rPr>
              <w:t>1.   La IGCA emite y notifica la resolución que autoriza la solicitud al interesado, y la pone en conocimiento de la intendencia de aduana respectiva y de la INSI.</w:t>
            </w:r>
            <w:r w:rsidRPr="00F0486A">
              <w:rPr>
                <w:rFonts w:ascii="Arial" w:eastAsia="Times New Roman" w:hAnsi="Arial" w:cs="Arial"/>
                <w:lang w:val="es-ES" w:eastAsia="es-PE"/>
              </w:rPr>
              <w:t xml:space="preserve">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lastRenderedPageBreak/>
              <w:t xml:space="preserve">2.   De denegarse la solicitud, solo se procede a notificar el interesado.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w:t>
            </w:r>
            <w:r w:rsidRPr="00F0486A">
              <w:rPr>
                <w:rFonts w:ascii="Verdana" w:eastAsia="Times New Roman" w:hAnsi="Verdana" w:cs="Times New Roman"/>
                <w:b/>
                <w:bCs/>
                <w:sz w:val="15"/>
                <w:szCs w:val="15"/>
                <w:lang w:eastAsia="es-PE"/>
              </w:rPr>
              <w:t xml:space="preserve">C2.5 Del registro de la información del operador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El personal designado de la IGCA registra en el SDA la siguiente información: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1. Número y fecha de la resolución autorizante, datos del operador y de su personal registrado ante la Administración.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2. Firma del representante legal ante la autoridad aduanera o del despachador oficial, según sea el caso, conforme al Anexo 16.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3. Fecha de vencimiento de la autorización. </w:t>
            </w:r>
          </w:p>
          <w:p w:rsidR="00F0486A" w:rsidRPr="00F0486A" w:rsidRDefault="00F0486A" w:rsidP="00F0486A">
            <w:pPr>
              <w:spacing w:after="0" w:line="240" w:lineRule="auto"/>
              <w:rPr>
                <w:rFonts w:ascii="Verdana" w:eastAsia="Times New Roman" w:hAnsi="Verdana" w:cs="Times New Roman"/>
                <w:b/>
                <w:bCs/>
                <w:sz w:val="15"/>
                <w:szCs w:val="15"/>
                <w:lang w:eastAsia="es-PE"/>
              </w:rPr>
            </w:pPr>
            <w:r w:rsidRPr="00F0486A">
              <w:rPr>
                <w:rFonts w:ascii="Verdana" w:eastAsia="Times New Roman" w:hAnsi="Verdana" w:cs="Times New Roman"/>
                <w:b/>
                <w:bCs/>
                <w:sz w:val="15"/>
                <w:szCs w:val="15"/>
                <w:lang w:eastAsia="es-PE"/>
              </w:rPr>
              <w:t xml:space="preserve">          C2.6 Clave y casilla electrónica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A solicitud de la IGCA, la INSI asigna y comunica al interesado la clave y casilla electrónica para operar.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r w:rsidRPr="00F0486A">
              <w:rPr>
                <w:rFonts w:ascii="Verdana" w:eastAsia="Times New Roman" w:hAnsi="Verdana" w:cs="Times New Roman"/>
                <w:b/>
                <w:bCs/>
                <w:sz w:val="15"/>
                <w:szCs w:val="15"/>
                <w:lang w:eastAsia="es-PE"/>
              </w:rPr>
              <w:t xml:space="preserve">C3. DE LAS GARANTÍAS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1.   Las garantías que se presentan en los trámites a que se contrae el presente procedimiento, se sujetan a lo previsto en el Procedimiento de Garantías.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2.   Las garantías deben estar vigentes hasta el 30 de enero del año siguiente.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C4. DE LA MODIFICACIÓN, RENOVACIÓN, AMPLIACION O REVOCACIÓN DE LA AUTORIZACIÓN</w:t>
            </w:r>
            <w:r w:rsidRPr="00F0486A">
              <w:rPr>
                <w:rFonts w:ascii="Arial" w:eastAsia="Times New Roman" w:hAnsi="Arial" w:cs="Arial"/>
                <w:lang w:val="es-ES" w:eastAsia="es-PE"/>
              </w:rPr>
              <w:t xml:space="preserv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1.   Los operadores que soliciten modificar, renovar, ampliar o revocar la autorización otorgada por la Administración, deben cumplir con lo indicado en los Anexos 25 al 60, según el tipo de trámite que se solicite.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2.   Cuando se trate de solicitudes de cambio de denominación o razón social se debe observar lo siguiente: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a.  La  División de Operadores comunica a la División de Recaudación Aduanera, dentro del plazo de cinco (5) días hábiles contados a partir del día siguiente de recibida la solicitud de cambio de denominación o razón social que hayan recibido.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b.  La División de Recaudación Aduanera requiere a los operadores el canje de la garantía presentada con la razón social o denominación anterior.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c.  La División de Recaudación Aduanera informa a la División de Operadores que se ha producido el canje de la garantía con la nueva denominación o razón social. </w:t>
            </w:r>
          </w:p>
          <w:p w:rsidR="00F0486A" w:rsidRPr="00F0486A" w:rsidRDefault="00F0486A" w:rsidP="00F0486A">
            <w:pPr>
              <w:spacing w:after="100" w:line="240" w:lineRule="auto"/>
              <w:rPr>
                <w:rFonts w:ascii="Verdana" w:eastAsia="Times New Roman" w:hAnsi="Verdana" w:cs="Times New Roman"/>
                <w:sz w:val="15"/>
                <w:szCs w:val="15"/>
                <w:lang w:val="es-ES" w:eastAsia="es-PE"/>
              </w:rPr>
            </w:pPr>
            <w:r w:rsidRPr="00F0486A">
              <w:rPr>
                <w:rFonts w:ascii="Verdana" w:eastAsia="Times New Roman" w:hAnsi="Verdana" w:cs="Times New Roman"/>
                <w:sz w:val="15"/>
                <w:szCs w:val="15"/>
                <w:lang w:eastAsia="es-PE"/>
              </w:rPr>
              <w:t>d.  La División de Operadores continúa con el trámite de la solicitud.</w:t>
            </w:r>
            <w:r w:rsidRPr="00F0486A">
              <w:rPr>
                <w:rFonts w:ascii="Verdana" w:eastAsia="Times New Roman" w:hAnsi="Verdana" w:cs="Times New Roman"/>
                <w:sz w:val="15"/>
                <w:szCs w:val="15"/>
                <w:lang w:val="es-ES" w:eastAsia="es-PE"/>
              </w:rPr>
              <w:t xml:space="preserve"> </w:t>
            </w:r>
          </w:p>
          <w:p w:rsidR="00F0486A" w:rsidRPr="00F0486A" w:rsidRDefault="00F0486A" w:rsidP="00F0486A">
            <w:pPr>
              <w:spacing w:after="0" w:line="240" w:lineRule="auto"/>
              <w:rPr>
                <w:rFonts w:ascii="Arial" w:eastAsia="Times New Roman" w:hAnsi="Arial" w:cs="Arial"/>
                <w:lang w:val="es-ES" w:eastAsia="es-PE"/>
              </w:rPr>
            </w:pPr>
            <w:r w:rsidRPr="00F0486A">
              <w:rPr>
                <w:rFonts w:ascii="Verdana" w:eastAsia="Times New Roman" w:hAnsi="Verdana" w:cs="Times New Roman"/>
                <w:b/>
                <w:bCs/>
                <w:sz w:val="15"/>
                <w:szCs w:val="15"/>
                <w:lang w:eastAsia="es-PE"/>
              </w:rPr>
              <w:t xml:space="preserve">C5.  DE LA CONSERVACIÓN Y ARCHIVO DE DOCUMENTOS DE LOS OPERADORES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 xml:space="preserve">1.   Agentes de aduana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Los agentes de aduana deben conservar durante cinco (5) años toda la documentación original de los despachos en que hayan intervenido. El archivo y entrega de esta documentación a la Administración está regulado por el instructivo “Entrega de declaraciones por los despachadores de aduana” INTA-IT.24.03, aprobado por la Resolución de Intendencia Nacional N° 13-2015-SUNAT-5C0000.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2.  Transportistas o sus representantes</w:t>
            </w:r>
            <w:r w:rsidRPr="00F0486A">
              <w:rPr>
                <w:rFonts w:ascii="Arial" w:eastAsia="Times New Roman" w:hAnsi="Arial" w:cs="Arial"/>
                <w:b/>
                <w:bCs/>
                <w:lang w:val="es-ES" w:eastAsia="es-PE"/>
              </w:rPr>
              <w:t xml:space="preserv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Los transportistas o sus representantes deben conservar y archivar los siguientes documentos, ordenados según la numeración de los manifiestos de carga: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       Manifiestos de carga.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ii.      Relaciones de bultos faltantes y sobrantes.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iii.     Copias de las actas de inventario, que formulan con los almacenes aduaneros.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 xml:space="preserve">3.   Agentes de carga internacional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Los agentes de carga internacional deben conservar y archivar las copias de los documentos de transporte vinculados a los manifiestos de carga previstos en el Reglamento y demás normas aplicables. </w:t>
            </w:r>
          </w:p>
          <w:p w:rsidR="00F0486A" w:rsidRPr="00F0486A" w:rsidRDefault="00F0486A" w:rsidP="00F0486A">
            <w:pPr>
              <w:spacing w:after="0" w:line="240" w:lineRule="auto"/>
              <w:rPr>
                <w:rFonts w:ascii="Arial" w:eastAsia="Times New Roman" w:hAnsi="Arial" w:cs="Arial"/>
                <w:lang w:val="es-ES" w:eastAsia="es-PE"/>
              </w:rPr>
            </w:pPr>
          </w:p>
          <w:p w:rsidR="00F0486A" w:rsidRPr="00F0486A" w:rsidRDefault="00F0486A" w:rsidP="00F0486A">
            <w:pPr>
              <w:spacing w:after="0" w:line="240" w:lineRule="auto"/>
              <w:rPr>
                <w:rFonts w:ascii="Verdana" w:eastAsia="Times New Roman" w:hAnsi="Verdana" w:cs="Times New Roman"/>
                <w:b/>
                <w:bCs/>
                <w:sz w:val="15"/>
                <w:szCs w:val="15"/>
                <w:lang w:eastAsia="es-PE"/>
              </w:rPr>
            </w:pPr>
            <w:r w:rsidRPr="00F0486A">
              <w:rPr>
                <w:rFonts w:ascii="Arial" w:eastAsia="Times New Roman" w:hAnsi="Arial" w:cs="Arial"/>
                <w:lang w:val="es-ES" w:eastAsia="es-PE"/>
              </w:rPr>
              <w:t>  </w:t>
            </w:r>
            <w:r w:rsidRPr="00F0486A">
              <w:rPr>
                <w:rFonts w:ascii="Verdana" w:eastAsia="Times New Roman" w:hAnsi="Verdana" w:cs="Times New Roman"/>
                <w:b/>
                <w:bCs/>
                <w:sz w:val="15"/>
                <w:szCs w:val="15"/>
                <w:lang w:eastAsia="es-PE"/>
              </w:rPr>
              <w:t xml:space="preserve">4.   Almacenes aduaneros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a)  Los depósitos temporales deben conservar y archivar los siguientes documentos: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        Notas de tarja.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ii.       Tarjas al detalle.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iii.      Actas de reconocimiento previo.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iv.     Actas de Inventario.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v.      Actas de extracción de muestras.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vi.     Documentos de disposición, en caso de destrucción o entrega de  mercancía a los sectores competentes.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vii.    Constancias de peso de balanza al ingreso y la salida de las  mercancías.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viii.   Constancias de salida en caso de retiro parcial de mercancía a  granel amparada por una sola DAM.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b)  Los depósitos aduaneros deben conservar los siguientes documentos por número de la DAM de Depósito: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        Actas de apertura de contenedores, cuando corresponda.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ii.       Actas de reconocimiento previo.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iii.      Actas de inventario.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iv.     Actas de extracción de muestras.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v.      El documento de disposición, en caso de destrucción o entrega de la mercancía al sector competente.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vi.     Constancias de peso de balanza, que deben emitirlas inmediatamente producido el ingreso o la salida de las mercancías. </w:t>
            </w: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vii.    Constancias de salida en caso de retiro parcial de mercancía a granel amparada por una sola DAM.</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c)  Los almacenes aduaneros deben informar a las intendencias de aduana, según corresponda, la relación de mercancías en situación de abandono legal dentro de los cinco (5) primeros días hábiles de cada mes, conforme al Anexo 61, con excepción de los envíos postales cuyo plazo se rige por lo dispuesto en el Procedimiento General “Envíos Transportados por el Servicio Postal” - INTA-PG.13 (versión 2).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lastRenderedPageBreak/>
              <w:t>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d)  Los almacenes aduaneros autorizados deben renovar anualmente la acreditación de su nivel de solvencia económica y financiera, para lo cual al 30 de abril de cada año deben presentar ante la Administración Aduanera sus estados financieros auditados, cuyo patrimonio neto en el año calendario anterior no debe ser menor al 50% del monto mínimo de la garantía exigible. </w:t>
            </w:r>
          </w:p>
          <w:p w:rsidR="00F0486A" w:rsidRPr="00F0486A" w:rsidRDefault="00F0486A" w:rsidP="00F0486A">
            <w:pPr>
              <w:spacing w:after="0" w:line="240" w:lineRule="auto"/>
              <w:rPr>
                <w:rFonts w:ascii="Verdana" w:eastAsia="Times New Roman" w:hAnsi="Verdana" w:cs="Times New Roman"/>
                <w:sz w:val="15"/>
                <w:szCs w:val="15"/>
                <w:lang w:eastAsia="es-PE"/>
              </w:rPr>
            </w:pP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Los transportistas o sus representantes, agentes de carga internacional y almacenes aduaneros conservan los citados documentos durante cinco (5) años computados a partir del 1 de enero del año siguiente de la fecha de su emisión. Transcurrido este plazo o producida la cancelación o revocación de su autorización no están obligados a entregar los documentos a la SUNAT. </w:t>
            </w:r>
          </w:p>
          <w:p w:rsidR="00F0486A" w:rsidRPr="00F0486A" w:rsidRDefault="00F0486A" w:rsidP="00F0486A">
            <w:pPr>
              <w:spacing w:after="0" w:line="240" w:lineRule="auto"/>
              <w:rPr>
                <w:rFonts w:ascii="Verdana" w:eastAsia="Times New Roman" w:hAnsi="Verdana" w:cs="Times New Roman"/>
                <w:sz w:val="15"/>
                <w:szCs w:val="15"/>
                <w:lang w:eastAsia="es-PE"/>
              </w:rPr>
            </w:pPr>
          </w:p>
          <w:p w:rsidR="00F0486A" w:rsidRPr="00F0486A" w:rsidRDefault="00F0486A" w:rsidP="00F0486A">
            <w:pPr>
              <w:spacing w:after="10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Los operadores autorizados excepcionalmente a operar en otra circunscripción aduanera en la que no cuentan con un local, deben conservar y archivar la indicada documentación por cada circunscripción aduanera.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b/>
                <w:bCs/>
                <w:sz w:val="15"/>
                <w:szCs w:val="15"/>
                <w:lang w:eastAsia="es-PE"/>
              </w:rPr>
              <w:t xml:space="preserve"> C6. DE LA EVALUACIÓN PERIÓDICA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La Administración verificará periódicamente el cumplimiento de las obligaciones, requisitos y condiciones para operar exigibles a los operadores. </w:t>
            </w:r>
          </w:p>
          <w:p w:rsidR="00F0486A" w:rsidRPr="00F0486A" w:rsidRDefault="00F0486A" w:rsidP="00F0486A">
            <w:pPr>
              <w:spacing w:after="0" w:line="240" w:lineRule="auto"/>
              <w:rPr>
                <w:rFonts w:ascii="Verdana" w:eastAsia="Times New Roman" w:hAnsi="Verdana" w:cs="Arial"/>
                <w:color w:val="000080"/>
                <w:sz w:val="15"/>
                <w:szCs w:val="15"/>
                <w:lang w:eastAsia="es-PE"/>
              </w:rPr>
            </w:pPr>
            <w:r w:rsidRPr="00F0486A">
              <w:rPr>
                <w:rFonts w:ascii="Verdana" w:eastAsia="Times New Roman" w:hAnsi="Verdana" w:cs="Times New Roman"/>
                <w:sz w:val="15"/>
                <w:szCs w:val="15"/>
                <w:lang w:eastAsia="es-PE"/>
              </w:rPr>
              <w:br/>
            </w:r>
            <w:hyperlink r:id="rId14" w:tgtFrame="_self" w:history="1">
              <w:r w:rsidRPr="00F0486A">
                <w:rPr>
                  <w:rFonts w:ascii="Verdana" w:eastAsia="Times New Roman" w:hAnsi="Verdana" w:cs="Arial"/>
                  <w:color w:val="000080"/>
                  <w:sz w:val="15"/>
                  <w:szCs w:val="15"/>
                  <w:lang w:eastAsia="es-PE"/>
                </w:rPr>
                <w:t xml:space="preserve">VIII.  FLUJOGRAMA </w:t>
              </w:r>
            </w:hyperlink>
          </w:p>
          <w:p w:rsidR="00F0486A" w:rsidRPr="00F0486A" w:rsidRDefault="00F0486A" w:rsidP="00F0486A">
            <w:pPr>
              <w:spacing w:before="100" w:beforeAutospacing="1" w:after="100" w:afterAutospacing="1" w:line="240" w:lineRule="auto"/>
              <w:rPr>
                <w:rFonts w:ascii="Times New Roman" w:eastAsia="Times New Roman" w:hAnsi="Times New Roman" w:cs="Times New Roman"/>
                <w:sz w:val="24"/>
                <w:szCs w:val="24"/>
                <w:lang w:eastAsia="es-PE"/>
              </w:rPr>
            </w:pPr>
            <w:r w:rsidRPr="00F0486A">
              <w:rPr>
                <w:rFonts w:ascii="Verdana" w:eastAsia="Times New Roman" w:hAnsi="Verdana" w:cs="Times New Roman"/>
                <w:sz w:val="15"/>
                <w:szCs w:val="15"/>
                <w:lang w:eastAsia="es-PE"/>
              </w:rPr>
              <w:t> </w:t>
            </w:r>
            <w:r w:rsidRPr="00F0486A">
              <w:rPr>
                <w:rFonts w:ascii="Verdana" w:eastAsia="Times New Roman" w:hAnsi="Verdana" w:cs="Arial"/>
                <w:b/>
                <w:bCs/>
                <w:sz w:val="15"/>
                <w:szCs w:val="20"/>
                <w:lang w:eastAsia="es-PE"/>
              </w:rPr>
              <w:t xml:space="preserve">IX </w:t>
            </w:r>
            <w:r w:rsidRPr="00F0486A">
              <w:rPr>
                <w:rFonts w:ascii="Verdana" w:eastAsia="Times New Roman" w:hAnsi="Verdana" w:cs="Arial"/>
                <w:b/>
                <w:bCs/>
                <w:sz w:val="15"/>
                <w:szCs w:val="20"/>
                <w:lang w:eastAsia="es-PE"/>
              </w:rPr>
              <w:tab/>
              <w:t xml:space="preserve">INFRACCIONES Y SANCIONES </w:t>
            </w:r>
          </w:p>
          <w:p w:rsidR="00F0486A" w:rsidRPr="00F0486A" w:rsidRDefault="00F0486A" w:rsidP="00F0486A">
            <w:pPr>
              <w:spacing w:after="0" w:line="240" w:lineRule="auto"/>
              <w:ind w:right="15"/>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1.  Las infracciones y sanciones aplicables a los operadores autorizados por la Administración, se encuentran previstas en la Ley y en la Tabla de Sanciones. </w:t>
            </w:r>
          </w:p>
          <w:p w:rsidR="00F0486A" w:rsidRPr="00F0486A" w:rsidRDefault="00F0486A" w:rsidP="00F0486A">
            <w:pPr>
              <w:spacing w:after="0" w:line="240" w:lineRule="auto"/>
              <w:ind w:right="15"/>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2.  Las sanciones administrativas de multa se tramitan conforme a lo dispuesto en el artículo 205 de la Ley. </w:t>
            </w:r>
          </w:p>
          <w:p w:rsidR="00F0486A" w:rsidRPr="00F0486A" w:rsidRDefault="00F0486A" w:rsidP="00F0486A">
            <w:pPr>
              <w:spacing w:after="0" w:line="240" w:lineRule="auto"/>
              <w:ind w:right="15"/>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3.  Las sanciones administrativas de suspensión, cancelación o inhabilitación de la Ley se tramitan conforme al procedimiento administrativo sancionador de la LPAG. </w:t>
            </w:r>
          </w:p>
          <w:p w:rsidR="00F0486A" w:rsidRPr="00F0486A" w:rsidRDefault="00F0486A" w:rsidP="00F0486A">
            <w:pPr>
              <w:spacing w:after="100" w:line="240" w:lineRule="auto"/>
              <w:ind w:right="735"/>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Iniciado el procedimiento administrativo sancionador y con sujeción a lo previsto en la LPAG, la autoridad a cargo de su instrucción está facultada para adoptar de medidas de carácter provisional que correspondan, de advertir la posibilidad que por cualquier motivo estuviera en riesgo la eficacia de la resolución a emitir. </w:t>
            </w:r>
          </w:p>
          <w:p w:rsidR="00F0486A" w:rsidRPr="00F0486A" w:rsidRDefault="00F0486A" w:rsidP="00F0486A">
            <w:pPr>
              <w:spacing w:after="0" w:line="240" w:lineRule="auto"/>
              <w:ind w:right="15"/>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4. En los casos que la autoridad aduanera encuentre elementos que hagan presumir la existencia de delito, debe formular la respectiva denuncia penal ante la autoridad competente</w:t>
            </w:r>
          </w:p>
          <w:p w:rsidR="00F0486A" w:rsidRPr="00F0486A" w:rsidRDefault="00F0486A" w:rsidP="00F0486A">
            <w:pPr>
              <w:spacing w:before="100" w:beforeAutospacing="1" w:after="100" w:afterAutospacing="1" w:line="240" w:lineRule="auto"/>
              <w:rPr>
                <w:rFonts w:ascii="Verdana" w:eastAsia="Times New Roman" w:hAnsi="Verdana" w:cs="Times New Roman"/>
                <w:sz w:val="15"/>
                <w:szCs w:val="15"/>
                <w:lang w:eastAsia="es-PE"/>
              </w:rPr>
            </w:pPr>
            <w:r w:rsidRPr="00F0486A">
              <w:rPr>
                <w:rFonts w:ascii="Verdana" w:eastAsia="Times New Roman" w:hAnsi="Verdana" w:cs="Arial"/>
                <w:b/>
                <w:bCs/>
                <w:sz w:val="15"/>
                <w:szCs w:val="20"/>
                <w:lang w:eastAsia="es-PE"/>
              </w:rPr>
              <w:t xml:space="preserve">X </w:t>
            </w:r>
            <w:r w:rsidRPr="00F0486A">
              <w:rPr>
                <w:rFonts w:ascii="Verdana" w:eastAsia="Times New Roman" w:hAnsi="Verdana" w:cs="Arial"/>
                <w:b/>
                <w:bCs/>
                <w:sz w:val="15"/>
                <w:szCs w:val="20"/>
                <w:lang w:eastAsia="es-PE"/>
              </w:rPr>
              <w:tab/>
              <w:t>REGISTROS</w:t>
            </w:r>
            <w:r w:rsidRPr="00F0486A">
              <w:rPr>
                <w:rFonts w:ascii="Verdana" w:eastAsia="Times New Roman" w:hAnsi="Verdana" w:cs="Arial"/>
                <w:b/>
                <w:bCs/>
                <w:sz w:val="15"/>
                <w:szCs w:val="20"/>
                <w:lang w:eastAsia="es-PE"/>
              </w:rPr>
              <w:br/>
            </w:r>
            <w:r w:rsidRPr="00F0486A">
              <w:rPr>
                <w:rFonts w:ascii="Verdana" w:eastAsia="Times New Roman" w:hAnsi="Verdana" w:cs="Arial"/>
                <w:b/>
                <w:bCs/>
                <w:sz w:val="15"/>
                <w:szCs w:val="20"/>
                <w:lang w:eastAsia="es-PE"/>
              </w:rPr>
              <w:br/>
            </w:r>
            <w:r w:rsidRPr="00F0486A">
              <w:rPr>
                <w:rFonts w:ascii="Verdana" w:eastAsia="Times New Roman" w:hAnsi="Verdana" w:cs="Times New Roman"/>
                <w:sz w:val="15"/>
                <w:szCs w:val="15"/>
                <w:lang w:eastAsia="es-PE"/>
              </w:rPr>
              <w:t xml:space="preserve">La IGCA lleva los siguientes registros: </w:t>
            </w:r>
          </w:p>
          <w:p w:rsidR="00F0486A" w:rsidRPr="00F0486A" w:rsidRDefault="00F0486A" w:rsidP="00F0486A">
            <w:pPr>
              <w:spacing w:after="0"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1. Infracciones y sanciones aplicadas a los operadores: multas, suspensiones, cancelaciones e inhabilitaciones. </w:t>
            </w:r>
          </w:p>
          <w:p w:rsidR="00F0486A" w:rsidRPr="00F0486A" w:rsidRDefault="00F0486A" w:rsidP="00F0486A">
            <w:pPr>
              <w:spacing w:after="0" w:line="240" w:lineRule="auto"/>
              <w:ind w:hanging="567"/>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2. Directorio de transportistas o sus representantes: marítimo, fluvial, lacustre, aéreo y terrestre. </w:t>
            </w:r>
          </w:p>
          <w:p w:rsidR="00F0486A" w:rsidRPr="00F0486A" w:rsidRDefault="00F0486A" w:rsidP="00F0486A">
            <w:pPr>
              <w:spacing w:after="0" w:line="240" w:lineRule="auto"/>
              <w:ind w:hanging="567"/>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3. Directorio de agentes de carga internacional: marítimo y aéreo. </w:t>
            </w:r>
          </w:p>
          <w:p w:rsidR="00F0486A" w:rsidRPr="00F0486A" w:rsidRDefault="00F0486A" w:rsidP="00F0486A">
            <w:pPr>
              <w:spacing w:after="0" w:line="240" w:lineRule="auto"/>
              <w:ind w:hanging="567"/>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4. Directorio de almacenes aduaneros: </w:t>
            </w:r>
          </w:p>
          <w:p w:rsidR="00F0486A" w:rsidRPr="00F0486A" w:rsidRDefault="00F0486A" w:rsidP="00F0486A">
            <w:pPr>
              <w:spacing w:after="0" w:line="240" w:lineRule="auto"/>
              <w:ind w:hanging="426"/>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a) Depósitos temporales: marítimo, fluvial, lacustre, aéreo, terrestre, postal y de envíos de entrega rápida. </w:t>
            </w:r>
          </w:p>
          <w:p w:rsidR="00F0486A" w:rsidRPr="00F0486A" w:rsidRDefault="00F0486A" w:rsidP="00F0486A">
            <w:pPr>
              <w:spacing w:after="100" w:line="240" w:lineRule="auto"/>
              <w:ind w:hanging="426"/>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b) Depósitos aduaneros: público y privado.</w:t>
            </w:r>
          </w:p>
          <w:p w:rsidR="00F0486A" w:rsidRPr="00F0486A" w:rsidRDefault="00F0486A" w:rsidP="00F0486A">
            <w:pPr>
              <w:spacing w:after="0" w:line="240" w:lineRule="auto"/>
              <w:ind w:hanging="567"/>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5.  Directorio de despachadores de aduana: </w:t>
            </w:r>
          </w:p>
          <w:p w:rsidR="00F0486A" w:rsidRPr="00F0486A" w:rsidRDefault="00F0486A" w:rsidP="00F0486A">
            <w:pPr>
              <w:spacing w:after="0" w:line="240" w:lineRule="auto"/>
              <w:ind w:hanging="426"/>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a)  Agentes de aduana: persona natural y persona jurídica. </w:t>
            </w:r>
          </w:p>
          <w:p w:rsidR="00F0486A" w:rsidRPr="00F0486A" w:rsidRDefault="00F0486A" w:rsidP="00F0486A">
            <w:pPr>
              <w:spacing w:after="0" w:line="240" w:lineRule="auto"/>
              <w:ind w:hanging="426"/>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b)  Empresas del servicio postal. </w:t>
            </w:r>
          </w:p>
          <w:p w:rsidR="00F0486A" w:rsidRPr="00F0486A" w:rsidRDefault="00F0486A" w:rsidP="00F0486A">
            <w:pPr>
              <w:spacing w:after="0" w:line="240" w:lineRule="auto"/>
              <w:ind w:hanging="426"/>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c)  Empresas de servicio de entrega rápida. </w:t>
            </w:r>
          </w:p>
          <w:p w:rsidR="00F0486A" w:rsidRPr="00F0486A" w:rsidRDefault="00F0486A" w:rsidP="00F0486A">
            <w:pPr>
              <w:spacing w:after="0" w:line="240" w:lineRule="auto"/>
              <w:ind w:hanging="426"/>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d)  Dueños o consignatarios: </w:t>
            </w:r>
          </w:p>
          <w:p w:rsidR="00F0486A" w:rsidRPr="00F0486A" w:rsidRDefault="00F0486A" w:rsidP="00F0486A">
            <w:pPr>
              <w:spacing w:after="0" w:line="240" w:lineRule="auto"/>
              <w:ind w:hanging="425"/>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 Dueño o consignatario: persona natural y persona jurídica. </w:t>
            </w:r>
          </w:p>
          <w:p w:rsidR="00F0486A" w:rsidRPr="00F0486A" w:rsidRDefault="00F0486A" w:rsidP="00F0486A">
            <w:pPr>
              <w:spacing w:after="0" w:line="240" w:lineRule="auto"/>
              <w:ind w:hanging="425"/>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 Misiones diplomáticas, oficinas consulares, representaciones permanentes u organismos internacionales, acreditados en el país. </w:t>
            </w:r>
          </w:p>
          <w:p w:rsidR="00F0486A" w:rsidRPr="00F0486A" w:rsidRDefault="00F0486A" w:rsidP="00F0486A">
            <w:pPr>
              <w:spacing w:after="0" w:line="240" w:lineRule="auto"/>
              <w:ind w:hanging="425"/>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 Entidades religiosas, instituciones privadas sin fines de lucro receptoras de donaciones de carácter asistencial o educacional, ENIEX, ONGD-PERÚ. </w:t>
            </w:r>
          </w:p>
          <w:p w:rsidR="00F0486A" w:rsidRPr="00F0486A" w:rsidRDefault="00F0486A" w:rsidP="00F0486A">
            <w:pPr>
              <w:spacing w:after="0" w:line="240" w:lineRule="auto"/>
              <w:ind w:hanging="425"/>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 Almacenes libres (Duty Free). </w:t>
            </w:r>
          </w:p>
          <w:p w:rsidR="00F0486A" w:rsidRPr="00F0486A" w:rsidRDefault="00F0486A" w:rsidP="00F0486A">
            <w:pPr>
              <w:spacing w:after="0" w:line="240" w:lineRule="auto"/>
              <w:ind w:hanging="425"/>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    - Beneficiarios de material de uso aeronáutico: explotadores aéreos, talleres de mantenimiento, operadores de servicios especializados aeroportuarios y aeródromos. </w:t>
            </w:r>
          </w:p>
          <w:p w:rsidR="00F0486A" w:rsidRPr="00F0486A" w:rsidRDefault="00F0486A" w:rsidP="00F0486A">
            <w:pPr>
              <w:spacing w:after="100" w:line="240" w:lineRule="auto"/>
              <w:ind w:hanging="426"/>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e) Directorio de entidades públicas. </w:t>
            </w:r>
          </w:p>
          <w:p w:rsidR="00F0486A" w:rsidRPr="00F0486A" w:rsidRDefault="00F0486A" w:rsidP="00F0486A">
            <w:pPr>
              <w:spacing w:after="0" w:line="240" w:lineRule="auto"/>
              <w:ind w:hanging="567"/>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xml:space="preserve">6. Registro del personal de los Operadores: representante legal ante la autoridad aduanera, despachador oficial, auxiliar y auxiliar de despacho. </w:t>
            </w:r>
          </w:p>
          <w:p w:rsidR="00F0486A" w:rsidRPr="00F0486A" w:rsidRDefault="00F0486A" w:rsidP="00F0486A">
            <w:pPr>
              <w:spacing w:after="0" w:line="240" w:lineRule="auto"/>
              <w:ind w:hanging="567"/>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7.Garantías: carta fianza bancaria, póliza de caución y garantía nominal.</w:t>
            </w:r>
          </w:p>
          <w:p w:rsidR="00F0486A" w:rsidRPr="00F0486A" w:rsidRDefault="00F0486A" w:rsidP="00F0486A">
            <w:pPr>
              <w:spacing w:after="0" w:line="240" w:lineRule="auto"/>
              <w:ind w:hanging="567"/>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p w:rsidR="00F0486A" w:rsidRPr="00F0486A" w:rsidRDefault="00F0486A" w:rsidP="00F0486A">
            <w:pPr>
              <w:spacing w:after="0" w:line="240" w:lineRule="auto"/>
              <w:ind w:hanging="567"/>
              <w:rPr>
                <w:rFonts w:ascii="Verdana" w:eastAsia="Times New Roman" w:hAnsi="Verdana" w:cs="Times New Roman"/>
                <w:sz w:val="15"/>
                <w:szCs w:val="15"/>
                <w:lang w:eastAsia="es-PE"/>
              </w:rPr>
            </w:pPr>
            <w:r w:rsidRPr="00F0486A">
              <w:rPr>
                <w:rFonts w:ascii="Verdana" w:eastAsia="Times New Roman" w:hAnsi="Verdana" w:cs="Arial"/>
                <w:b/>
                <w:bCs/>
                <w:sz w:val="15"/>
                <w:szCs w:val="20"/>
                <w:lang w:eastAsia="es-PE"/>
              </w:rPr>
              <w:t>XI. VIGENCIA</w:t>
            </w:r>
            <w:r w:rsidRPr="00F0486A">
              <w:rPr>
                <w:rFonts w:ascii="Verdana" w:eastAsia="Times New Roman" w:hAnsi="Verdana" w:cs="Arial"/>
                <w:sz w:val="15"/>
                <w:szCs w:val="20"/>
                <w:lang w:eastAsia="es-PE"/>
              </w:rPr>
              <w:t xml:space="preserve"> </w:t>
            </w:r>
          </w:p>
          <w:p w:rsidR="00F0486A" w:rsidRPr="00F0486A" w:rsidRDefault="00F0486A" w:rsidP="00F0486A">
            <w:pPr>
              <w:spacing w:after="100" w:line="240" w:lineRule="auto"/>
              <w:ind w:hanging="567"/>
              <w:rPr>
                <w:rFonts w:ascii="Verdana" w:eastAsia="Times New Roman" w:hAnsi="Verdana" w:cs="Times New Roman"/>
                <w:sz w:val="15"/>
                <w:szCs w:val="15"/>
                <w:lang w:eastAsia="es-PE"/>
              </w:rPr>
            </w:pPr>
            <w:r w:rsidRPr="00F0486A">
              <w:rPr>
                <w:rFonts w:ascii="Verdana" w:eastAsia="Times New Roman" w:hAnsi="Verdana" w:cs="Arial"/>
                <w:sz w:val="15"/>
                <w:szCs w:val="20"/>
                <w:lang w:eastAsia="es-PE"/>
              </w:rPr>
              <w:t>El presente procedimeinto entrará en vigencia a partir del dia siguiente de su publicación en el Diario Oficial "El Peruano".</w:t>
            </w:r>
          </w:p>
          <w:p w:rsidR="00F0486A" w:rsidRPr="00F0486A" w:rsidRDefault="00F0486A" w:rsidP="00F0486A">
            <w:pPr>
              <w:spacing w:before="100" w:beforeAutospacing="1" w:after="100" w:afterAutospacing="1" w:line="240" w:lineRule="auto"/>
              <w:rPr>
                <w:rFonts w:ascii="Verdana" w:eastAsia="Times New Roman" w:hAnsi="Verdana" w:cs="Arial"/>
                <w:b/>
                <w:bCs/>
                <w:sz w:val="15"/>
                <w:szCs w:val="20"/>
                <w:lang w:eastAsia="es-PE"/>
              </w:rPr>
            </w:pPr>
            <w:r w:rsidRPr="00F0486A">
              <w:rPr>
                <w:rFonts w:ascii="Verdana" w:eastAsia="Times New Roman" w:hAnsi="Verdana" w:cs="Arial"/>
                <w:b/>
                <w:bCs/>
                <w:sz w:val="15"/>
                <w:szCs w:val="20"/>
                <w:lang w:eastAsia="es-PE"/>
              </w:rPr>
              <w:lastRenderedPageBreak/>
              <w:t xml:space="preserve">ANEXOS </w:t>
            </w:r>
          </w:p>
          <w:p w:rsidR="00F0486A" w:rsidRPr="00F0486A" w:rsidRDefault="00F0486A" w:rsidP="00F0486A">
            <w:pPr>
              <w:spacing w:before="100" w:beforeAutospacing="1" w:after="100" w:afterAutospacing="1" w:line="240" w:lineRule="auto"/>
              <w:jc w:val="both"/>
              <w:outlineLvl w:val="0"/>
              <w:rPr>
                <w:rFonts w:ascii="Verdana" w:eastAsia="Times New Roman" w:hAnsi="Verdana" w:cs="Times New Roman"/>
                <w:bCs/>
                <w:sz w:val="15"/>
                <w:szCs w:val="15"/>
                <w:lang w:val="es-ES" w:eastAsia="es-PE"/>
              </w:rPr>
            </w:pPr>
            <w:r w:rsidRPr="00F0486A">
              <w:rPr>
                <w:rFonts w:ascii="Verdana" w:eastAsia="Times New Roman" w:hAnsi="Verdana" w:cs="Times New Roman"/>
                <w:bCs/>
                <w:sz w:val="15"/>
                <w:szCs w:val="15"/>
                <w:lang w:val="es-ES" w:eastAsia="es-PE"/>
              </w:rPr>
              <w:t xml:space="preserve">Relación de Anexos: </w:t>
            </w:r>
          </w:p>
          <w:p w:rsidR="00F0486A" w:rsidRPr="00F0486A" w:rsidRDefault="00F0486A" w:rsidP="00F0486A">
            <w:pPr>
              <w:spacing w:before="100" w:beforeAutospacing="1" w:after="100" w:afterAutospacing="1" w:line="240" w:lineRule="auto"/>
              <w:jc w:val="both"/>
              <w:outlineLvl w:val="0"/>
              <w:rPr>
                <w:rFonts w:ascii="Verdana" w:eastAsia="Times New Roman" w:hAnsi="Verdana" w:cs="Times New Roman"/>
                <w:bCs/>
                <w:sz w:val="15"/>
                <w:szCs w:val="15"/>
                <w:lang w:val="es-ES" w:eastAsia="es-PE"/>
              </w:rPr>
            </w:pP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15" w:history="1">
              <w:r w:rsidRPr="00F0486A">
                <w:rPr>
                  <w:rFonts w:ascii="Verdana" w:eastAsia="Times New Roman" w:hAnsi="Verdana" w:cs="Times New Roman"/>
                  <w:color w:val="000080"/>
                  <w:sz w:val="15"/>
                  <w:szCs w:val="15"/>
                  <w:lang w:val="es-ES" w:eastAsia="es-PE"/>
                </w:rPr>
                <w:t>Anexo 1: Solicitud: autorización para operar como operador de comercio exterior</w:t>
              </w:r>
            </w:hyperlink>
            <w:hyperlink r:id="rId16" w:history="1">
              <w:r w:rsidRPr="00F0486A">
                <w:rPr>
                  <w:rFonts w:ascii="Verdana" w:eastAsia="Times New Roman" w:hAnsi="Verdana" w:cs="Times New Roman"/>
                  <w:color w:val="000080"/>
                  <w:sz w:val="15"/>
                  <w:szCs w:val="15"/>
                  <w:lang w:val="es-ES" w:eastAsia="es-PE"/>
                </w:rPr>
                <w:t xml:space="preserve"> </w:t>
              </w:r>
            </w:hyperlink>
            <w:hyperlink r:id="rId17" w:history="1">
              <w:r w:rsidRPr="00F0486A">
                <w:rPr>
                  <w:rFonts w:ascii="Verdana" w:eastAsia="Times New Roman" w:hAnsi="Verdana" w:cs="Times New Roman"/>
                  <w:color w:val="000080"/>
                  <w:sz w:val="15"/>
                  <w:szCs w:val="15"/>
                  <w:lang w:eastAsia="es-PE"/>
                </w:rPr>
                <w:t>(RIN Nº042-2016-SUNAT/5F0000-23.11.2016)</w:t>
              </w:r>
            </w:hyperlink>
          </w:p>
          <w:p w:rsidR="00F0486A" w:rsidRPr="00F0486A" w:rsidRDefault="00F0486A" w:rsidP="00F0486A">
            <w:pPr>
              <w:spacing w:before="100" w:beforeAutospacing="1" w:after="100" w:afterAutospacing="1" w:line="240" w:lineRule="auto"/>
              <w:ind w:left="360" w:hanging="360"/>
              <w:rPr>
                <w:rFonts w:ascii="Verdana" w:eastAsia="Times New Roman" w:hAnsi="Verdana" w:cs="Times New Roman"/>
                <w:color w:val="000080"/>
                <w:sz w:val="15"/>
                <w:szCs w:val="15"/>
                <w:lang w:eastAsia="es-PE"/>
              </w:rPr>
            </w:pPr>
            <w:r w:rsidRPr="00F0486A">
              <w:rPr>
                <w:rFonts w:ascii="Verdana" w:eastAsia="Arial" w:hAnsi="Verdana" w:cs="Times New Roman"/>
                <w:sz w:val="15"/>
                <w:szCs w:val="15"/>
                <w:lang w:val="es-ES" w:eastAsia="es-PE"/>
              </w:rPr>
              <w:t> -</w:t>
            </w:r>
            <w:r w:rsidRPr="00F0486A">
              <w:rPr>
                <w:rFonts w:ascii="Verdana" w:eastAsia="Times New Roman" w:hAnsi="Verdana" w:cs="Times New Roman"/>
                <w:sz w:val="15"/>
                <w:szCs w:val="15"/>
                <w:lang w:eastAsia="es-PE"/>
              </w:rPr>
              <w:t xml:space="preserve">  </w:t>
            </w:r>
            <w:hyperlink r:id="rId18" w:history="1">
              <w:r w:rsidRPr="00F0486A">
                <w:rPr>
                  <w:rFonts w:ascii="Verdana" w:eastAsia="Times New Roman" w:hAnsi="Verdana" w:cs="Times New Roman"/>
                  <w:color w:val="000080"/>
                  <w:sz w:val="15"/>
                  <w:szCs w:val="15"/>
                  <w:lang w:val="es-ES" w:eastAsia="es-PE"/>
                </w:rPr>
                <w:t>Anexo 2: Dueño, consignatario o consignante persona natural</w:t>
              </w:r>
              <w:r w:rsidRPr="00F0486A">
                <w:rPr>
                  <w:rFonts w:ascii="Verdana" w:eastAsia="Times New Roman" w:hAnsi="Verdana" w:cs="Times New Roman"/>
                  <w:bCs/>
                  <w:color w:val="000080"/>
                  <w:sz w:val="15"/>
                  <w:szCs w:val="15"/>
                  <w:lang w:val="es-ES" w:eastAsia="es-PE"/>
                </w:rPr>
                <w:t>, para operar como despachador de aduana</w:t>
              </w:r>
              <w:r w:rsidRPr="00F0486A">
                <w:rPr>
                  <w:rFonts w:ascii="Verdana" w:eastAsia="Times New Roman" w:hAnsi="Verdana" w:cs="Times New Roman"/>
                  <w:color w:val="000080"/>
                  <w:sz w:val="15"/>
                  <w:szCs w:val="15"/>
                  <w:lang w:val="es-ES" w:eastAsia="es-PE"/>
                </w:rPr>
                <w:t xml:space="preserve">. </w:t>
              </w:r>
            </w:hyperlink>
          </w:p>
          <w:p w:rsidR="00F0486A" w:rsidRPr="00F0486A" w:rsidRDefault="00F0486A" w:rsidP="00F0486A">
            <w:pPr>
              <w:spacing w:before="100" w:beforeAutospacing="1" w:after="100" w:afterAutospacing="1" w:line="240" w:lineRule="auto"/>
              <w:ind w:left="360" w:hanging="360"/>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hyperlink r:id="rId19" w:history="1">
              <w:r w:rsidRPr="00F0486A">
                <w:rPr>
                  <w:rFonts w:ascii="Verdana" w:eastAsia="Arial" w:hAnsi="Verdana" w:cs="Times New Roman"/>
                  <w:color w:val="000080"/>
                  <w:sz w:val="15"/>
                  <w:szCs w:val="15"/>
                  <w:lang w:val="es-ES" w:eastAsia="es-PE"/>
                </w:rPr>
                <w:t>-</w:t>
              </w:r>
            </w:hyperlink>
            <w:r w:rsidRPr="00F0486A">
              <w:rPr>
                <w:rFonts w:ascii="Verdana" w:eastAsia="Times New Roman" w:hAnsi="Verdana" w:cs="Times New Roman"/>
                <w:sz w:val="15"/>
                <w:szCs w:val="15"/>
                <w:lang w:eastAsia="es-PE"/>
              </w:rPr>
              <w:t xml:space="preserve">  </w:t>
            </w:r>
            <w:hyperlink r:id="rId20" w:history="1">
              <w:r w:rsidRPr="00F0486A">
                <w:rPr>
                  <w:rFonts w:ascii="Verdana" w:eastAsia="Times New Roman" w:hAnsi="Verdana" w:cs="Times New Roman"/>
                  <w:color w:val="000080"/>
                  <w:sz w:val="15"/>
                  <w:szCs w:val="15"/>
                  <w:lang w:val="es-ES" w:eastAsia="es-PE"/>
                </w:rPr>
                <w:t>Anexo 3: Dueño, consignatario o consignante persona jurídica</w:t>
              </w:r>
              <w:r w:rsidRPr="00F0486A">
                <w:rPr>
                  <w:rFonts w:ascii="Verdana" w:eastAsia="Times New Roman" w:hAnsi="Verdana" w:cs="Times New Roman"/>
                  <w:bCs/>
                  <w:color w:val="000080"/>
                  <w:sz w:val="15"/>
                  <w:szCs w:val="15"/>
                  <w:lang w:val="es-ES" w:eastAsia="es-PE"/>
                </w:rPr>
                <w:t>, para operar como despachador de aduana</w:t>
              </w:r>
              <w:r w:rsidRPr="00F0486A">
                <w:rPr>
                  <w:rFonts w:ascii="Verdana" w:eastAsia="Times New Roman" w:hAnsi="Verdana" w:cs="Times New Roman"/>
                  <w:color w:val="000080"/>
                  <w:sz w:val="15"/>
                  <w:szCs w:val="15"/>
                  <w:lang w:val="es-ES" w:eastAsia="es-PE"/>
                </w:rPr>
                <w:t xml:space="preserve"> . </w:t>
              </w:r>
            </w:hyperlink>
          </w:p>
          <w:p w:rsidR="00F0486A" w:rsidRPr="00F0486A" w:rsidRDefault="00F0486A" w:rsidP="00F0486A">
            <w:pPr>
              <w:spacing w:before="100" w:beforeAutospacing="1" w:after="100" w:afterAutospacing="1" w:line="240" w:lineRule="auto"/>
              <w:ind w:left="360" w:hanging="360"/>
              <w:rPr>
                <w:rFonts w:ascii="Times New Roman" w:eastAsia="Times New Roman" w:hAnsi="Times New Roman" w:cs="Times New Roman"/>
                <w:sz w:val="24"/>
                <w:szCs w:val="24"/>
                <w:lang w:eastAsia="es-PE"/>
              </w:rPr>
            </w:pPr>
            <w:r w:rsidRPr="00F0486A">
              <w:rPr>
                <w:rFonts w:ascii="Verdana" w:eastAsia="Arial" w:hAnsi="Verdana" w:cs="Times New Roman"/>
                <w:sz w:val="15"/>
                <w:szCs w:val="15"/>
                <w:lang w:val="es-ES" w:eastAsia="es-PE"/>
              </w:rPr>
              <w:t> -</w:t>
            </w:r>
            <w:r w:rsidRPr="00F0486A">
              <w:rPr>
                <w:rFonts w:ascii="Verdana" w:eastAsia="Times New Roman" w:hAnsi="Verdana" w:cs="Times New Roman"/>
                <w:sz w:val="15"/>
                <w:szCs w:val="15"/>
                <w:lang w:eastAsia="es-PE"/>
              </w:rPr>
              <w:t xml:space="preserve">  </w:t>
            </w:r>
            <w:hyperlink r:id="rId21" w:history="1">
              <w:r w:rsidRPr="00F0486A">
                <w:rPr>
                  <w:rFonts w:ascii="Verdana" w:eastAsia="Times New Roman" w:hAnsi="Verdana" w:cs="Times New Roman"/>
                  <w:color w:val="000080"/>
                  <w:sz w:val="15"/>
                  <w:szCs w:val="15"/>
                  <w:lang w:val="es-ES" w:eastAsia="es-PE"/>
                </w:rPr>
                <w:t>Anexo 4: Misión diplomática, oficina consular, representación permanente u organismo internacional</w:t>
              </w:r>
              <w:r w:rsidRPr="00F0486A">
                <w:rPr>
                  <w:rFonts w:ascii="Verdana" w:eastAsia="Times New Roman" w:hAnsi="Verdana" w:cs="Times New Roman"/>
                  <w:bCs/>
                  <w:color w:val="000080"/>
                  <w:sz w:val="15"/>
                  <w:szCs w:val="15"/>
                  <w:lang w:val="es-ES" w:eastAsia="es-PE"/>
                </w:rPr>
                <w:t>, para operar como despachador de aduana</w:t>
              </w:r>
            </w:hyperlink>
            <w:r w:rsidRPr="00F0486A">
              <w:rPr>
                <w:rFonts w:ascii="Verdana" w:eastAsia="Times New Roman" w:hAnsi="Verdana" w:cs="Times New Roman"/>
                <w:sz w:val="15"/>
                <w:szCs w:val="15"/>
                <w:lang w:val="es-ES" w:eastAsia="es-PE"/>
              </w:rPr>
              <w:t xml:space="preserve"> </w:t>
            </w:r>
          </w:p>
          <w:p w:rsidR="00F0486A" w:rsidRPr="00F0486A" w:rsidRDefault="00F0486A" w:rsidP="00F0486A">
            <w:pPr>
              <w:spacing w:before="100" w:beforeAutospacing="1" w:after="100" w:afterAutospacing="1" w:line="240" w:lineRule="auto"/>
              <w:ind w:left="360" w:hanging="360"/>
              <w:rPr>
                <w:rFonts w:ascii="Verdana" w:eastAsia="Times New Roman" w:hAnsi="Verdana" w:cs="Times New Roman"/>
                <w:color w:val="000080"/>
                <w:sz w:val="15"/>
                <w:szCs w:val="15"/>
                <w:lang w:eastAsia="es-PE"/>
              </w:rPr>
            </w:pP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22" w:history="1">
              <w:r w:rsidRPr="00F0486A">
                <w:rPr>
                  <w:rFonts w:ascii="Verdana" w:eastAsia="Times New Roman" w:hAnsi="Verdana" w:cs="Times New Roman"/>
                  <w:color w:val="000080"/>
                  <w:sz w:val="15"/>
                  <w:szCs w:val="15"/>
                  <w:lang w:val="es-ES" w:eastAsia="es-PE"/>
                </w:rPr>
                <w:t>Anexo 5: Entidad religiosa, institución privada sin fines de lucro receptoras de donaciones de carácter asistencial o educacional, ENIEX, ONGD-PERÚ</w:t>
              </w:r>
              <w:r w:rsidRPr="00F0486A">
                <w:rPr>
                  <w:rFonts w:ascii="Verdana" w:eastAsia="Times New Roman" w:hAnsi="Verdana" w:cs="Times New Roman"/>
                  <w:bCs/>
                  <w:color w:val="000080"/>
                  <w:sz w:val="15"/>
                  <w:szCs w:val="15"/>
                  <w:lang w:val="es-ES" w:eastAsia="es-PE"/>
                </w:rPr>
                <w:t>, para operar como despachador de aduana</w:t>
              </w:r>
              <w:r w:rsidRPr="00F0486A">
                <w:rPr>
                  <w:rFonts w:ascii="Verdana" w:eastAsia="Times New Roman" w:hAnsi="Verdana" w:cs="Times New Roman"/>
                  <w:color w:val="000080"/>
                  <w:sz w:val="15"/>
                  <w:szCs w:val="15"/>
                  <w:lang w:val="es-ES" w:eastAsia="es-PE"/>
                </w:rPr>
                <w:t xml:space="preserve">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r w:rsidRPr="00F0486A">
              <w:rPr>
                <w:rFonts w:ascii="Verdana" w:eastAsia="Times New Roman" w:hAnsi="Verdana" w:cs="Times New Roman"/>
                <w:sz w:val="15"/>
                <w:szCs w:val="15"/>
                <w:lang w:eastAsia="es-PE"/>
              </w:rPr>
              <w:t xml:space="preserve"> </w:t>
            </w:r>
            <w:hyperlink r:id="rId23" w:history="1">
              <w:r w:rsidRPr="00F0486A">
                <w:rPr>
                  <w:rFonts w:ascii="Verdana" w:eastAsia="Times New Roman" w:hAnsi="Verdana" w:cs="Times New Roman"/>
                  <w:color w:val="000080"/>
                  <w:sz w:val="15"/>
                  <w:szCs w:val="15"/>
                  <w:lang w:val="es-ES" w:eastAsia="es-PE"/>
                </w:rPr>
                <w:t xml:space="preserve">Anexo 6: Entidad pública, para operar como despachador de aduana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r w:rsidRPr="00F0486A">
              <w:rPr>
                <w:rFonts w:ascii="Verdana" w:eastAsia="Times New Roman" w:hAnsi="Verdana" w:cs="Times New Roman"/>
                <w:sz w:val="15"/>
                <w:szCs w:val="15"/>
                <w:lang w:eastAsia="es-PE"/>
              </w:rPr>
              <w:t xml:space="preserve">  </w:t>
            </w:r>
            <w:hyperlink r:id="rId24" w:history="1">
              <w:r w:rsidRPr="00F0486A">
                <w:rPr>
                  <w:rFonts w:ascii="Verdana" w:eastAsia="Times New Roman" w:hAnsi="Verdana" w:cs="Times New Roman"/>
                  <w:color w:val="000080"/>
                  <w:sz w:val="15"/>
                  <w:szCs w:val="15"/>
                  <w:lang w:val="es-ES" w:eastAsia="es-PE"/>
                </w:rPr>
                <w:t xml:space="preserve">Anexo 7: Agente de aduana persona natural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25" w:history="1">
              <w:r w:rsidRPr="00F0486A">
                <w:rPr>
                  <w:rFonts w:ascii="Verdana" w:eastAsia="Times New Roman" w:hAnsi="Verdana" w:cs="Times New Roman"/>
                  <w:color w:val="000080"/>
                  <w:sz w:val="15"/>
                  <w:szCs w:val="15"/>
                  <w:lang w:val="es-ES" w:eastAsia="es-PE"/>
                </w:rPr>
                <w:t xml:space="preserve">Anexo 8: Agente de aduana persona jurídica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26" w:history="1">
              <w:r w:rsidRPr="00F0486A">
                <w:rPr>
                  <w:rFonts w:ascii="Verdana" w:eastAsia="Times New Roman" w:hAnsi="Verdana" w:cs="Times New Roman"/>
                  <w:color w:val="000080"/>
                  <w:sz w:val="15"/>
                  <w:szCs w:val="15"/>
                  <w:lang w:val="es-ES" w:eastAsia="es-PE"/>
                </w:rPr>
                <w:t xml:space="preserve">Anexo 9: Transportista o su representante </w:t>
              </w:r>
            </w:hyperlink>
          </w:p>
          <w:p w:rsidR="00F0486A" w:rsidRPr="00F0486A" w:rsidRDefault="00F0486A" w:rsidP="00F0486A">
            <w:pPr>
              <w:spacing w:before="100" w:beforeAutospacing="1" w:after="100" w:afterAutospacing="1" w:line="240" w:lineRule="auto"/>
              <w:ind w:left="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eastAsia="es-PE"/>
              </w:rPr>
              <w:t xml:space="preserve">     </w:t>
            </w: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27" w:history="1">
              <w:r w:rsidRPr="00F0486A">
                <w:rPr>
                  <w:rFonts w:ascii="Verdana" w:eastAsia="Times New Roman" w:hAnsi="Verdana" w:cs="Times New Roman"/>
                  <w:color w:val="000080"/>
                  <w:sz w:val="15"/>
                  <w:szCs w:val="15"/>
                  <w:lang w:val="es-ES" w:eastAsia="es-PE"/>
                </w:rPr>
                <w:t xml:space="preserve">Anexo 10: Agente de carga internacional </w:t>
              </w:r>
            </w:hyperlink>
          </w:p>
          <w:p w:rsidR="00F0486A" w:rsidRPr="00F0486A" w:rsidRDefault="00F0486A" w:rsidP="00F0486A">
            <w:pPr>
              <w:spacing w:before="100" w:beforeAutospacing="1" w:after="100" w:afterAutospacing="1" w:line="240" w:lineRule="auto"/>
              <w:ind w:left="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eastAsia="es-PE"/>
              </w:rPr>
              <w:t xml:space="preserve">     </w:t>
            </w:r>
            <w:r w:rsidRPr="00F0486A">
              <w:rPr>
                <w:rFonts w:ascii="Verdana" w:eastAsia="Arial" w:hAnsi="Verdana" w:cs="Times New Roman"/>
                <w:sz w:val="15"/>
                <w:szCs w:val="15"/>
                <w:lang w:val="es-ES" w:eastAsia="es-PE"/>
              </w:rPr>
              <w:t xml:space="preserve">- </w:t>
            </w:r>
            <w:hyperlink r:id="rId28" w:history="1">
              <w:r w:rsidRPr="00F0486A">
                <w:rPr>
                  <w:rFonts w:ascii="Verdana" w:eastAsia="Times New Roman" w:hAnsi="Verdana" w:cs="Times New Roman"/>
                  <w:color w:val="000080"/>
                  <w:sz w:val="15"/>
                  <w:szCs w:val="15"/>
                  <w:lang w:val="es-ES" w:eastAsia="es-PE"/>
                </w:rPr>
                <w:t xml:space="preserve">Anexo 11: Almacén aduanero </w:t>
              </w:r>
            </w:hyperlink>
          </w:p>
          <w:p w:rsidR="00F0486A" w:rsidRPr="00F0486A" w:rsidRDefault="00F0486A" w:rsidP="00F0486A">
            <w:pPr>
              <w:spacing w:before="100" w:beforeAutospacing="1" w:after="100" w:afterAutospacing="1" w:line="240" w:lineRule="auto"/>
              <w:ind w:left="80" w:hanging="360"/>
              <w:jc w:val="both"/>
              <w:outlineLvl w:val="2"/>
              <w:rPr>
                <w:rFonts w:ascii="Times New Roman" w:eastAsia="Times New Roman" w:hAnsi="Times New Roman" w:cs="Times New Roman"/>
                <w:sz w:val="24"/>
                <w:szCs w:val="24"/>
                <w:lang w:eastAsia="es-PE"/>
              </w:rPr>
            </w:pPr>
            <w:r w:rsidRPr="00F0486A">
              <w:rPr>
                <w:rFonts w:ascii="Verdana" w:eastAsia="Arial" w:hAnsi="Verdana" w:cs="Times New Roman"/>
                <w:sz w:val="15"/>
                <w:szCs w:val="15"/>
                <w:lang w:eastAsia="es-PE"/>
              </w:rPr>
              <w:t xml:space="preserve">     </w:t>
            </w: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29" w:history="1">
              <w:r w:rsidRPr="00F0486A">
                <w:rPr>
                  <w:rFonts w:ascii="Verdana" w:eastAsia="Times New Roman" w:hAnsi="Verdana" w:cs="Times New Roman"/>
                  <w:color w:val="000080"/>
                  <w:sz w:val="15"/>
                  <w:szCs w:val="15"/>
                  <w:lang w:val="es-ES" w:eastAsia="es-PE"/>
                </w:rPr>
                <w:t>Anexo 12: Almacén libre (Duty Free)</w:t>
              </w:r>
            </w:hyperlink>
            <w:r w:rsidRPr="00F0486A">
              <w:rPr>
                <w:rFonts w:ascii="Verdana" w:eastAsia="Times New Roman" w:hAnsi="Verdana" w:cs="Times New Roman"/>
                <w:sz w:val="15"/>
                <w:szCs w:val="15"/>
                <w:lang w:val="es-ES" w:eastAsia="es-PE"/>
              </w:rPr>
              <w:t xml:space="preserve"> </w:t>
            </w:r>
          </w:p>
          <w:p w:rsidR="00F0486A" w:rsidRPr="00F0486A" w:rsidRDefault="00F0486A" w:rsidP="00F0486A">
            <w:pPr>
              <w:spacing w:before="100" w:beforeAutospacing="1" w:after="100" w:afterAutospacing="1" w:line="240" w:lineRule="auto"/>
              <w:ind w:left="220" w:hanging="360"/>
              <w:jc w:val="both"/>
              <w:outlineLvl w:val="2"/>
              <w:rPr>
                <w:rFonts w:ascii="Verdana" w:eastAsia="Times New Roman" w:hAnsi="Verdana" w:cs="Times New Roman"/>
                <w:sz w:val="15"/>
                <w:szCs w:val="15"/>
                <w:lang w:val="es-ES" w:eastAsia="es-PE"/>
              </w:rPr>
            </w:pPr>
            <w:r w:rsidRPr="00F0486A">
              <w:rPr>
                <w:rFonts w:ascii="Verdana" w:eastAsia="Times New Roman" w:hAnsi="Verdana" w:cs="Times New Roman"/>
                <w:sz w:val="15"/>
                <w:szCs w:val="15"/>
                <w:lang w:eastAsia="es-PE"/>
              </w:rPr>
              <w:t xml:space="preserve">    </w:t>
            </w:r>
            <w:hyperlink r:id="rId30" w:history="1">
              <w:r w:rsidRPr="00F0486A">
                <w:rPr>
                  <w:rFonts w:ascii="Verdana" w:eastAsia="Times New Roman" w:hAnsi="Verdana" w:cs="Times New Roman"/>
                  <w:color w:val="000080"/>
                  <w:sz w:val="15"/>
                  <w:szCs w:val="15"/>
                  <w:lang w:val="es-ES" w:eastAsia="es-PE"/>
                </w:rPr>
                <w:t>- </w:t>
              </w:r>
              <w:r w:rsidRPr="00F0486A">
                <w:rPr>
                  <w:rFonts w:ascii="Verdana" w:eastAsia="Times New Roman" w:hAnsi="Verdana" w:cs="Times New Roman"/>
                  <w:color w:val="000080"/>
                  <w:sz w:val="15"/>
                  <w:szCs w:val="15"/>
                  <w:lang w:eastAsia="es-PE"/>
                </w:rPr>
                <w:t xml:space="preserve">  </w:t>
              </w:r>
              <w:r w:rsidRPr="00F0486A">
                <w:rPr>
                  <w:rFonts w:ascii="Verdana" w:eastAsia="Times New Roman" w:hAnsi="Verdana" w:cs="Times New Roman"/>
                  <w:color w:val="000080"/>
                  <w:sz w:val="15"/>
                  <w:szCs w:val="15"/>
                  <w:lang w:val="es-ES" w:eastAsia="es-PE"/>
                </w:rPr>
                <w:t>Anexo 13: Beneficiario de material de uso aeronáutico</w:t>
              </w:r>
            </w:hyperlink>
            <w:r w:rsidRPr="00F0486A">
              <w:rPr>
                <w:rFonts w:ascii="Verdana" w:eastAsia="Times New Roman" w:hAnsi="Verdana" w:cs="Times New Roman"/>
                <w:sz w:val="15"/>
                <w:szCs w:val="15"/>
                <w:lang w:val="es-ES" w:eastAsia="es-PE"/>
              </w:rPr>
              <w:t xml:space="preserve"> </w:t>
            </w:r>
            <w:hyperlink r:id="rId31" w:history="1">
              <w:r w:rsidRPr="00F0486A">
                <w:rPr>
                  <w:rFonts w:ascii="Verdana" w:eastAsia="Times New Roman" w:hAnsi="Verdana" w:cs="Times New Roman"/>
                  <w:color w:val="000080"/>
                  <w:sz w:val="15"/>
                  <w:szCs w:val="15"/>
                  <w:lang w:eastAsia="es-PE"/>
                </w:rPr>
                <w:t>(RIN Nº042-2016-SUNAT/5F0000-23.11.2016)</w:t>
              </w:r>
            </w:hyperlink>
          </w:p>
          <w:p w:rsidR="00F0486A" w:rsidRPr="00F0486A" w:rsidRDefault="00F0486A" w:rsidP="00F0486A">
            <w:pPr>
              <w:spacing w:before="100" w:beforeAutospacing="1" w:after="100" w:afterAutospacing="1" w:line="240" w:lineRule="auto"/>
              <w:ind w:left="100" w:hanging="360"/>
              <w:jc w:val="both"/>
              <w:outlineLvl w:val="2"/>
              <w:rPr>
                <w:rFonts w:ascii="Verdana" w:eastAsia="Times New Roman" w:hAnsi="Verdana" w:cs="Times New Roman"/>
                <w:sz w:val="15"/>
                <w:szCs w:val="15"/>
                <w:lang w:val="es-ES" w:eastAsia="es-PE"/>
              </w:rPr>
            </w:pPr>
            <w:r w:rsidRPr="00F0486A">
              <w:rPr>
                <w:rFonts w:ascii="Verdana" w:eastAsia="Arial" w:hAnsi="Verdana" w:cs="Times New Roman"/>
                <w:sz w:val="15"/>
                <w:szCs w:val="15"/>
                <w:lang w:eastAsia="es-PE"/>
              </w:rPr>
              <w:t xml:space="preserve">     </w:t>
            </w: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32" w:history="1">
              <w:r w:rsidRPr="00F0486A">
                <w:rPr>
                  <w:rFonts w:ascii="Verdana" w:eastAsia="Times New Roman" w:hAnsi="Verdana" w:cs="Times New Roman"/>
                  <w:color w:val="000080"/>
                  <w:sz w:val="15"/>
                  <w:szCs w:val="15"/>
                  <w:lang w:val="es-ES" w:eastAsia="es-PE"/>
                </w:rPr>
                <w:t xml:space="preserve">Anexo 14: Requisitos para el registro del personal de los operadores </w:t>
              </w:r>
            </w:hyperlink>
            <w:hyperlink r:id="rId33" w:history="1">
              <w:r w:rsidRPr="00F0486A">
                <w:rPr>
                  <w:rFonts w:ascii="Verdana" w:eastAsia="Times New Roman" w:hAnsi="Verdana" w:cs="Times New Roman"/>
                  <w:i/>
                  <w:iCs/>
                  <w:color w:val="000080"/>
                  <w:sz w:val="15"/>
                  <w:szCs w:val="15"/>
                  <w:lang w:eastAsia="es-PE"/>
                </w:rPr>
                <w:t>(RIN N° 05-2018-SUNAT/310000 - 04/02/2018)</w:t>
              </w:r>
            </w:hyperlink>
          </w:p>
          <w:p w:rsidR="00F0486A" w:rsidRPr="00F0486A" w:rsidRDefault="00F0486A" w:rsidP="00F0486A">
            <w:pPr>
              <w:spacing w:before="100" w:beforeAutospacing="1" w:after="100" w:afterAutospacing="1" w:line="240" w:lineRule="auto"/>
              <w:ind w:left="120" w:hanging="360"/>
              <w:jc w:val="both"/>
              <w:outlineLvl w:val="2"/>
              <w:rPr>
                <w:rFonts w:ascii="Verdana" w:eastAsia="Times New Roman" w:hAnsi="Verdana" w:cs="Times New Roman"/>
                <w:sz w:val="15"/>
                <w:szCs w:val="15"/>
                <w:lang w:val="es-ES" w:eastAsia="es-PE"/>
              </w:rPr>
            </w:pPr>
            <w:r w:rsidRPr="00F0486A">
              <w:rPr>
                <w:rFonts w:ascii="Verdana" w:eastAsia="Arial" w:hAnsi="Verdana" w:cs="Times New Roman"/>
                <w:sz w:val="15"/>
                <w:szCs w:val="15"/>
                <w:lang w:eastAsia="es-PE"/>
              </w:rPr>
              <w:t xml:space="preserve">     </w:t>
            </w:r>
            <w:r w:rsidRPr="00F0486A">
              <w:rPr>
                <w:rFonts w:ascii="Verdana" w:eastAsia="Arial" w:hAnsi="Verdana" w:cs="Times New Roman"/>
                <w:sz w:val="15"/>
                <w:szCs w:val="15"/>
                <w:lang w:val="es-ES" w:eastAsia="es-PE"/>
              </w:rPr>
              <w:t xml:space="preserve">- </w:t>
            </w:r>
            <w:r w:rsidRPr="00F0486A">
              <w:rPr>
                <w:rFonts w:ascii="Verdana" w:eastAsia="Times New Roman" w:hAnsi="Verdana" w:cs="Times New Roman"/>
                <w:sz w:val="15"/>
                <w:szCs w:val="15"/>
                <w:lang w:eastAsia="es-PE"/>
              </w:rPr>
              <w:t> </w:t>
            </w:r>
            <w:hyperlink r:id="rId34" w:history="1">
              <w:r w:rsidRPr="00F0486A">
                <w:rPr>
                  <w:rFonts w:ascii="Verdana" w:eastAsia="Times New Roman" w:hAnsi="Verdana" w:cs="Times New Roman"/>
                  <w:color w:val="000080"/>
                  <w:sz w:val="15"/>
                  <w:szCs w:val="15"/>
                  <w:lang w:val="es-ES" w:eastAsia="es-PE"/>
                </w:rPr>
                <w:t>Anexo 15: Declaración jurada</w:t>
              </w:r>
            </w:hyperlink>
            <w:r w:rsidRPr="00F0486A">
              <w:rPr>
                <w:rFonts w:ascii="Verdana" w:eastAsia="Times New Roman" w:hAnsi="Verdana" w:cs="Times New Roman"/>
                <w:sz w:val="15"/>
                <w:szCs w:val="15"/>
                <w:lang w:val="es-ES" w:eastAsia="es-PE"/>
              </w:rPr>
              <w:t xml:space="preserve"> </w:t>
            </w:r>
          </w:p>
          <w:p w:rsidR="00F0486A" w:rsidRPr="00F0486A" w:rsidRDefault="00F0486A" w:rsidP="00F0486A">
            <w:pPr>
              <w:spacing w:before="100" w:beforeAutospacing="1" w:after="100" w:afterAutospacing="1" w:line="240" w:lineRule="auto"/>
              <w:ind w:left="60" w:hanging="360"/>
              <w:jc w:val="both"/>
              <w:outlineLvl w:val="2"/>
              <w:rPr>
                <w:rFonts w:ascii="Verdana" w:eastAsia="Times New Roman" w:hAnsi="Verdana" w:cs="Times New Roman"/>
                <w:color w:val="000080"/>
                <w:sz w:val="15"/>
                <w:szCs w:val="15"/>
                <w:lang w:eastAsia="es-PE"/>
              </w:rPr>
            </w:pPr>
            <w:r w:rsidRPr="00F0486A">
              <w:rPr>
                <w:rFonts w:ascii="Verdana" w:eastAsia="Arial" w:hAnsi="Verdana" w:cs="Times New Roman"/>
                <w:sz w:val="15"/>
                <w:szCs w:val="15"/>
                <w:lang w:eastAsia="es-PE"/>
              </w:rPr>
              <w:t xml:space="preserve">      </w:t>
            </w:r>
            <w:r w:rsidRPr="00F0486A">
              <w:rPr>
                <w:rFonts w:ascii="Verdana" w:eastAsia="Arial" w:hAnsi="Verdana" w:cs="Times New Roman"/>
                <w:sz w:val="15"/>
                <w:szCs w:val="15"/>
                <w:lang w:val="es-ES" w:eastAsia="es-PE"/>
              </w:rPr>
              <w:t xml:space="preserve">-  </w:t>
            </w:r>
            <w:hyperlink r:id="rId35" w:history="1">
              <w:r w:rsidRPr="00F0486A">
                <w:rPr>
                  <w:rFonts w:ascii="Verdana" w:eastAsia="Times New Roman" w:hAnsi="Verdana" w:cs="Times New Roman"/>
                  <w:color w:val="000080"/>
                  <w:sz w:val="15"/>
                  <w:szCs w:val="15"/>
                  <w:lang w:val="es-ES" w:eastAsia="es-PE"/>
                </w:rPr>
                <w:t xml:space="preserve">Anexo 16: Formato de registro de firma manuscrita </w:t>
              </w:r>
            </w:hyperlink>
          </w:p>
          <w:p w:rsidR="00F0486A" w:rsidRPr="00F0486A" w:rsidRDefault="00F0486A" w:rsidP="00F0486A">
            <w:pPr>
              <w:spacing w:before="100" w:beforeAutospacing="1" w:after="100" w:afterAutospacing="1" w:line="240" w:lineRule="auto"/>
              <w:ind w:left="8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eastAsia="es-PE"/>
              </w:rPr>
              <w:t xml:space="preserve">      </w:t>
            </w:r>
            <w:r w:rsidRPr="00F0486A">
              <w:rPr>
                <w:rFonts w:ascii="Verdana" w:eastAsia="Arial" w:hAnsi="Verdana" w:cs="Times New Roman"/>
                <w:sz w:val="15"/>
                <w:szCs w:val="15"/>
                <w:lang w:val="es-ES" w:eastAsia="es-PE"/>
              </w:rPr>
              <w:t>-  </w:t>
            </w:r>
            <w:hyperlink r:id="rId36" w:history="1">
              <w:r w:rsidRPr="00F0486A">
                <w:rPr>
                  <w:rFonts w:ascii="Verdana" w:eastAsia="Times New Roman" w:hAnsi="Verdana" w:cs="Times New Roman"/>
                  <w:color w:val="000080"/>
                  <w:sz w:val="15"/>
                  <w:szCs w:val="15"/>
                  <w:lang w:val="es-ES" w:eastAsia="es-PE"/>
                </w:rPr>
                <w:t xml:space="preserve">Anexo 17: Radio urbano – Aeropuerto Internacional Jorge Chávez </w:t>
              </w:r>
            </w:hyperlink>
          </w:p>
          <w:p w:rsidR="00F0486A" w:rsidRPr="00F0486A" w:rsidRDefault="00F0486A" w:rsidP="00F0486A">
            <w:pPr>
              <w:spacing w:before="100" w:beforeAutospacing="1" w:after="100" w:afterAutospacing="1" w:line="240" w:lineRule="auto"/>
              <w:ind w:left="14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eastAsia="es-PE"/>
              </w:rPr>
              <w:t xml:space="preserve">    </w:t>
            </w:r>
            <w:hyperlink r:id="rId37" w:history="1">
              <w:r w:rsidRPr="00F0486A">
                <w:rPr>
                  <w:rFonts w:ascii="Verdana" w:eastAsia="Arial" w:hAnsi="Verdana" w:cs="Times New Roman"/>
                  <w:color w:val="000080"/>
                  <w:sz w:val="15"/>
                  <w:szCs w:val="15"/>
                  <w:lang w:val="es-ES" w:eastAsia="es-PE"/>
                </w:rPr>
                <w:t>-</w:t>
              </w:r>
            </w:hyperlink>
            <w:r w:rsidRPr="00F0486A">
              <w:rPr>
                <w:rFonts w:ascii="Verdana" w:eastAsia="Times New Roman" w:hAnsi="Verdana" w:cs="Times New Roman"/>
                <w:sz w:val="15"/>
                <w:szCs w:val="15"/>
                <w:lang w:eastAsia="es-PE"/>
              </w:rPr>
              <w:t xml:space="preserve">  </w:t>
            </w:r>
            <w:hyperlink r:id="rId38" w:history="1">
              <w:r w:rsidRPr="00F0486A">
                <w:rPr>
                  <w:rFonts w:ascii="Verdana" w:eastAsia="Times New Roman" w:hAnsi="Verdana" w:cs="Times New Roman"/>
                  <w:color w:val="000080"/>
                  <w:sz w:val="15"/>
                  <w:szCs w:val="15"/>
                  <w:lang w:val="es-ES" w:eastAsia="es-PE"/>
                </w:rPr>
                <w:t xml:space="preserve">Anexo 18: Especificaciones técnicas para los equipos de cómputo del operador </w:t>
              </w:r>
            </w:hyperlink>
          </w:p>
          <w:p w:rsidR="00F0486A" w:rsidRPr="00F0486A" w:rsidRDefault="00F0486A" w:rsidP="00F0486A">
            <w:pPr>
              <w:spacing w:before="100" w:beforeAutospacing="1" w:after="100" w:afterAutospacing="1" w:line="240" w:lineRule="auto"/>
              <w:ind w:left="12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r w:rsidRPr="00F0486A">
              <w:rPr>
                <w:rFonts w:ascii="Verdana" w:eastAsia="Arial" w:hAnsi="Verdana" w:cs="Times New Roman"/>
                <w:sz w:val="15"/>
                <w:szCs w:val="15"/>
                <w:lang w:eastAsia="es-PE"/>
              </w:rPr>
              <w:t xml:space="preserve">    </w:t>
            </w:r>
            <w:hyperlink r:id="rId39" w:history="1">
              <w:r w:rsidRPr="00F0486A">
                <w:rPr>
                  <w:rFonts w:ascii="Verdana" w:eastAsia="Arial" w:hAnsi="Verdana" w:cs="Times New Roman"/>
                  <w:color w:val="000080"/>
                  <w:sz w:val="15"/>
                  <w:szCs w:val="15"/>
                  <w:lang w:val="es-ES" w:eastAsia="es-PE"/>
                </w:rPr>
                <w:t>-</w:t>
              </w:r>
            </w:hyperlink>
            <w:r w:rsidRPr="00F0486A">
              <w:rPr>
                <w:rFonts w:ascii="Verdana" w:eastAsia="Times New Roman" w:hAnsi="Verdana" w:cs="Times New Roman"/>
                <w:sz w:val="15"/>
                <w:szCs w:val="15"/>
                <w:lang w:eastAsia="es-PE"/>
              </w:rPr>
              <w:t xml:space="preserve">  </w:t>
            </w:r>
            <w:hyperlink r:id="rId40" w:history="1">
              <w:r w:rsidRPr="00F0486A">
                <w:rPr>
                  <w:rFonts w:ascii="Verdana" w:eastAsia="Times New Roman" w:hAnsi="Verdana" w:cs="Times New Roman"/>
                  <w:color w:val="000080"/>
                  <w:sz w:val="15"/>
                  <w:szCs w:val="15"/>
                  <w:lang w:val="es-ES" w:eastAsia="es-PE"/>
                </w:rPr>
                <w:t xml:space="preserve">Anexo 19: Características técnicas mínimas del sistema de monitoreo por cámaras de televisión </w:t>
              </w:r>
            </w:hyperlink>
          </w:p>
          <w:p w:rsidR="00F0486A" w:rsidRPr="00F0486A" w:rsidRDefault="00F0486A" w:rsidP="00F0486A">
            <w:pPr>
              <w:spacing w:before="100" w:beforeAutospacing="1" w:after="100" w:afterAutospacing="1" w:line="240" w:lineRule="auto"/>
              <w:ind w:left="12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eastAsia="es-PE"/>
              </w:rPr>
              <w:t xml:space="preserve">     </w:t>
            </w:r>
            <w:hyperlink r:id="rId41" w:history="1">
              <w:r w:rsidRPr="00F0486A">
                <w:rPr>
                  <w:rFonts w:ascii="Verdana" w:eastAsia="Arial" w:hAnsi="Verdana" w:cs="Times New Roman"/>
                  <w:color w:val="000080"/>
                  <w:sz w:val="15"/>
                  <w:szCs w:val="15"/>
                  <w:lang w:val="es-ES" w:eastAsia="es-PE"/>
                </w:rPr>
                <w:t>-</w:t>
              </w:r>
            </w:hyperlink>
            <w:r w:rsidRPr="00F0486A">
              <w:rPr>
                <w:rFonts w:ascii="Verdana" w:eastAsia="Times New Roman" w:hAnsi="Verdana" w:cs="Times New Roman"/>
                <w:sz w:val="15"/>
                <w:szCs w:val="15"/>
                <w:lang w:eastAsia="es-PE"/>
              </w:rPr>
              <w:t xml:space="preserve">  </w:t>
            </w:r>
            <w:hyperlink r:id="rId42" w:history="1">
              <w:r w:rsidRPr="00F0486A">
                <w:rPr>
                  <w:rFonts w:ascii="Verdana" w:eastAsia="Times New Roman" w:hAnsi="Verdana" w:cs="Times New Roman"/>
                  <w:color w:val="000080"/>
                  <w:sz w:val="15"/>
                  <w:szCs w:val="15"/>
                  <w:lang w:val="es-ES" w:eastAsia="es-PE"/>
                </w:rPr>
                <w:t xml:space="preserve">Anexo 20: Videocámaras instaladas en el almacén aduanero (  ) / depósito de material de uso aeronáutico (  ) </w:t>
              </w:r>
            </w:hyperlink>
          </w:p>
          <w:p w:rsidR="00F0486A" w:rsidRPr="00F0486A" w:rsidRDefault="00F0486A" w:rsidP="00F0486A">
            <w:pPr>
              <w:spacing w:before="100" w:beforeAutospacing="1" w:after="100" w:afterAutospacing="1" w:line="240" w:lineRule="auto"/>
              <w:ind w:left="14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eastAsia="es-PE"/>
              </w:rPr>
              <w:t xml:space="preserve">     </w:t>
            </w:r>
            <w:hyperlink r:id="rId43" w:history="1">
              <w:r w:rsidRPr="00F0486A">
                <w:rPr>
                  <w:rFonts w:ascii="Verdana" w:eastAsia="Arial" w:hAnsi="Verdana" w:cs="Times New Roman"/>
                  <w:color w:val="000080"/>
                  <w:sz w:val="15"/>
                  <w:szCs w:val="15"/>
                  <w:lang w:val="es-ES" w:eastAsia="es-PE"/>
                </w:rPr>
                <w:t>-</w:t>
              </w:r>
            </w:hyperlink>
            <w:r w:rsidRPr="00F0486A">
              <w:rPr>
                <w:rFonts w:ascii="Verdana" w:eastAsia="Times New Roman" w:hAnsi="Verdana" w:cs="Times New Roman"/>
                <w:sz w:val="15"/>
                <w:szCs w:val="15"/>
                <w:lang w:eastAsia="es-PE"/>
              </w:rPr>
              <w:t xml:space="preserve">  </w:t>
            </w:r>
            <w:hyperlink r:id="rId44" w:history="1">
              <w:r w:rsidRPr="00F0486A">
                <w:rPr>
                  <w:rFonts w:ascii="Verdana" w:eastAsia="Times New Roman" w:hAnsi="Verdana" w:cs="Times New Roman"/>
                  <w:color w:val="000080"/>
                  <w:sz w:val="15"/>
                  <w:szCs w:val="15"/>
                  <w:lang w:val="es-ES" w:eastAsia="es-PE"/>
                </w:rPr>
                <w:t xml:space="preserve">Anexo 21: Acta de verificación de infraestructura </w:t>
              </w:r>
            </w:hyperlink>
          </w:p>
          <w:p w:rsidR="00F0486A" w:rsidRPr="00F0486A" w:rsidRDefault="00F0486A" w:rsidP="00F0486A">
            <w:pPr>
              <w:spacing w:before="100" w:beforeAutospacing="1" w:after="100" w:afterAutospacing="1" w:line="240" w:lineRule="auto"/>
              <w:ind w:left="14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eastAsia="es-PE"/>
              </w:rPr>
              <w:t xml:space="preserve">    </w:t>
            </w:r>
            <w:r w:rsidRPr="00F0486A">
              <w:rPr>
                <w:rFonts w:ascii="Verdana" w:eastAsia="Arial" w:hAnsi="Verdana" w:cs="Times New Roman"/>
                <w:sz w:val="15"/>
                <w:szCs w:val="15"/>
                <w:lang w:val="es-ES" w:eastAsia="es-PE"/>
              </w:rPr>
              <w:t> </w:t>
            </w:r>
            <w:hyperlink r:id="rId45" w:history="1">
              <w:r w:rsidRPr="00F0486A">
                <w:rPr>
                  <w:rFonts w:ascii="Verdana" w:eastAsia="Arial" w:hAnsi="Verdana" w:cs="Times New Roman"/>
                  <w:color w:val="000080"/>
                  <w:sz w:val="15"/>
                  <w:szCs w:val="15"/>
                  <w:lang w:val="es-ES" w:eastAsia="es-PE"/>
                </w:rPr>
                <w:t>-</w:t>
              </w:r>
            </w:hyperlink>
            <w:r w:rsidRPr="00F0486A">
              <w:rPr>
                <w:rFonts w:ascii="Verdana" w:eastAsia="Times New Roman" w:hAnsi="Verdana" w:cs="Times New Roman"/>
                <w:sz w:val="15"/>
                <w:szCs w:val="15"/>
                <w:lang w:eastAsia="es-PE"/>
              </w:rPr>
              <w:t xml:space="preserve">  </w:t>
            </w:r>
            <w:hyperlink r:id="rId46" w:history="1">
              <w:r w:rsidRPr="00F0486A">
                <w:rPr>
                  <w:rFonts w:ascii="Verdana" w:eastAsia="Times New Roman" w:hAnsi="Verdana" w:cs="Times New Roman"/>
                  <w:color w:val="000080"/>
                  <w:sz w:val="15"/>
                  <w:szCs w:val="15"/>
                  <w:lang w:val="es-ES" w:eastAsia="es-PE"/>
                </w:rPr>
                <w:t xml:space="preserve">Anexo 22: Acta de verificación de infraestructura de almacén aduanero </w:t>
              </w:r>
            </w:hyperlink>
          </w:p>
          <w:p w:rsidR="00F0486A" w:rsidRPr="00F0486A" w:rsidRDefault="00F0486A" w:rsidP="00F0486A">
            <w:pPr>
              <w:spacing w:before="100" w:beforeAutospacing="1" w:after="100" w:afterAutospacing="1" w:line="240" w:lineRule="auto"/>
              <w:ind w:left="160" w:hanging="360"/>
              <w:jc w:val="both"/>
              <w:outlineLvl w:val="2"/>
              <w:rPr>
                <w:rFonts w:ascii="Times New Roman" w:eastAsia="Times New Roman" w:hAnsi="Times New Roman" w:cs="Times New Roman"/>
                <w:sz w:val="24"/>
                <w:szCs w:val="24"/>
                <w:lang w:eastAsia="es-PE"/>
              </w:rPr>
            </w:pPr>
            <w:r w:rsidRPr="00F0486A">
              <w:rPr>
                <w:rFonts w:ascii="Verdana" w:eastAsia="Arial" w:hAnsi="Verdana" w:cs="Times New Roman"/>
                <w:sz w:val="15"/>
                <w:szCs w:val="15"/>
                <w:lang w:eastAsia="es-PE"/>
              </w:rPr>
              <w:t>    -</w:t>
            </w:r>
            <w:r w:rsidRPr="00F0486A">
              <w:rPr>
                <w:rFonts w:ascii="Verdana" w:eastAsia="Times New Roman" w:hAnsi="Verdana" w:cs="Times New Roman"/>
                <w:sz w:val="15"/>
                <w:szCs w:val="15"/>
                <w:lang w:eastAsia="es-PE"/>
              </w:rPr>
              <w:t xml:space="preserve">  </w:t>
            </w:r>
            <w:hyperlink r:id="rId47" w:history="1">
              <w:r w:rsidRPr="00F0486A">
                <w:rPr>
                  <w:rFonts w:ascii="Verdana" w:eastAsia="Times New Roman" w:hAnsi="Verdana" w:cs="Times New Roman"/>
                  <w:color w:val="000080"/>
                  <w:sz w:val="15"/>
                  <w:szCs w:val="15"/>
                  <w:lang w:val="es-ES" w:eastAsia="es-PE"/>
                </w:rPr>
                <w:t>Anexo 23: A cta de verificación de sistema de monitoreo</w:t>
              </w:r>
            </w:hyperlink>
          </w:p>
          <w:p w:rsidR="00F0486A" w:rsidRPr="00F0486A" w:rsidRDefault="00F0486A" w:rsidP="00F0486A">
            <w:pPr>
              <w:spacing w:before="100" w:beforeAutospacing="1" w:after="100" w:afterAutospacing="1" w:line="240" w:lineRule="auto"/>
              <w:ind w:left="240" w:hanging="360"/>
              <w:jc w:val="both"/>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eastAsia="es-PE"/>
              </w:rPr>
              <w:t xml:space="preserve">   </w:t>
            </w:r>
            <w:hyperlink r:id="rId48" w:history="1">
              <w:r w:rsidRPr="00F0486A">
                <w:rPr>
                  <w:rFonts w:ascii="Verdana" w:eastAsia="Arial" w:hAnsi="Verdana" w:cs="Times New Roman"/>
                  <w:color w:val="000080"/>
                  <w:sz w:val="15"/>
                  <w:szCs w:val="15"/>
                  <w:lang w:val="es-ES" w:eastAsia="es-PE"/>
                </w:rPr>
                <w:t>-</w:t>
              </w:r>
            </w:hyperlink>
            <w:r w:rsidRPr="00F0486A">
              <w:rPr>
                <w:rFonts w:ascii="Verdana" w:eastAsia="Times New Roman" w:hAnsi="Verdana" w:cs="Times New Roman"/>
                <w:sz w:val="15"/>
                <w:szCs w:val="15"/>
                <w:lang w:eastAsia="es-PE"/>
              </w:rPr>
              <w:t xml:space="preserve">  </w:t>
            </w:r>
            <w:hyperlink r:id="rId49" w:history="1">
              <w:r w:rsidRPr="00F0486A">
                <w:rPr>
                  <w:rFonts w:ascii="Verdana" w:eastAsia="Times New Roman" w:hAnsi="Verdana" w:cs="Times New Roman"/>
                  <w:color w:val="000080"/>
                  <w:sz w:val="15"/>
                  <w:szCs w:val="15"/>
                  <w:lang w:val="es-ES" w:eastAsia="es-PE"/>
                </w:rPr>
                <w:t xml:space="preserve">Anexo 24: Solicitud: Registro de personal del Operador (  ) / Renovación de registro de auxiliar y auxiliar de despacho (  ) </w:t>
              </w:r>
            </w:hyperlink>
            <w:hyperlink r:id="rId50" w:history="1">
              <w:r w:rsidRPr="00F0486A">
                <w:rPr>
                  <w:rFonts w:ascii="Verdana" w:eastAsia="Times New Roman" w:hAnsi="Verdana" w:cs="Times New Roman"/>
                  <w:color w:val="000080"/>
                  <w:sz w:val="15"/>
                  <w:szCs w:val="15"/>
                  <w:lang w:eastAsia="es-PE"/>
                </w:rPr>
                <w:t>(RIN Nº042-2016-SUNAT/5F0000-23.11.2016)</w:t>
              </w:r>
            </w:hyperlink>
          </w:p>
          <w:p w:rsidR="00F0486A" w:rsidRPr="00F0486A" w:rsidRDefault="00F0486A" w:rsidP="00F0486A">
            <w:pPr>
              <w:spacing w:before="100" w:beforeAutospacing="1" w:after="100" w:afterAutospacing="1" w:line="240" w:lineRule="auto"/>
              <w:ind w:left="14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lastRenderedPageBreak/>
              <w:t> </w:t>
            </w:r>
            <w:r w:rsidRPr="00F0486A">
              <w:rPr>
                <w:rFonts w:ascii="Verdana" w:eastAsia="Arial" w:hAnsi="Verdana" w:cs="Times New Roman"/>
                <w:sz w:val="15"/>
                <w:szCs w:val="15"/>
                <w:lang w:eastAsia="es-PE"/>
              </w:rPr>
              <w:t xml:space="preserve">   </w:t>
            </w:r>
            <w:hyperlink r:id="rId51" w:history="1">
              <w:r w:rsidRPr="00F0486A">
                <w:rPr>
                  <w:rFonts w:ascii="Verdana" w:eastAsia="Arial" w:hAnsi="Verdana" w:cs="Times New Roman"/>
                  <w:color w:val="000080"/>
                  <w:sz w:val="15"/>
                  <w:szCs w:val="15"/>
                  <w:lang w:val="es-ES" w:eastAsia="es-PE"/>
                </w:rPr>
                <w:t>-</w:t>
              </w:r>
            </w:hyperlink>
            <w:r w:rsidRPr="00F0486A">
              <w:rPr>
                <w:rFonts w:ascii="Verdana" w:eastAsia="Times New Roman" w:hAnsi="Verdana" w:cs="Times New Roman"/>
                <w:sz w:val="15"/>
                <w:szCs w:val="15"/>
                <w:lang w:eastAsia="es-PE"/>
              </w:rPr>
              <w:t xml:space="preserve">  </w:t>
            </w:r>
            <w:hyperlink r:id="rId52" w:history="1">
              <w:r w:rsidRPr="00F0486A">
                <w:rPr>
                  <w:rFonts w:ascii="Verdana" w:eastAsia="Times New Roman" w:hAnsi="Verdana" w:cs="Times New Roman"/>
                  <w:color w:val="000080"/>
                  <w:sz w:val="15"/>
                  <w:szCs w:val="15"/>
                  <w:lang w:val="es-ES" w:eastAsia="es-PE"/>
                </w:rPr>
                <w:t xml:space="preserve">Anexo 25: Autorización a entidad religiosa, institución privada sin fines de lucro receptoras de donaciones de carácter asistencial o educacional, ENIEX, ONGD-PERÚ, para operar en nueva circunscripción aduanera </w:t>
              </w:r>
            </w:hyperlink>
          </w:p>
          <w:p w:rsidR="00F0486A" w:rsidRPr="00F0486A" w:rsidRDefault="00F0486A" w:rsidP="00F0486A">
            <w:pPr>
              <w:spacing w:before="100" w:beforeAutospacing="1" w:after="100" w:afterAutospacing="1" w:line="240" w:lineRule="auto"/>
              <w:ind w:left="1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eastAsia="es-PE"/>
              </w:rPr>
              <w:t xml:space="preserve">    </w:t>
            </w:r>
            <w:hyperlink r:id="rId53" w:history="1">
              <w:r w:rsidRPr="00F0486A">
                <w:rPr>
                  <w:rFonts w:ascii="Verdana" w:eastAsia="Arial" w:hAnsi="Verdana" w:cs="Times New Roman"/>
                  <w:color w:val="000080"/>
                  <w:sz w:val="15"/>
                  <w:szCs w:val="15"/>
                  <w:lang w:val="es-ES" w:eastAsia="es-PE"/>
                </w:rPr>
                <w:t>-</w:t>
              </w:r>
            </w:hyperlink>
            <w:r w:rsidRPr="00F0486A">
              <w:rPr>
                <w:rFonts w:ascii="Verdana" w:eastAsia="Times New Roman" w:hAnsi="Verdana" w:cs="Times New Roman"/>
                <w:sz w:val="15"/>
                <w:szCs w:val="15"/>
                <w:lang w:eastAsia="es-PE"/>
              </w:rPr>
              <w:t xml:space="preserve">  </w:t>
            </w:r>
            <w:hyperlink r:id="rId54" w:history="1">
              <w:r w:rsidRPr="00F0486A">
                <w:rPr>
                  <w:rFonts w:ascii="Verdana" w:eastAsia="Times New Roman" w:hAnsi="Verdana" w:cs="Times New Roman"/>
                  <w:color w:val="000080"/>
                  <w:sz w:val="15"/>
                  <w:szCs w:val="15"/>
                  <w:lang w:val="es-ES" w:eastAsia="es-PE"/>
                </w:rPr>
                <w:t xml:space="preserve">Anexo 26: Autorización al agente de aduana persona natural para operar en nueva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hyperlink r:id="rId55" w:history="1">
              <w:r w:rsidRPr="00F0486A">
                <w:rPr>
                  <w:rFonts w:ascii="Verdana" w:eastAsia="Times New Roman" w:hAnsi="Verdana" w:cs="Times New Roman"/>
                  <w:color w:val="000080"/>
                  <w:sz w:val="15"/>
                  <w:szCs w:val="15"/>
                  <w:lang w:val="es-ES" w:eastAsia="es-PE"/>
                </w:rPr>
                <w:t xml:space="preserve">Anexo 27: Autorización al agente de aduana persona jurídica para operar en nueva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xml:space="preserve">- </w:t>
            </w:r>
            <w:hyperlink r:id="rId56" w:history="1">
              <w:r w:rsidRPr="00F0486A">
                <w:rPr>
                  <w:rFonts w:ascii="Verdana" w:eastAsia="Times New Roman" w:hAnsi="Verdana" w:cs="Times New Roman"/>
                  <w:color w:val="000080"/>
                  <w:sz w:val="15"/>
                  <w:szCs w:val="15"/>
                  <w:lang w:val="es-ES" w:eastAsia="es-PE"/>
                </w:rPr>
                <w:t xml:space="preserve">Anexo 28: Autorización al transportista o su representante para operar en nueva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hyperlink r:id="rId57" w:history="1">
              <w:r w:rsidRPr="00F0486A">
                <w:rPr>
                  <w:rFonts w:ascii="Verdana" w:eastAsia="Arial" w:hAnsi="Verdana" w:cs="Times New Roman"/>
                  <w:color w:val="000080"/>
                  <w:sz w:val="15"/>
                  <w:szCs w:val="15"/>
                  <w:lang w:val="es-ES" w:eastAsia="es-PE"/>
                </w:rPr>
                <w:t> </w:t>
              </w:r>
            </w:hyperlink>
            <w:hyperlink r:id="rId58" w:history="1">
              <w:r w:rsidRPr="00F0486A">
                <w:rPr>
                  <w:rFonts w:ascii="Verdana" w:eastAsia="Times New Roman" w:hAnsi="Verdana" w:cs="Times New Roman"/>
                  <w:color w:val="000080"/>
                  <w:sz w:val="15"/>
                  <w:szCs w:val="15"/>
                  <w:lang w:val="es-ES" w:eastAsia="es-PE"/>
                </w:rPr>
                <w:t xml:space="preserve">Anexo 29: Autorización al agente de carga internacional para operar en nueva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hyperlink r:id="rId59" w:history="1">
              <w:r w:rsidRPr="00F0486A">
                <w:rPr>
                  <w:rFonts w:ascii="Verdana" w:eastAsia="Arial" w:hAnsi="Verdana" w:cs="Times New Roman"/>
                  <w:color w:val="000080"/>
                  <w:sz w:val="15"/>
                  <w:szCs w:val="15"/>
                  <w:lang w:val="es-ES" w:eastAsia="es-PE"/>
                </w:rPr>
                <w:t xml:space="preserve"> </w:t>
              </w:r>
            </w:hyperlink>
            <w:hyperlink r:id="rId60" w:history="1">
              <w:r w:rsidRPr="00F0486A">
                <w:rPr>
                  <w:rFonts w:ascii="Verdana" w:eastAsia="Times New Roman" w:hAnsi="Verdana" w:cs="Times New Roman"/>
                  <w:color w:val="000080"/>
                  <w:sz w:val="15"/>
                  <w:szCs w:val="15"/>
                  <w:lang w:val="es-ES" w:eastAsia="es-PE"/>
                </w:rPr>
                <w:t xml:space="preserve">Anexo 30: Autorización al almacén aduanero para operar en nueva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hyperlink r:id="rId61" w:history="1">
              <w:r w:rsidRPr="00F0486A">
                <w:rPr>
                  <w:rFonts w:ascii="Verdana" w:eastAsia="Times New Roman" w:hAnsi="Verdana" w:cs="Times New Roman"/>
                  <w:color w:val="000080"/>
                  <w:sz w:val="15"/>
                  <w:szCs w:val="15"/>
                  <w:lang w:val="es-ES" w:eastAsia="es-PE"/>
                </w:rPr>
                <w:t xml:space="preserve">Anexo 31: Autorización al beneficiario de material de uso aeronáutico para operar en nueva circunscripción aduanera </w:t>
              </w:r>
            </w:hyperlink>
            <w:hyperlink r:id="rId62" w:history="1">
              <w:r w:rsidRPr="00F0486A">
                <w:rPr>
                  <w:rFonts w:ascii="Verdana" w:eastAsia="Times New Roman" w:hAnsi="Verdana" w:cs="Times New Roman"/>
                  <w:color w:val="000080"/>
                  <w:sz w:val="15"/>
                  <w:szCs w:val="15"/>
                  <w:lang w:eastAsia="es-PE"/>
                </w:rPr>
                <w:t>(RIN Nº042-2016-SUNAT/5F0000-23.11.2016)</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hyperlink r:id="rId63" w:history="1">
              <w:r w:rsidRPr="00F0486A">
                <w:rPr>
                  <w:rFonts w:ascii="Verdana" w:eastAsia="Arial" w:hAnsi="Verdana" w:cs="Times New Roman"/>
                  <w:color w:val="000080"/>
                  <w:sz w:val="15"/>
                  <w:szCs w:val="15"/>
                  <w:lang w:val="es-ES" w:eastAsia="es-PE"/>
                </w:rPr>
                <w:t xml:space="preserve"> </w:t>
              </w:r>
            </w:hyperlink>
            <w:hyperlink r:id="rId64" w:history="1">
              <w:r w:rsidRPr="00F0486A">
                <w:rPr>
                  <w:rFonts w:ascii="Verdana" w:eastAsia="Times New Roman" w:hAnsi="Verdana" w:cs="Times New Roman"/>
                  <w:color w:val="000080"/>
                  <w:sz w:val="15"/>
                  <w:szCs w:val="15"/>
                  <w:lang w:val="es-ES" w:eastAsia="es-PE"/>
                </w:rPr>
                <w:t xml:space="preserve">Anexo 32: Modificación de área autorizada al almacén aduanero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hyperlink r:id="rId65" w:history="1">
              <w:r w:rsidRPr="00F0486A">
                <w:rPr>
                  <w:rFonts w:ascii="Verdana" w:eastAsia="Times New Roman" w:hAnsi="Verdana" w:cs="Times New Roman"/>
                  <w:color w:val="000080"/>
                  <w:sz w:val="15"/>
                  <w:szCs w:val="15"/>
                  <w:lang w:val="es-ES" w:eastAsia="es-PE"/>
                </w:rPr>
                <w:t xml:space="preserve">Anexo 33: Autorización al depósito temporal marítimo para operar como depósito temporal aéreo y/o terrestre, en el mismo local </w:t>
              </w:r>
            </w:hyperlink>
          </w:p>
          <w:p w:rsidR="00F0486A" w:rsidRPr="00F0486A" w:rsidRDefault="00F0486A" w:rsidP="00F0486A">
            <w:pPr>
              <w:spacing w:before="100" w:beforeAutospacing="1" w:after="100" w:afterAutospacing="1" w:line="240" w:lineRule="auto"/>
              <w:ind w:left="360" w:hanging="360"/>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hyperlink r:id="rId66" w:history="1">
              <w:r w:rsidRPr="00F0486A">
                <w:rPr>
                  <w:rFonts w:ascii="Verdana" w:eastAsia="Times New Roman" w:hAnsi="Verdana" w:cs="Times New Roman"/>
                  <w:color w:val="000080"/>
                  <w:sz w:val="15"/>
                  <w:szCs w:val="15"/>
                  <w:lang w:val="es-ES" w:eastAsia="es-PE"/>
                </w:rPr>
                <w:t xml:space="preserve">Anexo 34: Autorización al depósito temporal aéreo para operar como depósito temporal terrestre, o viceversa, en el mismo local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Times New Roman" w:hAnsi="Verdana" w:cs="Times New Roman"/>
                <w:sz w:val="15"/>
                <w:szCs w:val="15"/>
                <w:lang w:val="es-ES" w:eastAsia="es-PE"/>
              </w:rPr>
              <w:t>-  </w:t>
            </w:r>
            <w:hyperlink r:id="rId67" w:history="1">
              <w:r w:rsidRPr="00F0486A">
                <w:rPr>
                  <w:rFonts w:ascii="Verdana" w:eastAsia="Times New Roman" w:hAnsi="Verdana" w:cs="Times New Roman"/>
                  <w:color w:val="000080"/>
                  <w:sz w:val="15"/>
                  <w:szCs w:val="15"/>
                  <w:lang w:val="es-ES" w:eastAsia="es-PE"/>
                </w:rPr>
                <w:t xml:space="preserve">Anexo 35: Autorización al depósito temporal aéreo y/o terrestre para operar como depósito temporal marítimo en un mismo local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xml:space="preserve">- </w:t>
            </w:r>
            <w:hyperlink r:id="rId68" w:history="1">
              <w:r w:rsidRPr="00F0486A">
                <w:rPr>
                  <w:rFonts w:ascii="Verdana" w:eastAsia="Times New Roman" w:hAnsi="Verdana" w:cs="Times New Roman"/>
                  <w:color w:val="000080"/>
                  <w:sz w:val="15"/>
                  <w:szCs w:val="15"/>
                  <w:lang w:val="es-ES" w:eastAsia="es-PE"/>
                </w:rPr>
                <w:t xml:space="preserve">Anexo 36: Modificación del área de la oficina autorizada al agente de aduana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hyperlink r:id="rId69" w:history="1">
              <w:r w:rsidRPr="00F0486A">
                <w:rPr>
                  <w:rFonts w:ascii="Verdana" w:eastAsia="Times New Roman" w:hAnsi="Verdana" w:cs="Times New Roman"/>
                  <w:color w:val="000080"/>
                  <w:sz w:val="15"/>
                  <w:szCs w:val="15"/>
                  <w:lang w:val="es-ES" w:eastAsia="es-PE"/>
                </w:rPr>
                <w:t xml:space="preserve">Anexo 37: Autorización al agente de aduana para operar en local anexo, en la misma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hyperlink r:id="rId70" w:history="1">
              <w:r w:rsidRPr="00F0486A">
                <w:rPr>
                  <w:rFonts w:ascii="Verdana" w:eastAsia="Times New Roman" w:hAnsi="Verdana" w:cs="Times New Roman"/>
                  <w:color w:val="000080"/>
                  <w:sz w:val="15"/>
                  <w:szCs w:val="15"/>
                  <w:lang w:val="es-ES" w:eastAsia="es-PE"/>
                </w:rPr>
                <w:t xml:space="preserve">Anexo 38: Autorización al almacén aduanero para operar en local anexo, en la misma circunscripción aduanera </w:t>
              </w:r>
            </w:hyperlink>
          </w:p>
          <w:p w:rsidR="00F0486A" w:rsidRPr="00F0486A" w:rsidRDefault="00F0486A" w:rsidP="00F0486A">
            <w:pPr>
              <w:spacing w:before="100" w:beforeAutospacing="1" w:after="100" w:afterAutospacing="1" w:line="240" w:lineRule="auto"/>
              <w:ind w:left="360" w:hanging="360"/>
              <w:rPr>
                <w:rFonts w:ascii="Verdana" w:eastAsia="Times New Roman" w:hAnsi="Verdana" w:cs="Times New Roman"/>
                <w:color w:val="000080"/>
                <w:sz w:val="15"/>
                <w:szCs w:val="15"/>
                <w:lang w:val="es-ES" w:eastAsia="es-PE"/>
              </w:rPr>
            </w:pPr>
            <w:hyperlink r:id="rId71" w:history="1">
              <w:r w:rsidRPr="00F0486A">
                <w:rPr>
                  <w:rFonts w:ascii="Verdana" w:eastAsia="Arial" w:hAnsi="Verdana" w:cs="Times New Roman"/>
                  <w:color w:val="000080"/>
                  <w:sz w:val="15"/>
                  <w:szCs w:val="15"/>
                  <w:lang w:val="es-ES" w:eastAsia="es-PE"/>
                </w:rPr>
                <w:t>-</w:t>
              </w:r>
            </w:hyperlink>
            <w:r w:rsidRPr="00F0486A">
              <w:rPr>
                <w:rFonts w:ascii="Verdana" w:eastAsia="Arial" w:hAnsi="Verdana" w:cs="Times New Roman"/>
                <w:sz w:val="15"/>
                <w:szCs w:val="15"/>
                <w:lang w:eastAsia="es-PE"/>
              </w:rPr>
              <w:t xml:space="preserve">   </w:t>
            </w:r>
            <w:hyperlink r:id="rId72" w:history="1">
              <w:r w:rsidRPr="00F0486A">
                <w:rPr>
                  <w:rFonts w:ascii="Verdana" w:eastAsia="Times New Roman" w:hAnsi="Verdana" w:cs="Times New Roman"/>
                  <w:color w:val="000080"/>
                  <w:sz w:val="15"/>
                  <w:szCs w:val="15"/>
                  <w:lang w:val="es-ES" w:eastAsia="es-PE"/>
                </w:rPr>
                <w:t xml:space="preserve">Anexo 39: Autorización al almacén libre (Duty Free) para operar en un local anexo, en la misma circunscripción aduanera </w:t>
              </w:r>
            </w:hyperlink>
            <w:hyperlink r:id="rId73" w:history="1">
              <w:r w:rsidRPr="00F0486A">
                <w:rPr>
                  <w:rFonts w:ascii="Verdana" w:eastAsia="Times New Roman" w:hAnsi="Verdana" w:cs="Times New Roman"/>
                  <w:color w:val="000080"/>
                  <w:sz w:val="15"/>
                  <w:szCs w:val="15"/>
                  <w:lang w:eastAsia="es-PE"/>
                </w:rPr>
                <w:t>(RIN Nº042-2016-SUNAT/5F0000-23.11.2016)</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r w:rsidRPr="00F0486A">
              <w:rPr>
                <w:rFonts w:ascii="Verdana" w:eastAsia="Times New Roman" w:hAnsi="Verdana" w:cs="Times New Roman"/>
                <w:sz w:val="15"/>
                <w:szCs w:val="15"/>
                <w:lang w:eastAsia="es-PE"/>
              </w:rPr>
              <w:t xml:space="preserve"> </w:t>
            </w:r>
            <w:hyperlink r:id="rId74" w:history="1">
              <w:r w:rsidRPr="00F0486A">
                <w:rPr>
                  <w:rFonts w:ascii="Verdana" w:eastAsia="Times New Roman" w:hAnsi="Verdana" w:cs="Times New Roman"/>
                  <w:color w:val="000080"/>
                  <w:sz w:val="15"/>
                  <w:szCs w:val="15"/>
                  <w:lang w:val="es-ES" w:eastAsia="es-PE"/>
                </w:rPr>
                <w:t xml:space="preserve">Anexo 40: Autorización al beneficiario de material de uso aeronáutico para operar en local anexo, en la misma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xml:space="preserve">- </w:t>
            </w:r>
            <w:r w:rsidRPr="00F0486A">
              <w:rPr>
                <w:rFonts w:ascii="Verdana" w:eastAsia="Times New Roman" w:hAnsi="Verdana" w:cs="Times New Roman"/>
                <w:sz w:val="15"/>
                <w:szCs w:val="15"/>
                <w:lang w:eastAsia="es-PE"/>
              </w:rPr>
              <w:t> </w:t>
            </w:r>
            <w:hyperlink r:id="rId75" w:history="1">
              <w:r w:rsidRPr="00F0486A">
                <w:rPr>
                  <w:rFonts w:ascii="Verdana" w:eastAsia="Times New Roman" w:hAnsi="Verdana" w:cs="Times New Roman"/>
                  <w:color w:val="000080"/>
                  <w:sz w:val="15"/>
                  <w:szCs w:val="15"/>
                  <w:lang w:val="es-ES" w:eastAsia="es-PE"/>
                </w:rPr>
                <w:t xml:space="preserve">Anexo 41: Autorización al agente de aduana para instalar el archivo de la documentación de despacho en local externo a la oficina autorizada </w:t>
              </w:r>
            </w:hyperlink>
          </w:p>
          <w:p w:rsidR="00F0486A" w:rsidRPr="00F0486A" w:rsidRDefault="00F0486A" w:rsidP="00F0486A">
            <w:pPr>
              <w:spacing w:before="100" w:beforeAutospacing="1" w:after="100" w:afterAutospacing="1" w:line="240" w:lineRule="auto"/>
              <w:ind w:left="30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76" w:history="1">
              <w:r w:rsidRPr="00F0486A">
                <w:rPr>
                  <w:rFonts w:ascii="Verdana" w:eastAsia="Times New Roman" w:hAnsi="Verdana" w:cs="Times New Roman"/>
                  <w:color w:val="000080"/>
                  <w:sz w:val="15"/>
                  <w:szCs w:val="15"/>
                  <w:lang w:val="es-ES" w:eastAsia="es-PE"/>
                </w:rPr>
                <w:t xml:space="preserve">Anexo 42: Registro de nuevo representante legal ante la autoridad aduanera </w:t>
              </w:r>
            </w:hyperlink>
            <w:hyperlink r:id="rId77" w:history="1">
              <w:r w:rsidRPr="00F0486A">
                <w:rPr>
                  <w:rFonts w:ascii="Verdana" w:eastAsia="Times New Roman" w:hAnsi="Verdana" w:cs="Times New Roman"/>
                  <w:i/>
                  <w:iCs/>
                  <w:color w:val="000080"/>
                  <w:sz w:val="15"/>
                  <w:szCs w:val="15"/>
                  <w:lang w:val="es-ES" w:eastAsia="es-PE"/>
                </w:rPr>
                <w:t>(RIN N° 05-2018-SUNAT/310000 - 04/02/2018)</w:t>
              </w:r>
            </w:hyperlink>
          </w:p>
          <w:p w:rsidR="00F0486A" w:rsidRPr="00F0486A" w:rsidRDefault="00F0486A" w:rsidP="00F0486A">
            <w:pPr>
              <w:spacing w:before="100" w:beforeAutospacing="1" w:after="100" w:afterAutospacing="1" w:line="240" w:lineRule="auto"/>
              <w:ind w:left="360" w:hanging="360"/>
              <w:jc w:val="both"/>
              <w:outlineLvl w:val="2"/>
              <w:rPr>
                <w:rFonts w:ascii="Times New Roman" w:eastAsia="Times New Roman" w:hAnsi="Times New Roman" w:cs="Times New Roman"/>
                <w:sz w:val="24"/>
                <w:szCs w:val="24"/>
                <w:lang w:eastAsia="es-PE"/>
              </w:rPr>
            </w:pPr>
            <w:r w:rsidRPr="00F0486A">
              <w:rPr>
                <w:rFonts w:ascii="Verdana" w:eastAsia="Arial" w:hAnsi="Verdana" w:cs="Times New Roman"/>
                <w:sz w:val="15"/>
                <w:szCs w:val="15"/>
                <w:lang w:val="es-ES" w:eastAsia="es-PE"/>
              </w:rPr>
              <w:t>- </w:t>
            </w:r>
            <w:r w:rsidRPr="00F0486A">
              <w:rPr>
                <w:rFonts w:ascii="Verdana" w:eastAsia="Times New Roman" w:hAnsi="Verdana" w:cs="Times New Roman"/>
                <w:sz w:val="15"/>
                <w:szCs w:val="15"/>
                <w:lang w:eastAsia="es-PE"/>
              </w:rPr>
              <w:t xml:space="preserve"> </w:t>
            </w:r>
            <w:hyperlink r:id="rId78" w:history="1">
              <w:r w:rsidRPr="00F0486A">
                <w:rPr>
                  <w:rFonts w:ascii="Verdana" w:eastAsia="Times New Roman" w:hAnsi="Verdana" w:cs="Times New Roman"/>
                  <w:color w:val="000080"/>
                  <w:sz w:val="15"/>
                  <w:szCs w:val="15"/>
                  <w:lang w:eastAsia="es-PE"/>
                </w:rPr>
                <w:t> </w:t>
              </w:r>
              <w:r w:rsidRPr="00F0486A">
                <w:rPr>
                  <w:rFonts w:ascii="Verdana" w:eastAsia="Times New Roman" w:hAnsi="Verdana" w:cs="Times New Roman"/>
                  <w:color w:val="000080"/>
                  <w:sz w:val="15"/>
                  <w:szCs w:val="15"/>
                  <w:lang w:val="es-ES" w:eastAsia="es-PE"/>
                </w:rPr>
                <w:t>Anexo 43: Registro de nuevo despachador oficial</w:t>
              </w:r>
            </w:hyperlink>
            <w:hyperlink r:id="rId79" w:history="1">
              <w:r w:rsidRPr="00F0486A">
                <w:rPr>
                  <w:rFonts w:ascii="Verdana" w:eastAsia="Times New Roman" w:hAnsi="Verdana" w:cs="Times New Roman"/>
                  <w:color w:val="000080"/>
                  <w:sz w:val="15"/>
                  <w:szCs w:val="15"/>
                  <w:lang w:val="es-ES" w:eastAsia="es-PE"/>
                </w:rPr>
                <w:t xml:space="preserve"> </w:t>
              </w:r>
            </w:hyperlink>
            <w:hyperlink r:id="rId80" w:history="1">
              <w:r w:rsidRPr="00F0486A">
                <w:rPr>
                  <w:rFonts w:ascii="Verdana" w:eastAsia="Times New Roman" w:hAnsi="Verdana" w:cs="Times New Roman"/>
                  <w:i/>
                  <w:iCs/>
                  <w:color w:val="000080"/>
                  <w:sz w:val="15"/>
                  <w:szCs w:val="15"/>
                  <w:lang w:eastAsia="es-PE"/>
                </w:rPr>
                <w:t>(RIN N° 05-2018-SUNAT/310000 - 04/02/2018)</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r w:rsidRPr="00F0486A">
              <w:rPr>
                <w:rFonts w:ascii="Verdana" w:eastAsia="Times New Roman" w:hAnsi="Verdana" w:cs="Times New Roman"/>
                <w:sz w:val="15"/>
                <w:szCs w:val="15"/>
                <w:lang w:eastAsia="es-PE"/>
              </w:rPr>
              <w:t xml:space="preserve">  </w:t>
            </w:r>
            <w:hyperlink r:id="rId81" w:history="1">
              <w:r w:rsidRPr="00F0486A">
                <w:rPr>
                  <w:rFonts w:ascii="Verdana" w:eastAsia="Times New Roman" w:hAnsi="Verdana" w:cs="Times New Roman"/>
                  <w:color w:val="000080"/>
                  <w:sz w:val="15"/>
                  <w:szCs w:val="15"/>
                  <w:lang w:val="es-ES" w:eastAsia="es-PE"/>
                </w:rPr>
                <w:t xml:space="preserve">Anexo 44: Registro de nuevo auxiliar y auxiliar de despacho </w:t>
              </w:r>
            </w:hyperlink>
            <w:hyperlink r:id="rId82" w:history="1">
              <w:r w:rsidRPr="00F0486A">
                <w:rPr>
                  <w:rFonts w:ascii="Verdana" w:eastAsia="Times New Roman" w:hAnsi="Verdana" w:cs="Times New Roman"/>
                  <w:i/>
                  <w:iCs/>
                  <w:color w:val="000080"/>
                  <w:sz w:val="15"/>
                  <w:szCs w:val="15"/>
                  <w:lang w:eastAsia="es-PE"/>
                </w:rPr>
                <w:t>(RIN N° 05-2018-SUNAT/310000 - 04/02/2018)</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xml:space="preserve">-  </w:t>
            </w:r>
            <w:r w:rsidRPr="00F0486A">
              <w:rPr>
                <w:rFonts w:ascii="Verdana" w:eastAsia="Times New Roman" w:hAnsi="Verdana" w:cs="Times New Roman"/>
                <w:sz w:val="15"/>
                <w:szCs w:val="15"/>
                <w:lang w:eastAsia="es-PE"/>
              </w:rPr>
              <w:t> </w:t>
            </w:r>
            <w:hyperlink r:id="rId83" w:history="1">
              <w:r w:rsidRPr="00F0486A">
                <w:rPr>
                  <w:rFonts w:ascii="Verdana" w:eastAsia="Times New Roman" w:hAnsi="Verdana" w:cs="Times New Roman"/>
                  <w:color w:val="000080"/>
                  <w:sz w:val="15"/>
                  <w:szCs w:val="15"/>
                  <w:lang w:val="es-ES" w:eastAsia="es-PE"/>
                </w:rPr>
                <w:t xml:space="preserve">Anexo 45: Comunicación de la revocación del representante legal ante la autoridad aduanera, y la conclusión de la vinculación contractual con el auxiliar y auxiliar de despacho </w:t>
              </w:r>
            </w:hyperlink>
            <w:hyperlink r:id="rId84" w:history="1">
              <w:r w:rsidRPr="00F0486A">
                <w:rPr>
                  <w:rFonts w:ascii="Verdana" w:eastAsia="Times New Roman" w:hAnsi="Verdana" w:cs="Times New Roman"/>
                  <w:i/>
                  <w:iCs/>
                  <w:color w:val="000080"/>
                  <w:sz w:val="15"/>
                  <w:szCs w:val="15"/>
                  <w:lang w:eastAsia="es-PE"/>
                </w:rPr>
                <w:t>(RIN N° 05-2018-SUNAT/310000 - 04/02/2018)</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r w:rsidRPr="00F0486A">
              <w:rPr>
                <w:rFonts w:ascii="Verdana" w:eastAsia="Times New Roman" w:hAnsi="Verdana" w:cs="Times New Roman"/>
                <w:sz w:val="15"/>
                <w:szCs w:val="15"/>
                <w:lang w:eastAsia="es-PE"/>
              </w:rPr>
              <w:t xml:space="preserve">  </w:t>
            </w:r>
            <w:hyperlink r:id="rId85" w:history="1">
              <w:r w:rsidRPr="00F0486A">
                <w:rPr>
                  <w:rFonts w:ascii="Verdana" w:eastAsia="Times New Roman" w:hAnsi="Verdana" w:cs="Times New Roman"/>
                  <w:color w:val="000080"/>
                  <w:sz w:val="15"/>
                  <w:szCs w:val="15"/>
                  <w:lang w:val="es-ES" w:eastAsia="es-PE"/>
                </w:rPr>
                <w:t xml:space="preserve">Anexo 46: Cambio de domicilio del local de la entidad religiosa, institución privada sin fines de lucro receptoras de donaciones de carácter asistencial o educacional, ENIEX, ONGD-PERÚ, en la misma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r w:rsidRPr="00F0486A">
              <w:rPr>
                <w:rFonts w:ascii="Verdana" w:eastAsia="Times New Roman" w:hAnsi="Verdana" w:cs="Times New Roman"/>
                <w:sz w:val="15"/>
                <w:szCs w:val="15"/>
                <w:lang w:eastAsia="es-PE"/>
              </w:rPr>
              <w:t xml:space="preserve"> </w:t>
            </w:r>
            <w:hyperlink r:id="rId86" w:history="1">
              <w:r w:rsidRPr="00F0486A">
                <w:rPr>
                  <w:rFonts w:ascii="Verdana" w:eastAsia="Times New Roman" w:hAnsi="Verdana" w:cs="Times New Roman"/>
                  <w:color w:val="000080"/>
                  <w:sz w:val="15"/>
                  <w:szCs w:val="15"/>
                  <w:lang w:val="es-ES" w:eastAsia="es-PE"/>
                </w:rPr>
                <w:t xml:space="preserve">Anexo 47: Cambio de domicilio del local del agente de aduana persona natural, en la misma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lastRenderedPageBreak/>
              <w:t xml:space="preserve">- </w:t>
            </w:r>
            <w:r w:rsidRPr="00F0486A">
              <w:rPr>
                <w:rFonts w:ascii="Verdana" w:eastAsia="Times New Roman" w:hAnsi="Verdana" w:cs="Times New Roman"/>
                <w:sz w:val="15"/>
                <w:szCs w:val="15"/>
                <w:lang w:eastAsia="es-PE"/>
              </w:rPr>
              <w:t> </w:t>
            </w:r>
            <w:hyperlink r:id="rId87" w:history="1">
              <w:r w:rsidRPr="00F0486A">
                <w:rPr>
                  <w:rFonts w:ascii="Verdana" w:eastAsia="Times New Roman" w:hAnsi="Verdana" w:cs="Times New Roman"/>
                  <w:color w:val="000080"/>
                  <w:sz w:val="15"/>
                  <w:szCs w:val="15"/>
                  <w:lang w:val="es-ES" w:eastAsia="es-PE"/>
                </w:rPr>
                <w:t xml:space="preserve">Anexo 48: Cambio de domicilio del local del agente de aduana persona jurídica, en la misma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Times New Roman" w:eastAsia="Times New Roman" w:hAnsi="Times New Roman" w:cs="Times New Roman"/>
                <w:sz w:val="24"/>
                <w:szCs w:val="24"/>
                <w:lang w:eastAsia="es-PE"/>
              </w:rPr>
            </w:pPr>
            <w:r w:rsidRPr="00F0486A">
              <w:rPr>
                <w:rFonts w:ascii="Verdana" w:eastAsia="Arial" w:hAnsi="Verdana" w:cs="Times New Roman"/>
                <w:sz w:val="15"/>
                <w:szCs w:val="15"/>
                <w:lang w:val="es-ES" w:eastAsia="es-PE"/>
              </w:rPr>
              <w:t>-  </w:t>
            </w:r>
            <w:r w:rsidRPr="00F0486A">
              <w:rPr>
                <w:rFonts w:ascii="Verdana" w:eastAsia="Times New Roman" w:hAnsi="Verdana" w:cs="Times New Roman"/>
                <w:sz w:val="15"/>
                <w:szCs w:val="15"/>
                <w:lang w:eastAsia="es-PE"/>
              </w:rPr>
              <w:t xml:space="preserve"> </w:t>
            </w:r>
            <w:hyperlink r:id="rId88" w:history="1">
              <w:r w:rsidRPr="00F0486A">
                <w:rPr>
                  <w:rFonts w:ascii="Verdana" w:eastAsia="Times New Roman" w:hAnsi="Verdana" w:cs="Times New Roman"/>
                  <w:color w:val="000080"/>
                  <w:sz w:val="15"/>
                  <w:szCs w:val="15"/>
                  <w:lang w:val="es-ES" w:eastAsia="es-PE"/>
                </w:rPr>
                <w:t xml:space="preserve">Anexo 49: Cambio de domicilio del local del transportista o su representante, o del agente de carga internacional, en la misma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xml:space="preserve">- </w:t>
            </w:r>
            <w:r w:rsidRPr="00F0486A">
              <w:rPr>
                <w:rFonts w:ascii="Verdana" w:eastAsia="Times New Roman" w:hAnsi="Verdana" w:cs="Times New Roman"/>
                <w:sz w:val="15"/>
                <w:szCs w:val="15"/>
                <w:lang w:eastAsia="es-PE"/>
              </w:rPr>
              <w:t> </w:t>
            </w:r>
            <w:hyperlink r:id="rId89" w:history="1">
              <w:r w:rsidRPr="00F0486A">
                <w:rPr>
                  <w:rFonts w:ascii="Verdana" w:eastAsia="Times New Roman" w:hAnsi="Verdana" w:cs="Times New Roman"/>
                  <w:color w:val="000080"/>
                  <w:sz w:val="15"/>
                  <w:szCs w:val="15"/>
                  <w:lang w:val="es-ES" w:eastAsia="es-PE"/>
                </w:rPr>
                <w:t xml:space="preserve">Anexo 50: Cambio de domicilio del local del almacén aduanero, en la misma circunscripción aduanera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90" w:history="1">
              <w:r w:rsidRPr="00F0486A">
                <w:rPr>
                  <w:rFonts w:ascii="Verdana" w:eastAsia="Times New Roman" w:hAnsi="Verdana" w:cs="Times New Roman"/>
                  <w:color w:val="000080"/>
                  <w:sz w:val="15"/>
                  <w:szCs w:val="15"/>
                  <w:lang w:val="es-ES" w:eastAsia="es-PE"/>
                </w:rPr>
                <w:t xml:space="preserve">Anexo 51: Cambio de denominación o razón social de la entidad religiosa, institución privada sin fines de lucro receptoras de donaciones de carácter asistencial o educacional, ENIEX, ONGD-PERÚ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91" w:history="1">
              <w:r w:rsidRPr="00F0486A">
                <w:rPr>
                  <w:rFonts w:ascii="Verdana" w:eastAsia="Times New Roman" w:hAnsi="Verdana" w:cs="Times New Roman"/>
                  <w:color w:val="000080"/>
                  <w:sz w:val="15"/>
                  <w:szCs w:val="15"/>
                  <w:lang w:val="es-ES" w:eastAsia="es-PE"/>
                </w:rPr>
                <w:t xml:space="preserve">Anexo 52: Cambio de denominación o razón social del agente de aduana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xml:space="preserve">- </w:t>
            </w:r>
            <w:hyperlink r:id="rId92" w:history="1">
              <w:r w:rsidRPr="00F0486A">
                <w:rPr>
                  <w:rFonts w:ascii="Verdana" w:eastAsia="Times New Roman" w:hAnsi="Verdana" w:cs="Times New Roman"/>
                  <w:color w:val="000080"/>
                  <w:sz w:val="15"/>
                  <w:szCs w:val="15"/>
                  <w:lang w:val="es-ES" w:eastAsia="es-PE"/>
                </w:rPr>
                <w:t xml:space="preserve">Anexo 53: Cambio de denominación o razón social del transportista o su representante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xml:space="preserve">- </w:t>
            </w:r>
            <w:hyperlink r:id="rId93" w:history="1">
              <w:r w:rsidRPr="00F0486A">
                <w:rPr>
                  <w:rFonts w:ascii="Verdana" w:eastAsia="Times New Roman" w:hAnsi="Verdana" w:cs="Times New Roman"/>
                  <w:color w:val="000080"/>
                  <w:sz w:val="15"/>
                  <w:szCs w:val="15"/>
                  <w:lang w:val="es-ES" w:eastAsia="es-PE"/>
                </w:rPr>
                <w:t xml:space="preserve">Anexo 54: Cambio de denominación o razón social del agente de carga  internacional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hyperlink r:id="rId94" w:history="1">
              <w:r w:rsidRPr="00F0486A">
                <w:rPr>
                  <w:rFonts w:ascii="Verdana" w:eastAsia="Arial" w:hAnsi="Verdana" w:cs="Times New Roman"/>
                  <w:color w:val="000080"/>
                  <w:sz w:val="15"/>
                  <w:szCs w:val="15"/>
                  <w:lang w:val="es-ES" w:eastAsia="es-PE"/>
                </w:rPr>
                <w:t>-</w:t>
              </w:r>
            </w:hyperlink>
            <w:r w:rsidRPr="00F0486A">
              <w:rPr>
                <w:rFonts w:ascii="Verdana" w:eastAsia="Times New Roman" w:hAnsi="Verdana" w:cs="Times New Roman"/>
                <w:sz w:val="15"/>
                <w:szCs w:val="15"/>
                <w:lang w:eastAsia="es-PE"/>
              </w:rPr>
              <w:t xml:space="preserve">   </w:t>
            </w:r>
            <w:hyperlink r:id="rId95" w:history="1">
              <w:r w:rsidRPr="00F0486A">
                <w:rPr>
                  <w:rFonts w:ascii="Verdana" w:eastAsia="Times New Roman" w:hAnsi="Verdana" w:cs="Times New Roman"/>
                  <w:color w:val="000080"/>
                  <w:sz w:val="15"/>
                  <w:szCs w:val="15"/>
                  <w:lang w:val="es-ES" w:eastAsia="es-PE"/>
                </w:rPr>
                <w:t xml:space="preserve">Anexo 55: Cambio de denominación o razón social del almacén aduanero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 </w:t>
            </w:r>
            <w:hyperlink r:id="rId96" w:history="1">
              <w:r w:rsidRPr="00F0486A">
                <w:rPr>
                  <w:rFonts w:ascii="Verdana" w:eastAsia="Arial" w:hAnsi="Verdana" w:cs="Times New Roman"/>
                  <w:color w:val="000080"/>
                  <w:sz w:val="15"/>
                  <w:szCs w:val="15"/>
                  <w:lang w:val="es-ES" w:eastAsia="es-PE"/>
                </w:rPr>
                <w:t>-</w:t>
              </w:r>
            </w:hyperlink>
            <w:r w:rsidRPr="00F0486A">
              <w:rPr>
                <w:rFonts w:ascii="Verdana" w:eastAsia="Times New Roman" w:hAnsi="Verdana" w:cs="Times New Roman"/>
                <w:sz w:val="15"/>
                <w:szCs w:val="15"/>
                <w:lang w:eastAsia="es-PE"/>
              </w:rPr>
              <w:t xml:space="preserve">   </w:t>
            </w:r>
            <w:hyperlink r:id="rId97" w:history="1">
              <w:r w:rsidRPr="00F0486A">
                <w:rPr>
                  <w:rFonts w:ascii="Verdana" w:eastAsia="Times New Roman" w:hAnsi="Verdana" w:cs="Times New Roman"/>
                  <w:color w:val="000080"/>
                  <w:sz w:val="15"/>
                  <w:szCs w:val="15"/>
                  <w:lang w:val="es-ES" w:eastAsia="es-PE"/>
                </w:rPr>
                <w:t xml:space="preserve">Anexo 56: Renovación de la autorización del transportista o de su representante, y del agente de carga internacional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hyperlink r:id="rId98" w:history="1">
              <w:r w:rsidRPr="00F0486A">
                <w:rPr>
                  <w:rFonts w:ascii="Verdana" w:eastAsia="Arial" w:hAnsi="Verdana" w:cs="Times New Roman"/>
                  <w:color w:val="000080"/>
                  <w:sz w:val="15"/>
                  <w:szCs w:val="15"/>
                  <w:lang w:val="es-ES" w:eastAsia="es-PE"/>
                </w:rPr>
                <w:t> </w:t>
              </w:r>
            </w:hyperlink>
            <w:r w:rsidRPr="00F0486A">
              <w:rPr>
                <w:rFonts w:ascii="Verdana" w:eastAsia="Times New Roman" w:hAnsi="Verdana" w:cs="Times New Roman"/>
                <w:sz w:val="15"/>
                <w:szCs w:val="15"/>
                <w:lang w:eastAsia="es-PE"/>
              </w:rPr>
              <w:t xml:space="preserve">   </w:t>
            </w:r>
            <w:hyperlink r:id="rId99" w:history="1">
              <w:r w:rsidRPr="00F0486A">
                <w:rPr>
                  <w:rFonts w:ascii="Verdana" w:eastAsia="Times New Roman" w:hAnsi="Verdana" w:cs="Times New Roman"/>
                  <w:color w:val="000080"/>
                  <w:sz w:val="15"/>
                  <w:szCs w:val="15"/>
                  <w:lang w:val="es-ES" w:eastAsia="es-PE"/>
                </w:rPr>
                <w:t xml:space="preserve">Anexo 57: Renovación de la autorización del almacén libre (Duty Free)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100" w:history="1">
              <w:r w:rsidRPr="00F0486A">
                <w:rPr>
                  <w:rFonts w:ascii="Verdana" w:eastAsia="Times New Roman" w:hAnsi="Verdana" w:cs="Times New Roman"/>
                  <w:color w:val="000080"/>
                  <w:sz w:val="15"/>
                  <w:szCs w:val="15"/>
                  <w:lang w:val="es-ES" w:eastAsia="es-PE"/>
                </w:rPr>
                <w:t xml:space="preserve">Anexo 58: Renovación de la autorización del beneficiario de material de uso aeronáutico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101" w:history="1">
              <w:r w:rsidRPr="00F0486A">
                <w:rPr>
                  <w:rFonts w:ascii="Verdana" w:eastAsia="Times New Roman" w:hAnsi="Verdana" w:cs="Times New Roman"/>
                  <w:color w:val="000080"/>
                  <w:sz w:val="15"/>
                  <w:szCs w:val="15"/>
                  <w:lang w:val="es-ES" w:eastAsia="es-PE"/>
                </w:rPr>
                <w:t xml:space="preserve">Anexo 59: Revocación de la autorización otorgada al operador por la Administración </w:t>
              </w:r>
            </w:hyperlink>
          </w:p>
          <w:p w:rsidR="00F0486A" w:rsidRPr="00F0486A" w:rsidRDefault="00F0486A" w:rsidP="00F0486A">
            <w:pPr>
              <w:spacing w:before="100" w:beforeAutospacing="1" w:after="100" w:afterAutospacing="1" w:line="240" w:lineRule="auto"/>
              <w:ind w:left="360" w:hanging="360"/>
              <w:jc w:val="both"/>
              <w:outlineLvl w:val="2"/>
              <w:rPr>
                <w:rFonts w:ascii="Verdana" w:eastAsia="Times New Roman" w:hAnsi="Verdana" w:cs="Times New Roman"/>
                <w:color w:val="000080"/>
                <w:sz w:val="15"/>
                <w:szCs w:val="15"/>
                <w:lang w:val="es-ES" w:eastAsia="es-PE"/>
              </w:rPr>
            </w:pPr>
            <w:r w:rsidRPr="00F0486A">
              <w:rPr>
                <w:rFonts w:ascii="Verdana" w:eastAsia="Arial" w:hAnsi="Verdana" w:cs="Times New Roman"/>
                <w:sz w:val="15"/>
                <w:szCs w:val="15"/>
                <w:lang w:val="es-ES" w:eastAsia="es-PE"/>
              </w:rPr>
              <w:t>-</w:t>
            </w:r>
            <w:r w:rsidRPr="00F0486A">
              <w:rPr>
                <w:rFonts w:ascii="Verdana" w:eastAsia="Times New Roman" w:hAnsi="Verdana" w:cs="Times New Roman"/>
                <w:sz w:val="15"/>
                <w:szCs w:val="15"/>
                <w:lang w:eastAsia="es-PE"/>
              </w:rPr>
              <w:t xml:space="preserve">    </w:t>
            </w:r>
            <w:hyperlink r:id="rId102" w:history="1">
              <w:r w:rsidRPr="00F0486A">
                <w:rPr>
                  <w:rFonts w:ascii="Verdana" w:eastAsia="Times New Roman" w:hAnsi="Verdana" w:cs="Times New Roman"/>
                  <w:color w:val="000080"/>
                  <w:sz w:val="15"/>
                  <w:szCs w:val="15"/>
                  <w:lang w:val="es-ES" w:eastAsia="es-PE"/>
                </w:rPr>
                <w:t xml:space="preserve">Anexo 60: Autorización excepcional al agente de aduana, dueño, consignatario o consignante, transportista o su representante, y agente de carga internacional, para operar en circunscripción aduanera donde no cuentan con un local </w:t>
              </w:r>
            </w:hyperlink>
            <w:hyperlink r:id="rId103" w:history="1">
              <w:r w:rsidRPr="00F0486A">
                <w:rPr>
                  <w:rFonts w:ascii="Verdana" w:eastAsia="Times New Roman" w:hAnsi="Verdana" w:cs="Times New Roman"/>
                  <w:color w:val="000080"/>
                  <w:sz w:val="15"/>
                  <w:szCs w:val="15"/>
                  <w:lang w:eastAsia="es-PE"/>
                </w:rPr>
                <w:t>(RIN Nº042-2016-SUNAT/5F0000-23.11.2016)</w:t>
              </w:r>
            </w:hyperlink>
          </w:p>
          <w:p w:rsidR="00F0486A" w:rsidRPr="00F0486A" w:rsidRDefault="00F0486A" w:rsidP="00F0486A">
            <w:pPr>
              <w:spacing w:before="100" w:beforeAutospacing="1" w:after="100" w:afterAutospacing="1" w:line="240" w:lineRule="auto"/>
              <w:ind w:left="360" w:hanging="360"/>
              <w:jc w:val="both"/>
              <w:outlineLvl w:val="2"/>
              <w:rPr>
                <w:rFonts w:ascii="Times New Roman" w:eastAsia="Times New Roman" w:hAnsi="Times New Roman" w:cs="Times New Roman"/>
                <w:sz w:val="24"/>
                <w:szCs w:val="24"/>
                <w:lang w:eastAsia="es-PE"/>
              </w:rPr>
            </w:pPr>
            <w:hyperlink r:id="rId104" w:history="1">
              <w:r w:rsidRPr="00F0486A">
                <w:rPr>
                  <w:rFonts w:ascii="Verdana" w:eastAsia="Arial" w:hAnsi="Verdana" w:cs="Times New Roman"/>
                  <w:color w:val="000080"/>
                  <w:sz w:val="15"/>
                  <w:szCs w:val="15"/>
                  <w:lang w:eastAsia="es-PE"/>
                </w:rPr>
                <w:t>-</w:t>
              </w:r>
            </w:hyperlink>
            <w:r w:rsidRPr="00F0486A">
              <w:rPr>
                <w:rFonts w:ascii="Verdana" w:eastAsia="Times New Roman" w:hAnsi="Verdana" w:cs="Times New Roman"/>
                <w:sz w:val="15"/>
                <w:szCs w:val="15"/>
                <w:lang w:eastAsia="es-PE"/>
              </w:rPr>
              <w:t xml:space="preserve">   </w:t>
            </w:r>
            <w:hyperlink r:id="rId105" w:history="1">
              <w:r w:rsidRPr="00F0486A">
                <w:rPr>
                  <w:rFonts w:ascii="Verdana" w:eastAsia="Times New Roman" w:hAnsi="Verdana" w:cs="Times New Roman"/>
                  <w:color w:val="000080"/>
                  <w:sz w:val="15"/>
                  <w:szCs w:val="15"/>
                  <w:lang w:val="es-ES" w:eastAsia="es-PE"/>
                </w:rPr>
                <w:t>Anexo 61: M</w:t>
              </w:r>
              <w:r w:rsidRPr="00F0486A">
                <w:rPr>
                  <w:rFonts w:ascii="Verdana" w:eastAsia="Times New Roman" w:hAnsi="Verdana" w:cs="Times New Roman"/>
                  <w:color w:val="000080"/>
                  <w:sz w:val="15"/>
                  <w:szCs w:val="15"/>
                  <w:lang w:eastAsia="es-PE"/>
                </w:rPr>
                <w:t>ercancías en situación de abandono legal</w:t>
              </w:r>
            </w:hyperlink>
            <w:r w:rsidRPr="00F0486A">
              <w:rPr>
                <w:rFonts w:ascii="Verdana" w:eastAsia="Times New Roman" w:hAnsi="Verdana" w:cs="Times New Roman"/>
                <w:sz w:val="15"/>
                <w:szCs w:val="15"/>
                <w:lang w:eastAsia="es-PE"/>
              </w:rPr>
              <w:t xml:space="preserve"> </w:t>
            </w:r>
          </w:p>
          <w:p w:rsidR="00F0486A" w:rsidRPr="00F0486A" w:rsidRDefault="00F0486A" w:rsidP="00F0486A">
            <w:pPr>
              <w:pBdr>
                <w:top w:val="single" w:sz="6" w:space="1" w:color="auto"/>
              </w:pBdr>
              <w:spacing w:after="0" w:line="240" w:lineRule="auto"/>
              <w:jc w:val="center"/>
              <w:rPr>
                <w:rFonts w:ascii="Arial" w:eastAsia="Times New Roman" w:hAnsi="Arial" w:cs="Arial"/>
                <w:vanish/>
                <w:sz w:val="16"/>
                <w:szCs w:val="16"/>
                <w:lang w:eastAsia="es-PE"/>
              </w:rPr>
            </w:pPr>
            <w:r w:rsidRPr="00F0486A">
              <w:rPr>
                <w:rFonts w:ascii="Arial" w:eastAsia="Times New Roman" w:hAnsi="Arial" w:cs="Arial"/>
                <w:vanish/>
                <w:sz w:val="16"/>
                <w:szCs w:val="16"/>
                <w:lang w:eastAsia="es-PE"/>
              </w:rPr>
              <w:t>Final del formulario</w:t>
            </w:r>
          </w:p>
          <w:p w:rsidR="00F0486A" w:rsidRPr="00F0486A" w:rsidRDefault="00F0486A" w:rsidP="00F0486A">
            <w:pPr>
              <w:spacing w:before="100" w:beforeAutospacing="1" w:after="100" w:afterAutospacing="1" w:line="240" w:lineRule="auto"/>
              <w:rPr>
                <w:rFonts w:ascii="Verdana" w:eastAsia="Times New Roman" w:hAnsi="Verdana" w:cs="Times New Roman"/>
                <w:sz w:val="15"/>
                <w:szCs w:val="15"/>
                <w:lang w:eastAsia="es-PE"/>
              </w:rPr>
            </w:pPr>
            <w:r w:rsidRPr="00F0486A">
              <w:rPr>
                <w:rFonts w:ascii="Verdana" w:eastAsia="Times New Roman" w:hAnsi="Verdana" w:cs="Times New Roman"/>
                <w:sz w:val="15"/>
                <w:szCs w:val="15"/>
                <w:lang w:eastAsia="es-PE"/>
              </w:rPr>
              <w:t> </w:t>
            </w:r>
          </w:p>
        </w:tc>
      </w:tr>
      <w:tr w:rsidR="00F0486A" w:rsidRPr="00F0486A" w:rsidTr="00F0486A">
        <w:trPr>
          <w:tblCellSpacing w:w="0" w:type="dxa"/>
          <w:jc w:val="center"/>
        </w:trPr>
        <w:tc>
          <w:tcPr>
            <w:tcW w:w="0" w:type="auto"/>
            <w:vAlign w:val="center"/>
            <w:hideMark/>
          </w:tcPr>
          <w:p w:rsidR="00F0486A" w:rsidRPr="00F0486A" w:rsidRDefault="00F0486A" w:rsidP="00F0486A">
            <w:pPr>
              <w:spacing w:after="0" w:line="240" w:lineRule="auto"/>
              <w:rPr>
                <w:rFonts w:ascii="Verdana" w:eastAsia="Times New Roman" w:hAnsi="Verdana" w:cs="Times New Roman"/>
                <w:sz w:val="15"/>
                <w:szCs w:val="15"/>
                <w:lang w:eastAsia="es-PE"/>
              </w:rPr>
            </w:pPr>
          </w:p>
        </w:tc>
      </w:tr>
    </w:tbl>
    <w:p w:rsidR="00F0486A" w:rsidRDefault="00F0486A"/>
    <w:sectPr w:rsidR="00F0486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E23" w:rsidRDefault="00546E23" w:rsidP="00F0486A">
      <w:pPr>
        <w:spacing w:after="0" w:line="240" w:lineRule="auto"/>
      </w:pPr>
      <w:r>
        <w:separator/>
      </w:r>
    </w:p>
  </w:endnote>
  <w:endnote w:type="continuationSeparator" w:id="0">
    <w:p w:rsidR="00546E23" w:rsidRDefault="00546E23" w:rsidP="00F0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E23" w:rsidRDefault="00546E23" w:rsidP="00F0486A">
      <w:pPr>
        <w:spacing w:after="0" w:line="240" w:lineRule="auto"/>
      </w:pPr>
      <w:r>
        <w:separator/>
      </w:r>
    </w:p>
  </w:footnote>
  <w:footnote w:type="continuationSeparator" w:id="0">
    <w:p w:rsidR="00546E23" w:rsidRDefault="00546E23" w:rsidP="00F04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86A"/>
    <w:rsid w:val="00546E23"/>
    <w:rsid w:val="00656F16"/>
    <w:rsid w:val="00CC2DE6"/>
    <w:rsid w:val="00F048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8EE0A"/>
  <w15:chartTrackingRefBased/>
  <w15:docId w15:val="{C3CD011D-90A2-4597-B901-C27AAAC3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0486A"/>
    <w:rPr>
      <w:rFonts w:ascii="Verdana" w:hAnsi="Verdana" w:hint="default"/>
      <w:b w:val="0"/>
      <w:bCs w:val="0"/>
      <w:strike w:val="0"/>
      <w:dstrike w:val="0"/>
      <w:color w:val="000080"/>
      <w:sz w:val="15"/>
      <w:szCs w:val="15"/>
      <w:u w:val="none"/>
      <w:effect w:val="none"/>
    </w:rPr>
  </w:style>
  <w:style w:type="paragraph" w:customStyle="1" w:styleId="auto-style2">
    <w:name w:val="auto-style2"/>
    <w:basedOn w:val="Normal"/>
    <w:rsid w:val="00F0486A"/>
    <w:pPr>
      <w:spacing w:before="100" w:beforeAutospacing="1" w:after="100" w:afterAutospacing="1" w:line="240" w:lineRule="auto"/>
      <w:ind w:left="220"/>
    </w:pPr>
    <w:rPr>
      <w:rFonts w:ascii="Times New Roman" w:eastAsia="Times New Roman" w:hAnsi="Times New Roman" w:cs="Times New Roman"/>
      <w:sz w:val="24"/>
      <w:szCs w:val="24"/>
      <w:lang w:eastAsia="es-PE"/>
    </w:rPr>
  </w:style>
  <w:style w:type="paragraph" w:customStyle="1" w:styleId="auto-style3">
    <w:name w:val="auto-style3"/>
    <w:basedOn w:val="Normal"/>
    <w:rsid w:val="00F0486A"/>
    <w:pPr>
      <w:spacing w:before="100" w:beforeAutospacing="1" w:after="100" w:afterAutospacing="1" w:line="240" w:lineRule="auto"/>
      <w:ind w:left="300"/>
    </w:pPr>
    <w:rPr>
      <w:rFonts w:ascii="Times New Roman" w:eastAsia="Times New Roman" w:hAnsi="Times New Roman" w:cs="Times New Roman"/>
      <w:sz w:val="24"/>
      <w:szCs w:val="24"/>
      <w:lang w:eastAsia="es-PE"/>
    </w:rPr>
  </w:style>
  <w:style w:type="paragraph" w:customStyle="1" w:styleId="auto-style10">
    <w:name w:val="auto-style10"/>
    <w:basedOn w:val="Normal"/>
    <w:rsid w:val="00F0486A"/>
    <w:pPr>
      <w:spacing w:before="100" w:beforeAutospacing="1" w:after="100" w:afterAutospacing="1" w:line="240" w:lineRule="auto"/>
      <w:ind w:left="330"/>
    </w:pPr>
    <w:rPr>
      <w:rFonts w:ascii="Times New Roman" w:eastAsia="Times New Roman" w:hAnsi="Times New Roman" w:cs="Times New Roman"/>
      <w:sz w:val="24"/>
      <w:szCs w:val="24"/>
      <w:lang w:eastAsia="es-PE"/>
    </w:rPr>
  </w:style>
  <w:style w:type="paragraph" w:customStyle="1" w:styleId="auto-style11">
    <w:name w:val="auto-style11"/>
    <w:basedOn w:val="Normal"/>
    <w:rsid w:val="00F0486A"/>
    <w:pPr>
      <w:spacing w:before="100" w:beforeAutospacing="1" w:after="100" w:afterAutospacing="1" w:line="240" w:lineRule="auto"/>
      <w:ind w:left="397"/>
    </w:pPr>
    <w:rPr>
      <w:rFonts w:ascii="Times New Roman" w:eastAsia="Times New Roman" w:hAnsi="Times New Roman" w:cs="Times New Roman"/>
      <w:sz w:val="24"/>
      <w:szCs w:val="24"/>
      <w:lang w:eastAsia="es-PE"/>
    </w:rPr>
  </w:style>
  <w:style w:type="paragraph" w:customStyle="1" w:styleId="auto-style13">
    <w:name w:val="auto-style13"/>
    <w:basedOn w:val="Normal"/>
    <w:rsid w:val="00F0486A"/>
    <w:pPr>
      <w:spacing w:before="100" w:beforeAutospacing="1" w:after="100" w:afterAutospacing="1" w:line="240" w:lineRule="auto"/>
      <w:ind w:left="60"/>
    </w:pPr>
    <w:rPr>
      <w:rFonts w:ascii="Times New Roman" w:eastAsia="Times New Roman" w:hAnsi="Times New Roman" w:cs="Times New Roman"/>
      <w:sz w:val="24"/>
      <w:szCs w:val="24"/>
      <w:lang w:eastAsia="es-PE"/>
    </w:rPr>
  </w:style>
  <w:style w:type="paragraph" w:customStyle="1" w:styleId="auto-style14">
    <w:name w:val="auto-style14"/>
    <w:basedOn w:val="Normal"/>
    <w:rsid w:val="00F0486A"/>
    <w:pPr>
      <w:spacing w:before="100" w:beforeAutospacing="1" w:after="100" w:afterAutospacing="1" w:line="240" w:lineRule="auto"/>
      <w:ind w:left="80"/>
    </w:pPr>
    <w:rPr>
      <w:rFonts w:ascii="Times New Roman" w:eastAsia="Times New Roman" w:hAnsi="Times New Roman" w:cs="Times New Roman"/>
      <w:sz w:val="24"/>
      <w:szCs w:val="24"/>
      <w:lang w:eastAsia="es-PE"/>
    </w:rPr>
  </w:style>
  <w:style w:type="paragraph" w:customStyle="1" w:styleId="auto-style15">
    <w:name w:val="auto-style15"/>
    <w:basedOn w:val="Normal"/>
    <w:rsid w:val="00F0486A"/>
    <w:pPr>
      <w:spacing w:before="100" w:beforeAutospacing="1" w:after="100" w:afterAutospacing="1" w:line="240" w:lineRule="auto"/>
      <w:ind w:left="100"/>
    </w:pPr>
    <w:rPr>
      <w:rFonts w:ascii="Times New Roman" w:eastAsia="Times New Roman" w:hAnsi="Times New Roman" w:cs="Times New Roman"/>
      <w:sz w:val="24"/>
      <w:szCs w:val="24"/>
      <w:lang w:eastAsia="es-PE"/>
    </w:rPr>
  </w:style>
  <w:style w:type="paragraph" w:customStyle="1" w:styleId="auto-style16">
    <w:name w:val="auto-style16"/>
    <w:basedOn w:val="Normal"/>
    <w:rsid w:val="00F0486A"/>
    <w:pPr>
      <w:spacing w:before="100" w:beforeAutospacing="1" w:after="100" w:afterAutospacing="1" w:line="240" w:lineRule="auto"/>
      <w:ind w:left="120"/>
    </w:pPr>
    <w:rPr>
      <w:rFonts w:ascii="Times New Roman" w:eastAsia="Times New Roman" w:hAnsi="Times New Roman" w:cs="Times New Roman"/>
      <w:sz w:val="24"/>
      <w:szCs w:val="24"/>
      <w:lang w:eastAsia="es-PE"/>
    </w:rPr>
  </w:style>
  <w:style w:type="paragraph" w:customStyle="1" w:styleId="auto-style17">
    <w:name w:val="auto-style17"/>
    <w:basedOn w:val="Normal"/>
    <w:rsid w:val="00F0486A"/>
    <w:pPr>
      <w:spacing w:before="100" w:beforeAutospacing="1" w:after="100" w:afterAutospacing="1" w:line="240" w:lineRule="auto"/>
      <w:ind w:left="140"/>
    </w:pPr>
    <w:rPr>
      <w:rFonts w:ascii="Times New Roman" w:eastAsia="Times New Roman" w:hAnsi="Times New Roman" w:cs="Times New Roman"/>
      <w:sz w:val="24"/>
      <w:szCs w:val="24"/>
      <w:lang w:eastAsia="es-PE"/>
    </w:rPr>
  </w:style>
  <w:style w:type="paragraph" w:customStyle="1" w:styleId="auto-style18">
    <w:name w:val="auto-style18"/>
    <w:basedOn w:val="Normal"/>
    <w:rsid w:val="00F0486A"/>
    <w:pPr>
      <w:spacing w:before="100" w:beforeAutospacing="1" w:after="100" w:afterAutospacing="1" w:line="240" w:lineRule="auto"/>
      <w:ind w:left="160"/>
    </w:pPr>
    <w:rPr>
      <w:rFonts w:ascii="Times New Roman" w:eastAsia="Times New Roman" w:hAnsi="Times New Roman" w:cs="Times New Roman"/>
      <w:sz w:val="24"/>
      <w:szCs w:val="24"/>
      <w:lang w:eastAsia="es-PE"/>
    </w:rPr>
  </w:style>
  <w:style w:type="paragraph" w:customStyle="1" w:styleId="auto-style19">
    <w:name w:val="auto-style19"/>
    <w:basedOn w:val="Normal"/>
    <w:rsid w:val="00F0486A"/>
    <w:pPr>
      <w:spacing w:before="100" w:beforeAutospacing="1" w:after="100" w:afterAutospacing="1" w:line="240" w:lineRule="auto"/>
      <w:ind w:left="240"/>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F0486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F0486A"/>
    <w:rPr>
      <w:b/>
      <w:bCs/>
    </w:rPr>
  </w:style>
  <w:style w:type="paragraph" w:styleId="z-Principiodelformulario">
    <w:name w:val="HTML Top of Form"/>
    <w:basedOn w:val="Normal"/>
    <w:next w:val="Normal"/>
    <w:link w:val="z-PrincipiodelformularioCar"/>
    <w:hidden/>
    <w:uiPriority w:val="99"/>
    <w:semiHidden/>
    <w:unhideWhenUsed/>
    <w:rsid w:val="00F0486A"/>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F0486A"/>
    <w:rPr>
      <w:rFonts w:ascii="Arial" w:eastAsia="Times New Roman" w:hAnsi="Arial" w:cs="Arial"/>
      <w:vanish/>
      <w:sz w:val="16"/>
      <w:szCs w:val="16"/>
      <w:lang w:eastAsia="es-PE"/>
    </w:rPr>
  </w:style>
  <w:style w:type="paragraph" w:styleId="Prrafodelista">
    <w:name w:val="List Paragraph"/>
    <w:basedOn w:val="Normal"/>
    <w:uiPriority w:val="34"/>
    <w:qFormat/>
    <w:rsid w:val="00F0486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style11">
    <w:name w:val="style11"/>
    <w:basedOn w:val="Fuentedeprrafopredeter"/>
    <w:rsid w:val="00F0486A"/>
    <w:rPr>
      <w:u w:val="single"/>
    </w:rPr>
  </w:style>
  <w:style w:type="character" w:styleId="nfasis">
    <w:name w:val="Emphasis"/>
    <w:basedOn w:val="Fuentedeprrafopredeter"/>
    <w:uiPriority w:val="20"/>
    <w:qFormat/>
    <w:rsid w:val="00F0486A"/>
    <w:rPr>
      <w:i/>
      <w:iCs/>
    </w:rPr>
  </w:style>
  <w:style w:type="character" w:customStyle="1" w:styleId="auto-style110">
    <w:name w:val="auto-style110"/>
    <w:basedOn w:val="Fuentedeprrafopredeter"/>
    <w:rsid w:val="00F0486A"/>
    <w:rPr>
      <w:sz w:val="15"/>
      <w:szCs w:val="15"/>
    </w:rPr>
  </w:style>
  <w:style w:type="paragraph" w:styleId="z-Finaldelformulario">
    <w:name w:val="HTML Bottom of Form"/>
    <w:basedOn w:val="Normal"/>
    <w:next w:val="Normal"/>
    <w:link w:val="z-FinaldelformularioCar"/>
    <w:hidden/>
    <w:uiPriority w:val="99"/>
    <w:semiHidden/>
    <w:unhideWhenUsed/>
    <w:rsid w:val="00F0486A"/>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F0486A"/>
    <w:rPr>
      <w:rFonts w:ascii="Arial" w:eastAsia="Times New Roman" w:hAnsi="Arial" w:cs="Arial"/>
      <w:vanish/>
      <w:sz w:val="16"/>
      <w:szCs w:val="16"/>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063559">
      <w:bodyDiv w:val="1"/>
      <w:marLeft w:val="0"/>
      <w:marRight w:val="0"/>
      <w:marTop w:val="0"/>
      <w:marBottom w:val="0"/>
      <w:divBdr>
        <w:top w:val="none" w:sz="0" w:space="0" w:color="auto"/>
        <w:left w:val="none" w:sz="0" w:space="0" w:color="auto"/>
        <w:bottom w:val="none" w:sz="0" w:space="0" w:color="auto"/>
        <w:right w:val="none" w:sz="0" w:space="0" w:color="auto"/>
      </w:divBdr>
      <w:divsChild>
        <w:div w:id="1656907377">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16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13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67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783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01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170456">
          <w:blockQuote w:val="1"/>
          <w:marLeft w:val="720"/>
          <w:marRight w:val="720"/>
          <w:marTop w:val="100"/>
          <w:marBottom w:val="100"/>
          <w:divBdr>
            <w:top w:val="none" w:sz="0" w:space="0" w:color="auto"/>
            <w:left w:val="none" w:sz="0" w:space="0" w:color="auto"/>
            <w:bottom w:val="none" w:sz="0" w:space="0" w:color="auto"/>
            <w:right w:val="none" w:sz="0" w:space="0" w:color="auto"/>
          </w:divBdr>
        </w:div>
        <w:div w:id="721371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25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7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613246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6873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536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5688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271607">
          <w:blockQuote w:val="1"/>
          <w:marLeft w:val="720"/>
          <w:marRight w:val="720"/>
          <w:marTop w:val="100"/>
          <w:marBottom w:val="100"/>
          <w:divBdr>
            <w:top w:val="none" w:sz="0" w:space="0" w:color="auto"/>
            <w:left w:val="none" w:sz="0" w:space="0" w:color="auto"/>
            <w:bottom w:val="none" w:sz="0" w:space="0" w:color="auto"/>
            <w:right w:val="none" w:sz="0" w:space="0" w:color="auto"/>
          </w:divBdr>
        </w:div>
        <w:div w:id="5805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125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66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3520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498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079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541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48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4683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8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unat.gob.pe/legislacion/procedim/despacho/operadores/procGeneral/ctrlCambios/anexos/RIN_10-2016/anexo9.doc" TargetMode="External"/><Relationship Id="rId21" Type="http://schemas.openxmlformats.org/officeDocument/2006/relationships/hyperlink" Target="http://www.sunat.gob.pe/legislacion/procedim/despacho/operadores/procGeneral/ctrlCambios/anexos/RIN_10-2016/anexo4.doc" TargetMode="External"/><Relationship Id="rId42" Type="http://schemas.openxmlformats.org/officeDocument/2006/relationships/hyperlink" Target="http://www.sunat.gob.pe/legislacion/procedim/despacho/operadores/procGeneral/ctrlCambios/anexos/RIN_10-2016/anexo20.doc" TargetMode="External"/><Relationship Id="rId47" Type="http://schemas.openxmlformats.org/officeDocument/2006/relationships/hyperlink" Target="http://www.sunat.gob.pe/legislacion/procedim/despacho/operadores/procGeneral/ctrlCambios/anexos/RIN_10-2016/anexo23.doc" TargetMode="External"/><Relationship Id="rId63" Type="http://schemas.openxmlformats.org/officeDocument/2006/relationships/hyperlink" Target="http://www.sunat.gob.pe/legislacion/procedim/despacho/operadores/procGeneral/ctrlCambios/anexos/RIN_10-2016/anexo32.doc" TargetMode="External"/><Relationship Id="rId68" Type="http://schemas.openxmlformats.org/officeDocument/2006/relationships/hyperlink" Target="http://www.sunat.gob.pe/legislacion/procedim/despacho/operadores/procGeneral/ctrlCambios/anexos/RIN_10-2016/anexo36.doc" TargetMode="External"/><Relationship Id="rId84" Type="http://schemas.openxmlformats.org/officeDocument/2006/relationships/hyperlink" Target="http://www.sunat.gob.pe/legislacion/procedim/despacho/operadores/procGeneral/ctrlCambios-Despa-PG.24/cambios/cc-pg.24-05-04.02.2018.htm" TargetMode="External"/><Relationship Id="rId89" Type="http://schemas.openxmlformats.org/officeDocument/2006/relationships/hyperlink" Target="http://www.sunat.gob.pe/legislacion/procedim/despacho/operadores/procGeneral/ctrlCambios/anexos/RIN_10-2016/anexo50.doc" TargetMode="External"/><Relationship Id="rId7" Type="http://schemas.openxmlformats.org/officeDocument/2006/relationships/hyperlink" Target="http://www.sunat.gob.pe/legislacion/procedim/despacho/operadores/procEspecif/index.htm" TargetMode="External"/><Relationship Id="rId71" Type="http://schemas.openxmlformats.org/officeDocument/2006/relationships/hyperlink" Target="http://www.sunat.gob.pe/legislacion/procedim/despacho/operadores/procGeneral/ctrlCambios/anexos/RIN_10-2016/anexo39.doc" TargetMode="External"/><Relationship Id="rId92" Type="http://schemas.openxmlformats.org/officeDocument/2006/relationships/hyperlink" Target="http://www.sunat.gob.pe/legislacion/procedim/despacho/operadores/procGeneral/ctrlCambios/anexos/RIN_10-2016/anexo53.doc" TargetMode="External"/><Relationship Id="rId2" Type="http://schemas.openxmlformats.org/officeDocument/2006/relationships/settings" Target="settings.xml"/><Relationship Id="rId16" Type="http://schemas.openxmlformats.org/officeDocument/2006/relationships/hyperlink" Target="http://www.sunat.gob.pe/legislacion/procedim/despacho/operadores/procGeneral/ctrlCambios/cambios/cc-pg.24-42-22.11.2016.htm" TargetMode="External"/><Relationship Id="rId29" Type="http://schemas.openxmlformats.org/officeDocument/2006/relationships/hyperlink" Target="http://www.sunat.gob.pe/legislacion/procedim/despacho/operadores/procGeneral/ctrlCambios/anexos/RIN_10-2016/anexo12.doc" TargetMode="External"/><Relationship Id="rId107" Type="http://schemas.openxmlformats.org/officeDocument/2006/relationships/theme" Target="theme/theme1.xml"/><Relationship Id="rId11" Type="http://schemas.openxmlformats.org/officeDocument/2006/relationships/hyperlink" Target="http://www.sunat.gob.pe/legislacion/procedim/despacho/operadores/procGeneral/circulares_Despa-pg.24.htm" TargetMode="External"/><Relationship Id="rId24" Type="http://schemas.openxmlformats.org/officeDocument/2006/relationships/hyperlink" Target="http://www.sunat.gob.pe/legislacion/procedim/despacho/operadores/procGeneral/ctrlCambios/anexos/RIN_10-2016/anexo7.doc" TargetMode="External"/><Relationship Id="rId32" Type="http://schemas.openxmlformats.org/officeDocument/2006/relationships/hyperlink" Target="http://www.sunat.gob.pe/legislacion/procedim/despacho/operadores/procGeneral/ctrlCambios-Despa-PG.24/anexos/Anexo14_DESPA-PG.24_RIN-05-2018.doc" TargetMode="External"/><Relationship Id="rId37" Type="http://schemas.openxmlformats.org/officeDocument/2006/relationships/hyperlink" Target="http://www.sunat.gob.pe/legislacion/procedim/despacho/operadores/procGeneral/ctrlCambios/anexos/RIN_10-2016/anexo18.doc" TargetMode="External"/><Relationship Id="rId40" Type="http://schemas.openxmlformats.org/officeDocument/2006/relationships/hyperlink" Target="http://www.sunat.gob.pe/legislacion/procedim/despacho/operadores/procGeneral/ctrlCambios/anexos/RIN_10-2016/anexo19.doc" TargetMode="External"/><Relationship Id="rId45" Type="http://schemas.openxmlformats.org/officeDocument/2006/relationships/hyperlink" Target="http://www.sunat.gob.pe/legislacion/procedim/despacho/operadores/procGeneral/ctrlCambios/anexos/RIN_10-2016/anexo22.doc" TargetMode="External"/><Relationship Id="rId53" Type="http://schemas.openxmlformats.org/officeDocument/2006/relationships/hyperlink" Target="http://www.sunat.gob.pe/legislacion/procedim/despacho/operadores/procGeneral/ctrlCambios/anexos/RIN_10-2016/anexo26.doc" TargetMode="External"/><Relationship Id="rId58" Type="http://schemas.openxmlformats.org/officeDocument/2006/relationships/hyperlink" Target="http://www.sunat.gob.pe/legislacion/procedim/despacho/operadores/procGeneral/ctrlCambios/anexos/RIN_10-2016/anexo29.doc" TargetMode="External"/><Relationship Id="rId66" Type="http://schemas.openxmlformats.org/officeDocument/2006/relationships/hyperlink" Target="http://www.sunat.gob.pe/legislacion/procedim/despacho/operadores/procGeneral/ctrlCambios/anexos/RIN_10-2016/anexo34.doc" TargetMode="External"/><Relationship Id="rId74" Type="http://schemas.openxmlformats.org/officeDocument/2006/relationships/hyperlink" Target="http://www.sunat.gob.pe/legislacion/procedim/despacho/operadores/procGeneral/ctrlCambios/anexos/RIN_10-2016/anexo40.doc" TargetMode="External"/><Relationship Id="rId79" Type="http://schemas.openxmlformats.org/officeDocument/2006/relationships/hyperlink" Target="http://www.sunat.gob.pe/legislacion/procedim/despacho/operadores/procGeneral/ctrlCambios/anexos/RIN_10-2016/anexo43.doc" TargetMode="External"/><Relationship Id="rId87" Type="http://schemas.openxmlformats.org/officeDocument/2006/relationships/hyperlink" Target="http://www.sunat.gob.pe/legislacion/procedim/despacho/operadores/procGeneral/ctrlCambios/anexos/RIN_10-2016/anexo48.doc" TargetMode="External"/><Relationship Id="rId102" Type="http://schemas.openxmlformats.org/officeDocument/2006/relationships/hyperlink" Target="http://www.sunat.gob.pe/legislacion/procedim/despacho/operadores/procGeneral/ctrlCambios/anexos/RIN42/anexo60.doc" TargetMode="External"/><Relationship Id="rId5" Type="http://schemas.openxmlformats.org/officeDocument/2006/relationships/endnotes" Target="endnotes.xml"/><Relationship Id="rId61" Type="http://schemas.openxmlformats.org/officeDocument/2006/relationships/hyperlink" Target="http://www.sunat.gob.pe/legislacion/procedim/despacho/operadores/procGeneral/ctrlCambios/anexos/RIN42/anexo31.doc" TargetMode="External"/><Relationship Id="rId82" Type="http://schemas.openxmlformats.org/officeDocument/2006/relationships/hyperlink" Target="http://www.sunat.gob.pe/legislacion/procedim/despacho/operadores/procGeneral/ctrlCambios-Despa-PG.24/cambios/cc-pg.24-05-04.02.2018.htm" TargetMode="External"/><Relationship Id="rId90" Type="http://schemas.openxmlformats.org/officeDocument/2006/relationships/hyperlink" Target="http://www.sunat.gob.pe/legislacion/procedim/despacho/operadores/procGeneral/ctrlCambios/anexos/RIN_10-2016/anexo51.doc" TargetMode="External"/><Relationship Id="rId95" Type="http://schemas.openxmlformats.org/officeDocument/2006/relationships/hyperlink" Target="http://www.sunat.gob.pe/legislacion/procedim/despacho/operadores/procGeneral/ctrlCambios/anexos/RIN_10-2016/anexo55.doc" TargetMode="External"/><Relationship Id="rId19" Type="http://schemas.openxmlformats.org/officeDocument/2006/relationships/hyperlink" Target="http://www.sunat.gob.pe/legislacion/procedim/despacho/operadores/procGeneral/ctrlCambios/anexos/RIN_10-2016/anexo3.doc" TargetMode="External"/><Relationship Id="rId14" Type="http://schemas.openxmlformats.org/officeDocument/2006/relationships/hyperlink" Target="http://www.sunat.gob.pe/legislacion/procedim/despacho/operadores/procGeneral/ctrlCambios/anexos/FLUJOGRAMA_RIN.10.2016.doc" TargetMode="External"/><Relationship Id="rId22" Type="http://schemas.openxmlformats.org/officeDocument/2006/relationships/hyperlink" Target="http://www.sunat.gob.pe/legislacion/procedim/despacho/operadores/procGeneral/ctrlCambios/anexos/RIN_10-2016/anexo5.doc" TargetMode="External"/><Relationship Id="rId27" Type="http://schemas.openxmlformats.org/officeDocument/2006/relationships/hyperlink" Target="http://www.sunat.gob.pe/legislacion/procedim/despacho/operadores/procGeneral/ctrlCambios/anexos/RIN_10-2016/anexo10.doc" TargetMode="External"/><Relationship Id="rId30" Type="http://schemas.openxmlformats.org/officeDocument/2006/relationships/hyperlink" Target="http://www.sunat.gob.pe/legislacion/procedim/despacho/operadores/procGeneral/ctrlCambios/anexos/RIN42/anexo13.doc" TargetMode="External"/><Relationship Id="rId35" Type="http://schemas.openxmlformats.org/officeDocument/2006/relationships/hyperlink" Target="http://www.sunat.gob.pe/legislacion/procedim/despacho/operadores/procGeneral/ctrlCambios/anexos/RIN_10-2016/anexo16.doc" TargetMode="External"/><Relationship Id="rId43" Type="http://schemas.openxmlformats.org/officeDocument/2006/relationships/hyperlink" Target="http://www.sunat.gob.pe/legislacion/procedim/despacho/operadores/procGeneral/ctrlCambios/anexos/RIN_10-2016/anexo21.doc" TargetMode="External"/><Relationship Id="rId48" Type="http://schemas.openxmlformats.org/officeDocument/2006/relationships/hyperlink" Target="http://www.sunat.gob.pe/legislacion/procedim/despacho/operadores/procGeneral/ctrlCambios/anexos/RIN_10-2016/anexo24.doc" TargetMode="External"/><Relationship Id="rId56" Type="http://schemas.openxmlformats.org/officeDocument/2006/relationships/hyperlink" Target="http://www.sunat.gob.pe/legislacion/procedim/despacho/operadores/procGeneral/ctrlCambios/anexos/RIN_10-2016/anexo28.doc" TargetMode="External"/><Relationship Id="rId64" Type="http://schemas.openxmlformats.org/officeDocument/2006/relationships/hyperlink" Target="http://www.sunat.gob.pe/legislacion/procedim/despacho/operadores/procGeneral/ctrlCambios/anexos/RIN_10-2016/anexo32.doc" TargetMode="External"/><Relationship Id="rId69" Type="http://schemas.openxmlformats.org/officeDocument/2006/relationships/hyperlink" Target="http://www.sunat.gob.pe/legislacion/procedim/despacho/operadores/procGeneral/ctrlCambios/anexos/RIN_10-2016/anexo37.doc" TargetMode="External"/><Relationship Id="rId77" Type="http://schemas.openxmlformats.org/officeDocument/2006/relationships/hyperlink" Target="http://www.sunat.gob.pe/legislacion/procedim/despacho/operadores/procGeneral/ctrlCambios-Despa-PG.24/cambios/cc-pg.24-05-04.02.2018.htm" TargetMode="External"/><Relationship Id="rId100" Type="http://schemas.openxmlformats.org/officeDocument/2006/relationships/hyperlink" Target="http://www.sunat.gob.pe/legislacion/procedim/despacho/operadores/procGeneral/ctrlCambios/anexos/RIN_10-2016/anexo58.doc" TargetMode="External"/><Relationship Id="rId105" Type="http://schemas.openxmlformats.org/officeDocument/2006/relationships/hyperlink" Target="http://www.sunat.gob.pe/legislacion/procedim/despacho/operadores/procGeneral/ctrlCambios/anexos/RIN_10-2016/anexo61.doc" TargetMode="External"/><Relationship Id="rId8" Type="http://schemas.openxmlformats.org/officeDocument/2006/relationships/hyperlink" Target="http://www.sunat.gob.pe/legislacion/procedim/despacho/operadores/instructivos/index.htm" TargetMode="External"/><Relationship Id="rId51" Type="http://schemas.openxmlformats.org/officeDocument/2006/relationships/hyperlink" Target="http://www.sunat.gob.pe/legislacion/procedim/despacho/operadores/procGeneral/ctrlCambios/anexos/RIN_10-2016/anexo25.doc" TargetMode="External"/><Relationship Id="rId72" Type="http://schemas.openxmlformats.org/officeDocument/2006/relationships/hyperlink" Target="http://www.sunat.gob.pe/legislacion/procedim/despacho/operadores/procGeneral/ctrlCambios/anexos/RIN42/anexo39.doc" TargetMode="External"/><Relationship Id="rId80" Type="http://schemas.openxmlformats.org/officeDocument/2006/relationships/hyperlink" Target="http://www.sunat.gob.pe/legislacion/procedim/despacho/operadores/procGeneral/ctrlCambios-Despa-PG.24/cambios/cc-pg.24-05-04.02.2018.htm" TargetMode="External"/><Relationship Id="rId85" Type="http://schemas.openxmlformats.org/officeDocument/2006/relationships/hyperlink" Target="http://www.sunat.gob.pe/legislacion/procedim/despacho/operadores/procGeneral/ctrlCambios/anexos/RIN_10-2016/anexo46.doc" TargetMode="External"/><Relationship Id="rId93" Type="http://schemas.openxmlformats.org/officeDocument/2006/relationships/hyperlink" Target="http://www.sunat.gob.pe/legislacion/procedim/despacho/operadores/procGeneral/ctrlCambios/anexos/RIN_10-2016/anexo54.doc" TargetMode="External"/><Relationship Id="rId98" Type="http://schemas.openxmlformats.org/officeDocument/2006/relationships/hyperlink" Target="http://www.sunat.gob.pe/legislacion/procedim/despacho/operadores/procGeneral/ctrlCambios/anexos/RIN_10-2016/anexo57.doc" TargetMode="External"/><Relationship Id="rId3" Type="http://schemas.openxmlformats.org/officeDocument/2006/relationships/webSettings" Target="webSettings.xml"/><Relationship Id="rId12" Type="http://schemas.openxmlformats.org/officeDocument/2006/relationships/hyperlink" Target="http://www.sunat.gob.pe/legislacion/procedim/despacho/operadores/procGeneral/ctrlCambios-Despa-PG.24/index.htm" TargetMode="External"/><Relationship Id="rId17" Type="http://schemas.openxmlformats.org/officeDocument/2006/relationships/hyperlink" Target="http://www.sunat.gob.pe/legislacion/procedim/despacho/operadores/procGeneral/ctrlCambios/cambios/cc-pg.24-42-22.11.2016.htm" TargetMode="External"/><Relationship Id="rId25" Type="http://schemas.openxmlformats.org/officeDocument/2006/relationships/hyperlink" Target="http://www.sunat.gob.pe/legislacion/procedim/despacho/operadores/procGeneral/ctrlCambios/anexos/RIN_10-2016/anexo8.doc" TargetMode="External"/><Relationship Id="rId33" Type="http://schemas.openxmlformats.org/officeDocument/2006/relationships/hyperlink" Target="http://www.sunat.gob.pe/legislacion/procedim/despacho/operadores/procGeneral/ctrlCambios-Despa-PG.24/cambios/cc-pg.24-05-04.02.2018.htm" TargetMode="External"/><Relationship Id="rId38" Type="http://schemas.openxmlformats.org/officeDocument/2006/relationships/hyperlink" Target="http://www.sunat.gob.pe/legislacion/procedim/despacho/operadores/procGeneral/ctrlCambios/anexos/RIN_10-2016/anexo18.doc" TargetMode="External"/><Relationship Id="rId46" Type="http://schemas.openxmlformats.org/officeDocument/2006/relationships/hyperlink" Target="http://www.sunat.gob.pe/legislacion/procedim/despacho/operadores/procGeneral/ctrlCambios/anexos/RIN_10-2016/anexo22.doc" TargetMode="External"/><Relationship Id="rId59" Type="http://schemas.openxmlformats.org/officeDocument/2006/relationships/hyperlink" Target="http://www.sunat.gob.pe/legislacion/procedim/despacho/operadores/procGeneral/ctrlCambios/anexos/RIN_10-2016/anexo30.doc" TargetMode="External"/><Relationship Id="rId67" Type="http://schemas.openxmlformats.org/officeDocument/2006/relationships/hyperlink" Target="http://www.sunat.gob.pe/legislacion/procedim/despacho/operadores/procGeneral/ctrlCambios/anexos/RIN_10-2016/anexo35.doc" TargetMode="External"/><Relationship Id="rId103" Type="http://schemas.openxmlformats.org/officeDocument/2006/relationships/hyperlink" Target="http://www.sunat.gob.pe/legislacion/procedim/despacho/operadores/procGeneral/ctrlCambios/cambios/cc-pg.24-42-22.11.2016.htm" TargetMode="External"/><Relationship Id="rId20" Type="http://schemas.openxmlformats.org/officeDocument/2006/relationships/hyperlink" Target="http://www.sunat.gob.pe/legislacion/procedim/despacho/operadores/procGeneral/ctrlCambios/anexos/RIN_10-2016/anexo3.doc" TargetMode="External"/><Relationship Id="rId41" Type="http://schemas.openxmlformats.org/officeDocument/2006/relationships/hyperlink" Target="http://www.sunat.gob.pe/legislacion/procedim/despacho/operadores/procGeneral/ctrlCambios/anexos/RIN_10-2016/anexo20.doc" TargetMode="External"/><Relationship Id="rId54" Type="http://schemas.openxmlformats.org/officeDocument/2006/relationships/hyperlink" Target="http://www.sunat.gob.pe/legislacion/procedim/despacho/operadores/procGeneral/ctrlCambios/anexos/RIN_10-2016/anexo26.doc" TargetMode="External"/><Relationship Id="rId62" Type="http://schemas.openxmlformats.org/officeDocument/2006/relationships/hyperlink" Target="http://www.sunat.gob.pe/legislacion/procedim/despacho/operadores/procGeneral/ctrlCambios/cambios/cc-pg.24-42-22.11.2016.htm" TargetMode="External"/><Relationship Id="rId70" Type="http://schemas.openxmlformats.org/officeDocument/2006/relationships/hyperlink" Target="http://www.sunat.gob.pe/legislacion/procedim/despacho/operadores/procGeneral/ctrlCambios/anexos/RIN_10-2016/anexo38.doc" TargetMode="External"/><Relationship Id="rId75" Type="http://schemas.openxmlformats.org/officeDocument/2006/relationships/hyperlink" Target="http://www.sunat.gob.pe/legislacion/procedim/despacho/operadores/procGeneral/ctrlCambios/anexos/RIN_10-2016/anexo41.doc" TargetMode="External"/><Relationship Id="rId83" Type="http://schemas.openxmlformats.org/officeDocument/2006/relationships/hyperlink" Target="http://www.sunat.gob.pe/legislacion/procedim/despacho/operadores/procGeneral/ctrlCambios-Despa-PG.24/anexos/Anexo45_DESPA-PG.24_RIN-05-2018.doc" TargetMode="External"/><Relationship Id="rId88" Type="http://schemas.openxmlformats.org/officeDocument/2006/relationships/hyperlink" Target="http://www.sunat.gob.pe/legislacion/procedim/despacho/operadores/procGeneral/ctrlCambios/anexos/RIN_10-2016/anexo49.doc" TargetMode="External"/><Relationship Id="rId91" Type="http://schemas.openxmlformats.org/officeDocument/2006/relationships/hyperlink" Target="http://www.sunat.gob.pe/legislacion/procedim/despacho/operadores/procGeneral/ctrlCambios/anexos/RIN_10-2016/anexo52.doc" TargetMode="External"/><Relationship Id="rId96" Type="http://schemas.openxmlformats.org/officeDocument/2006/relationships/hyperlink" Target="http://www.sunat.gob.pe/legislacion/procedim/despacho/operadores/procGeneral/ctrlCambios/anexos/RIN_10-2016/anexo56.doc" TargetMode="External"/><Relationship Id="rId1" Type="http://schemas.openxmlformats.org/officeDocument/2006/relationships/styles" Target="styles.xml"/><Relationship Id="rId6" Type="http://schemas.openxmlformats.org/officeDocument/2006/relationships/hyperlink" Target="http://www.sunat.gob.pe/legislacion/procedim/despacho/operadores/procGeneral/index.html" TargetMode="External"/><Relationship Id="rId15" Type="http://schemas.openxmlformats.org/officeDocument/2006/relationships/hyperlink" Target="http://www.sunat.gob.pe/legislacion/procedim/despacho/operadores/procGeneral/ctrlCambios/anexos/RIN42/anexo1.doc" TargetMode="External"/><Relationship Id="rId23" Type="http://schemas.openxmlformats.org/officeDocument/2006/relationships/hyperlink" Target="http://www.sunat.gob.pe/legislacion/procedim/despacho/operadores/procGeneral/ctrlCambios/anexos/RIN_10-2016/anexo6.doc" TargetMode="External"/><Relationship Id="rId28" Type="http://schemas.openxmlformats.org/officeDocument/2006/relationships/hyperlink" Target="http://www.sunat.gob.pe/legislacion/procedim/despacho/operadores/procGeneral/ctrlCambios/anexos/RIN_10-2016/anexo11.doc" TargetMode="External"/><Relationship Id="rId36" Type="http://schemas.openxmlformats.org/officeDocument/2006/relationships/hyperlink" Target="http://www.sunat.gob.pe/legislacion/procedim/despacho/operadores/procGeneral/ctrlCambios/anexos/RIN_10-2016/anexo17.doc" TargetMode="External"/><Relationship Id="rId49" Type="http://schemas.openxmlformats.org/officeDocument/2006/relationships/hyperlink" Target="http://www.sunat.gob.pe/legislacion/procedim/despacho/operadores/procGeneral/ctrlCambios/anexos/RIN42/anexo24.doc" TargetMode="External"/><Relationship Id="rId57" Type="http://schemas.openxmlformats.org/officeDocument/2006/relationships/hyperlink" Target="http://www.sunat.gob.pe/legislacion/procedim/despacho/operadores/procGeneral/ctrlCambios/anexos/RIN_10-2016/anexo29.doc" TargetMode="External"/><Relationship Id="rId106" Type="http://schemas.openxmlformats.org/officeDocument/2006/relationships/fontTable" Target="fontTable.xml"/><Relationship Id="rId10" Type="http://schemas.openxmlformats.org/officeDocument/2006/relationships/image" Target="media/image1.gif"/><Relationship Id="rId31" Type="http://schemas.openxmlformats.org/officeDocument/2006/relationships/hyperlink" Target="http://www.sunat.gob.pe/legislacion/procedim/despacho/operadores/procGeneral/ctrlCambios/cambios/cc-pg.24-42-22.11.2016.htm" TargetMode="External"/><Relationship Id="rId44" Type="http://schemas.openxmlformats.org/officeDocument/2006/relationships/hyperlink" Target="http://www.sunat.gob.pe/legislacion/procedim/despacho/operadores/procGeneral/ctrlCambios/anexos/RIN_10-2016/anexo21.doc" TargetMode="External"/><Relationship Id="rId52" Type="http://schemas.openxmlformats.org/officeDocument/2006/relationships/hyperlink" Target="http://www.sunat.gob.pe/legislacion/procedim/despacho/operadores/procGeneral/ctrlCambios/anexos/RIN_10-2016/anexo25.doc" TargetMode="External"/><Relationship Id="rId60" Type="http://schemas.openxmlformats.org/officeDocument/2006/relationships/hyperlink" Target="http://www.sunat.gob.pe/legislacion/procedim/despacho/operadores/procGeneral/ctrlCambios/anexos/RIN_10-2016/anexo30.doc" TargetMode="External"/><Relationship Id="rId65" Type="http://schemas.openxmlformats.org/officeDocument/2006/relationships/hyperlink" Target="http://www.sunat.gob.pe/legislacion/procedim/despacho/operadores/procGeneral/ctrlCambios/anexos/RIN_10-2016/anexo33.doc" TargetMode="External"/><Relationship Id="rId73" Type="http://schemas.openxmlformats.org/officeDocument/2006/relationships/hyperlink" Target="http://www.sunat.gob.pe/legislacion/procedim/despacho/operadores/procGeneral/ctrlCambios/cambios/cc-pg.24-42-22.11.2016.htm" TargetMode="External"/><Relationship Id="rId78" Type="http://schemas.openxmlformats.org/officeDocument/2006/relationships/hyperlink" Target="http://www.sunat.gob.pe/legislacion/procedim/despacho/operadores/procGeneral/ctrlCambios-Despa-PG.24/anexos/Anexo43_DESPA-PG.24_RIN-05-2018.doc" TargetMode="External"/><Relationship Id="rId81" Type="http://schemas.openxmlformats.org/officeDocument/2006/relationships/hyperlink" Target="http://www.sunat.gob.pe/legislacion/procedim/despacho/operadores/procGeneral/ctrlCambios-Despa-PG.24/anexos/Anexo44_DESPA-PG.24_RIN-05-2018.doc" TargetMode="External"/><Relationship Id="rId86" Type="http://schemas.openxmlformats.org/officeDocument/2006/relationships/hyperlink" Target="http://www.sunat.gob.pe/legislacion/procedim/despacho/operadores/procGeneral/ctrlCambios/anexos/RIN_10-2016/anexo47.doc" TargetMode="External"/><Relationship Id="rId94" Type="http://schemas.openxmlformats.org/officeDocument/2006/relationships/hyperlink" Target="http://www.sunat.gob.pe/legislacion/procedim/despacho/operadores/procGeneral/ctrlCambios/anexos/RIN_10-2016/anexo55.doc" TargetMode="External"/><Relationship Id="rId99" Type="http://schemas.openxmlformats.org/officeDocument/2006/relationships/hyperlink" Target="http://www.sunat.gob.pe/legislacion/procedim/despacho/operadores/procGeneral/ctrlCambios/anexos/RIN_10-2016/anexo57.doc" TargetMode="External"/><Relationship Id="rId101" Type="http://schemas.openxmlformats.org/officeDocument/2006/relationships/hyperlink" Target="http://www.sunat.gob.pe/legislacion/procedim/despacho/operadores/procGeneral/ctrlCambios/anexos/RIN_10-2016/anexo59.doc" TargetMode="External"/><Relationship Id="rId4" Type="http://schemas.openxmlformats.org/officeDocument/2006/relationships/footnotes" Target="footnotes.xml"/><Relationship Id="rId9" Type="http://schemas.openxmlformats.org/officeDocument/2006/relationships/hyperlink" Target="javascript:printPage()" TargetMode="External"/><Relationship Id="rId13" Type="http://schemas.openxmlformats.org/officeDocument/2006/relationships/hyperlink" Target="http://www.sunat.gob.pe/legislacion/procedim/despacho/operadores/procGeneral/ctrlCambios-Despa-PG.24/cambios/cc-pg.24-05-04.02.2018.htm" TargetMode="External"/><Relationship Id="rId18" Type="http://schemas.openxmlformats.org/officeDocument/2006/relationships/hyperlink" Target="http://www.sunat.gob.pe/legislacion/procedim/despacho/operadores/procGeneral/ctrlCambios/anexos/RIN_10-2016/anexo2.doc" TargetMode="External"/><Relationship Id="rId39" Type="http://schemas.openxmlformats.org/officeDocument/2006/relationships/hyperlink" Target="http://www.sunat.gob.pe/legislacion/procedim/despacho/operadores/procGeneral/ctrlCambios/anexos/RIN_10-2016/anexo19.doc" TargetMode="External"/><Relationship Id="rId34" Type="http://schemas.openxmlformats.org/officeDocument/2006/relationships/hyperlink" Target="http://www.sunat.gob.pe/legislacion/procedim/despacho/operadores/procGeneral/ctrlCambios/anexos/RIN_10-2016/anexo15.doc" TargetMode="External"/><Relationship Id="rId50" Type="http://schemas.openxmlformats.org/officeDocument/2006/relationships/hyperlink" Target="http://www.sunat.gob.pe/legislacion/procedim/despacho/operadores/procGeneral/ctrlCambios/cambios/cc-pg.24-42-22.11.2016.htm" TargetMode="External"/><Relationship Id="rId55" Type="http://schemas.openxmlformats.org/officeDocument/2006/relationships/hyperlink" Target="http://www.sunat.gob.pe/legislacion/procedim/despacho/operadores/procGeneral/ctrlCambios/anexos/RIN_10-2016/anexo27.doc" TargetMode="External"/><Relationship Id="rId76" Type="http://schemas.openxmlformats.org/officeDocument/2006/relationships/hyperlink" Target="http://www.sunat.gob.pe/legislacion/procedim/despacho/operadores/procGeneral/ctrlCambios-Despa-PG.24/anexos/Anexo42_DESPA-PG.24_RIN-05-2018.doc" TargetMode="External"/><Relationship Id="rId97" Type="http://schemas.openxmlformats.org/officeDocument/2006/relationships/hyperlink" Target="http://www.sunat.gob.pe/legislacion/procedim/despacho/operadores/procGeneral/ctrlCambios/anexos/RIN_10-2016/anexo56.doc" TargetMode="External"/><Relationship Id="rId104" Type="http://schemas.openxmlformats.org/officeDocument/2006/relationships/hyperlink" Target="http://www.sunat.gob.pe/legislacion/procedim/despacho/operadores/procGeneral/ctrlCambios/anexos/RIN_10-2016/anexo61.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6093</Words>
  <Characters>33514</Characters>
  <Application>Microsoft Office Word</Application>
  <DocSecurity>0</DocSecurity>
  <Lines>279</Lines>
  <Paragraphs>79</Paragraphs>
  <ScaleCrop>false</ScaleCrop>
  <Company/>
  <LinksUpToDate>false</LinksUpToDate>
  <CharactersWithSpaces>39528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Beraun Villanueva Maria Cecilia</dc:creator>
  <cp:keywords/>
  <dc:description/>
  <cp:lastModifiedBy>Beraun Villanueva Maria Cecilia</cp:lastModifiedBy>
  <cp:revision>2</cp:revision>
  <dcterms:created xsi:type="dcterms:W3CDTF">2020-01-30T18:24:00Z</dcterms:created>
  <dcterms:modified xsi:type="dcterms:W3CDTF">2020-01-30T18:27:00Z</dcterms:modified>
</cp:coreProperties>
</file>