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424" w:rsidRDefault="00714424" w:rsidP="00714424">
      <w:pPr>
        <w:jc w:val="center"/>
        <w:rPr>
          <w:rFonts w:ascii="Arial" w:eastAsia="Times New Roman" w:hAnsi="Arial" w:cs="Arial"/>
          <w:b/>
          <w:sz w:val="20"/>
          <w:szCs w:val="20"/>
        </w:rPr>
      </w:pPr>
      <w:bookmarkStart w:id="0" w:name="_GoBack"/>
      <w:bookmarkEnd w:id="0"/>
      <w:r w:rsidRPr="00D83B5E">
        <w:rPr>
          <w:rFonts w:ascii="Arial" w:eastAsia="Times New Roman" w:hAnsi="Arial" w:cs="Arial"/>
          <w:b/>
          <w:sz w:val="20"/>
          <w:szCs w:val="20"/>
        </w:rPr>
        <w:t xml:space="preserve">ANEXO N° </w:t>
      </w:r>
      <w:r>
        <w:rPr>
          <w:rFonts w:ascii="Arial" w:eastAsia="Times New Roman" w:hAnsi="Arial" w:cs="Arial"/>
          <w:b/>
          <w:sz w:val="20"/>
          <w:szCs w:val="20"/>
        </w:rPr>
        <w:t>2</w:t>
      </w:r>
      <w:r w:rsidR="007C3CF5">
        <w:rPr>
          <w:rFonts w:ascii="Arial" w:eastAsia="Times New Roman" w:hAnsi="Arial" w:cs="Arial"/>
          <w:b/>
          <w:sz w:val="20"/>
          <w:szCs w:val="20"/>
        </w:rPr>
        <w:t>(*)</w:t>
      </w:r>
    </w:p>
    <w:p w:rsidR="00714424" w:rsidRPr="005F5687" w:rsidRDefault="00714424" w:rsidP="00714424">
      <w:pPr>
        <w:spacing w:after="0" w:line="240" w:lineRule="auto"/>
        <w:ind w:left="284"/>
        <w:jc w:val="center"/>
        <w:rPr>
          <w:rFonts w:ascii="Arial" w:eastAsia="Times New Roman" w:hAnsi="Arial" w:cs="Arial"/>
          <w:sz w:val="20"/>
          <w:szCs w:val="20"/>
        </w:rPr>
      </w:pPr>
      <w:r w:rsidRPr="005F5687">
        <w:rPr>
          <w:rFonts w:ascii="Arial" w:eastAsia="Times New Roman" w:hAnsi="Arial" w:cs="Arial"/>
          <w:b/>
          <w:bCs/>
          <w:color w:val="000000"/>
          <w:sz w:val="20"/>
          <w:szCs w:val="20"/>
          <w:lang w:val="es-ES"/>
        </w:rPr>
        <w:t xml:space="preserve">INFRACCIONES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val="es-ES"/>
        </w:rPr>
        <w:t>CONSIDERADAS PARA LA EVALUACIÓN DEL CUMPLIMIENTO DEL REQUISITO PREVISTO EN EL INCISO G), NUMERAL 1, ACÁPITE A.2, DE LA SECCIÓN A DEL PRESENTE PROCEDIMIENTO</w:t>
      </w:r>
    </w:p>
    <w:p w:rsidR="00F75F45" w:rsidRDefault="00F75F45" w:rsidP="00714424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714424" w:rsidRDefault="00714424" w:rsidP="00714424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AA06DE">
        <w:rPr>
          <w:rFonts w:ascii="Arial" w:hAnsi="Arial" w:cs="Arial"/>
          <w:color w:val="000000"/>
        </w:rPr>
        <w:t>La</w:t>
      </w:r>
      <w:r>
        <w:rPr>
          <w:rFonts w:ascii="Arial" w:hAnsi="Arial" w:cs="Arial"/>
          <w:color w:val="000000"/>
        </w:rPr>
        <w:t xml:space="preserve"> comisión de las siguientes </w:t>
      </w:r>
      <w:r w:rsidRPr="00AA06DE">
        <w:rPr>
          <w:rFonts w:ascii="Arial" w:hAnsi="Arial" w:cs="Arial"/>
          <w:color w:val="000000"/>
        </w:rPr>
        <w:t>infracciones</w:t>
      </w:r>
      <w:r w:rsidR="00B23DB0"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 xml:space="preserve">determina que no se cumple con el  requisito establecido en el </w:t>
      </w:r>
      <w:r w:rsidRPr="00714424">
        <w:rPr>
          <w:rFonts w:ascii="Arial" w:hAnsi="Arial" w:cs="Arial"/>
          <w:color w:val="000000"/>
        </w:rPr>
        <w:t>inciso g), numeral 1, acápite A.2, de la sección A del presente procedimiento</w:t>
      </w:r>
      <w:r>
        <w:rPr>
          <w:rFonts w:ascii="Arial" w:hAnsi="Arial" w:cs="Arial"/>
          <w:color w:val="000000"/>
        </w:rPr>
        <w:t>:</w:t>
      </w:r>
    </w:p>
    <w:tbl>
      <w:tblPr>
        <w:tblW w:w="9508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20"/>
        <w:gridCol w:w="2388"/>
      </w:tblGrid>
      <w:tr w:rsidR="00B57CCC" w:rsidRPr="00B57CCC" w:rsidTr="00F75F45">
        <w:trPr>
          <w:trHeight w:val="232"/>
        </w:trPr>
        <w:tc>
          <w:tcPr>
            <w:tcW w:w="7120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31849B"/>
            <w:vAlign w:val="center"/>
            <w:hideMark/>
          </w:tcPr>
          <w:p w:rsidR="00B57CCC" w:rsidRPr="00B57CCC" w:rsidRDefault="00B57CCC" w:rsidP="00B57C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18"/>
                <w:szCs w:val="18"/>
              </w:rPr>
            </w:pPr>
            <w:r w:rsidRPr="00B57CCC">
              <w:rPr>
                <w:rFonts w:ascii="Arial Narrow" w:eastAsia="Times New Roman" w:hAnsi="Arial Narrow" w:cs="Times New Roman"/>
                <w:b/>
                <w:bCs/>
                <w:color w:val="FFFFFF"/>
                <w:sz w:val="18"/>
                <w:szCs w:val="18"/>
                <w:lang w:val="es-ES"/>
              </w:rPr>
              <w:t>Detalle de la Infracción – Código Tributario</w:t>
            </w:r>
          </w:p>
        </w:tc>
        <w:tc>
          <w:tcPr>
            <w:tcW w:w="2388" w:type="dxa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000000" w:fill="31849B"/>
            <w:vAlign w:val="center"/>
            <w:hideMark/>
          </w:tcPr>
          <w:p w:rsidR="00B57CCC" w:rsidRPr="00B57CCC" w:rsidRDefault="00B57CCC" w:rsidP="00B57C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18"/>
                <w:szCs w:val="18"/>
              </w:rPr>
            </w:pPr>
            <w:r w:rsidRPr="00B57CCC">
              <w:rPr>
                <w:rFonts w:ascii="Arial Narrow" w:eastAsia="Times New Roman" w:hAnsi="Arial Narrow" w:cs="Times New Roman"/>
                <w:b/>
                <w:bCs/>
                <w:color w:val="FFFFFF"/>
                <w:sz w:val="18"/>
                <w:szCs w:val="18"/>
                <w:lang w:val="es-ES"/>
              </w:rPr>
              <w:t>Numeral/Artículo</w:t>
            </w:r>
          </w:p>
        </w:tc>
      </w:tr>
      <w:tr w:rsidR="00B57CCC" w:rsidRPr="00B57CCC" w:rsidTr="00F75F45">
        <w:trPr>
          <w:trHeight w:val="108"/>
        </w:trPr>
        <w:tc>
          <w:tcPr>
            <w:tcW w:w="7120" w:type="dxa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CCC" w:rsidRPr="00B57CCC" w:rsidRDefault="00B57CCC" w:rsidP="00B57CC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388" w:type="dxa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000000" w:fill="31849B"/>
            <w:vAlign w:val="center"/>
            <w:hideMark/>
          </w:tcPr>
          <w:p w:rsidR="00B57CCC" w:rsidRPr="00B57CCC" w:rsidRDefault="00B57CCC" w:rsidP="00B57C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18"/>
                <w:szCs w:val="18"/>
              </w:rPr>
            </w:pPr>
            <w:r w:rsidRPr="00B57CCC">
              <w:rPr>
                <w:rFonts w:ascii="Arial Narrow" w:eastAsia="Times New Roman" w:hAnsi="Arial Narrow" w:cs="Times New Roman"/>
                <w:b/>
                <w:bCs/>
                <w:color w:val="FFFFFF"/>
                <w:sz w:val="18"/>
                <w:szCs w:val="18"/>
                <w:lang w:val="es-ES"/>
              </w:rPr>
              <w:t>Código Tributario</w:t>
            </w:r>
          </w:p>
        </w:tc>
      </w:tr>
      <w:tr w:rsidR="00B57CCC" w:rsidRPr="00B57CCC" w:rsidTr="00F75F45">
        <w:trPr>
          <w:trHeight w:val="315"/>
        </w:trPr>
        <w:tc>
          <w:tcPr>
            <w:tcW w:w="95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EF3"/>
            <w:vAlign w:val="center"/>
            <w:hideMark/>
          </w:tcPr>
          <w:p w:rsidR="00B57CCC" w:rsidRPr="00B57CCC" w:rsidRDefault="00B57CCC" w:rsidP="00B57CC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B57CCC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  <w:t>Infracciones relacionadas con la Obligación de Inscribirse,  Actualizar o Acreditar la Inscripción en los Registros de la Administración Tributaria:</w:t>
            </w:r>
          </w:p>
        </w:tc>
      </w:tr>
      <w:tr w:rsidR="00B57CCC" w:rsidRPr="00B57CCC" w:rsidTr="00F75F45">
        <w:trPr>
          <w:trHeight w:val="315"/>
        </w:trPr>
        <w:tc>
          <w:tcPr>
            <w:tcW w:w="71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CCC" w:rsidRPr="00B57CCC" w:rsidRDefault="00B57CCC" w:rsidP="00B57CC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B57CC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s-ES"/>
              </w:rPr>
              <w:t>Obtener dos o más números de inscripción para un mismo registro.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7CCC" w:rsidRPr="00B57CCC" w:rsidRDefault="00B57CCC" w:rsidP="00B57C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B57CC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s-ES"/>
              </w:rPr>
              <w:t>Numeral 3, Art. 173°</w:t>
            </w:r>
          </w:p>
        </w:tc>
      </w:tr>
      <w:tr w:rsidR="00B57CCC" w:rsidRPr="00B57CCC" w:rsidTr="00F75F45">
        <w:trPr>
          <w:trHeight w:val="210"/>
        </w:trPr>
        <w:tc>
          <w:tcPr>
            <w:tcW w:w="95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EF3"/>
            <w:vAlign w:val="center"/>
            <w:hideMark/>
          </w:tcPr>
          <w:p w:rsidR="00B57CCC" w:rsidRPr="00B57CCC" w:rsidRDefault="00B57CCC" w:rsidP="00B57CC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B57CCC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val="es-ES"/>
              </w:rPr>
              <w:t>Infracciones relacionadas con el Cumplimiento de las Obligaciones Tributarias.</w:t>
            </w:r>
          </w:p>
        </w:tc>
      </w:tr>
      <w:tr w:rsidR="00B57CCC" w:rsidRPr="00B57CCC" w:rsidTr="00F75F45">
        <w:trPr>
          <w:trHeight w:val="823"/>
        </w:trPr>
        <w:tc>
          <w:tcPr>
            <w:tcW w:w="7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CCC" w:rsidRPr="00B57CCC" w:rsidRDefault="00B57CCC" w:rsidP="00B57CC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B57CC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Elaborar o comercializar clandestinamente bienes gravados mediante la sustracción a los controles fiscales; la utilización indebida de sellos, timbres, precintos y demás medios de control; la destrucción o adulteración de los mismos; la alteración de las características de los bienes; la ocultación, cambio de destino o falsa indicación de la procedencia de los mismos. 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7CCC" w:rsidRPr="00B57CCC" w:rsidRDefault="00B57CCC" w:rsidP="00B57C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B57CC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s-ES"/>
              </w:rPr>
              <w:t>Numeral 3, Art. 178°</w:t>
            </w:r>
          </w:p>
        </w:tc>
      </w:tr>
      <w:tr w:rsidR="00B57CCC" w:rsidRPr="00B57CCC" w:rsidTr="00F75F45">
        <w:trPr>
          <w:trHeight w:val="315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7CCC" w:rsidRPr="00B57CCC" w:rsidRDefault="00B57CCC" w:rsidP="00B57CC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7CCC" w:rsidRPr="00B57CCC" w:rsidRDefault="00B57CCC" w:rsidP="00B57C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</w:tr>
      <w:tr w:rsidR="00B57CCC" w:rsidRPr="00B57CCC" w:rsidTr="00F75F45">
        <w:trPr>
          <w:trHeight w:val="392"/>
        </w:trPr>
        <w:tc>
          <w:tcPr>
            <w:tcW w:w="7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31849B"/>
            <w:vAlign w:val="center"/>
            <w:hideMark/>
          </w:tcPr>
          <w:p w:rsidR="00B57CCC" w:rsidRPr="00B57CCC" w:rsidRDefault="00B57CCC" w:rsidP="00B57C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18"/>
                <w:szCs w:val="18"/>
              </w:rPr>
            </w:pPr>
            <w:r w:rsidRPr="00B57CCC">
              <w:rPr>
                <w:rFonts w:ascii="Arial Narrow" w:eastAsia="Times New Roman" w:hAnsi="Arial Narrow" w:cs="Times New Roman"/>
                <w:b/>
                <w:bCs/>
                <w:color w:val="FFFFFF"/>
                <w:sz w:val="18"/>
                <w:szCs w:val="18"/>
              </w:rPr>
              <w:t xml:space="preserve">Detalle de la infracción </w:t>
            </w:r>
            <w:r w:rsidR="007C3CF5">
              <w:rPr>
                <w:rFonts w:ascii="Arial Narrow" w:eastAsia="Times New Roman" w:hAnsi="Arial Narrow" w:cs="Times New Roman"/>
                <w:b/>
                <w:bCs/>
                <w:color w:val="FFFFFF"/>
                <w:sz w:val="18"/>
                <w:szCs w:val="18"/>
              </w:rPr>
              <w:t>–</w:t>
            </w:r>
            <w:r w:rsidRPr="00B57CCC">
              <w:rPr>
                <w:rFonts w:ascii="Arial Narrow" w:eastAsia="Times New Roman" w:hAnsi="Arial Narrow" w:cs="Times New Roman"/>
                <w:b/>
                <w:bCs/>
                <w:color w:val="FFFFFF"/>
                <w:sz w:val="18"/>
                <w:szCs w:val="18"/>
              </w:rPr>
              <w:t xml:space="preserve"> Ley General de Aduanas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31849B"/>
            <w:vAlign w:val="center"/>
            <w:hideMark/>
          </w:tcPr>
          <w:p w:rsidR="00B57CCC" w:rsidRPr="00B57CCC" w:rsidRDefault="00B57CCC" w:rsidP="00B57C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18"/>
                <w:szCs w:val="18"/>
              </w:rPr>
            </w:pPr>
            <w:r w:rsidRPr="00B57CCC">
              <w:rPr>
                <w:rFonts w:ascii="Arial Narrow" w:eastAsia="Times New Roman" w:hAnsi="Arial Narrow" w:cs="Times New Roman"/>
                <w:b/>
                <w:bCs/>
                <w:color w:val="FFFFFF"/>
                <w:sz w:val="18"/>
                <w:szCs w:val="18"/>
              </w:rPr>
              <w:t>Numeral/Artículo</w:t>
            </w:r>
            <w:r w:rsidRPr="00B57CCC">
              <w:rPr>
                <w:rFonts w:ascii="Arial Narrow" w:eastAsia="Times New Roman" w:hAnsi="Arial Narrow" w:cs="Times New Roman"/>
                <w:b/>
                <w:bCs/>
                <w:color w:val="FFFFFF"/>
                <w:sz w:val="18"/>
                <w:szCs w:val="18"/>
              </w:rPr>
              <w:br/>
              <w:t xml:space="preserve">Ley General de Aduanas </w:t>
            </w:r>
          </w:p>
        </w:tc>
      </w:tr>
      <w:tr w:rsidR="00B57CCC" w:rsidRPr="00B57CCC" w:rsidTr="00F75F45">
        <w:trPr>
          <w:trHeight w:val="256"/>
        </w:trPr>
        <w:tc>
          <w:tcPr>
            <w:tcW w:w="95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EF3"/>
            <w:vAlign w:val="center"/>
            <w:hideMark/>
          </w:tcPr>
          <w:p w:rsidR="00B57CCC" w:rsidRPr="00B57CCC" w:rsidRDefault="00B57CCC" w:rsidP="00B57CC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B57CCC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  <w:t>Infracciones sancionables con multa</w:t>
            </w:r>
          </w:p>
        </w:tc>
      </w:tr>
      <w:tr w:rsidR="00B57CCC" w:rsidRPr="002653F5" w:rsidTr="00F75F45">
        <w:trPr>
          <w:trHeight w:val="394"/>
        </w:trPr>
        <w:tc>
          <w:tcPr>
            <w:tcW w:w="7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CCC" w:rsidRPr="00B57CCC" w:rsidRDefault="00B57CCC" w:rsidP="00B57CC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B57CC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Los operadores del comercio exterior, según corresponda.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7CCC" w:rsidRPr="00B57CCC" w:rsidRDefault="00B57CCC" w:rsidP="00B57C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B57CC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Numeral 2, inciso a), Art. 192°</w:t>
            </w:r>
            <w:r w:rsidRPr="00B57CC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br/>
              <w:t>Numeral 8, inciso a), Art. 192°</w:t>
            </w:r>
          </w:p>
        </w:tc>
      </w:tr>
      <w:tr w:rsidR="00B57CCC" w:rsidRPr="00B57CCC" w:rsidTr="00F75F45">
        <w:trPr>
          <w:trHeight w:val="259"/>
        </w:trPr>
        <w:tc>
          <w:tcPr>
            <w:tcW w:w="7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CCC" w:rsidRPr="00B57CCC" w:rsidRDefault="00B57CCC" w:rsidP="00B57CC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B57CC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Los dueños, consignatarios o consignantes</w:t>
            </w:r>
          </w:p>
        </w:tc>
        <w:tc>
          <w:tcPr>
            <w:tcW w:w="2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CCC" w:rsidRPr="00B57CCC" w:rsidRDefault="00B57CCC" w:rsidP="00B57C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B57CC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s-ES"/>
              </w:rPr>
              <w:t>Numeral 9, inciso c), Art. 192°</w:t>
            </w:r>
          </w:p>
        </w:tc>
      </w:tr>
      <w:tr w:rsidR="00B57CCC" w:rsidRPr="002653F5" w:rsidTr="00F75F45">
        <w:trPr>
          <w:trHeight w:val="404"/>
        </w:trPr>
        <w:tc>
          <w:tcPr>
            <w:tcW w:w="7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CCC" w:rsidRPr="00B57CCC" w:rsidRDefault="00B57CCC" w:rsidP="00B57CC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B57CC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Los almacenes aduaneros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CCC" w:rsidRPr="00B57CCC" w:rsidRDefault="00B57CCC" w:rsidP="00B57C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B57CC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Numeral 1, inciso f), Art. 192°</w:t>
            </w:r>
            <w:r w:rsidRPr="00B57CC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br/>
              <w:t>Numeral 5, inciso f), Art. 192°</w:t>
            </w:r>
          </w:p>
        </w:tc>
      </w:tr>
      <w:tr w:rsidR="00B57CCC" w:rsidRPr="00B57CCC" w:rsidTr="00F75F45">
        <w:trPr>
          <w:trHeight w:val="196"/>
        </w:trPr>
        <w:tc>
          <w:tcPr>
            <w:tcW w:w="95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EF3"/>
            <w:vAlign w:val="center"/>
            <w:hideMark/>
          </w:tcPr>
          <w:p w:rsidR="00B57CCC" w:rsidRPr="00B57CCC" w:rsidRDefault="00B57CCC" w:rsidP="00B57CC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B57CCC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  <w:t>Infracciones sancionables con suspensión</w:t>
            </w:r>
          </w:p>
        </w:tc>
      </w:tr>
      <w:tr w:rsidR="00B57CCC" w:rsidRPr="002653F5" w:rsidTr="00F75F45">
        <w:trPr>
          <w:trHeight w:val="725"/>
        </w:trPr>
        <w:tc>
          <w:tcPr>
            <w:tcW w:w="7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CCC" w:rsidRPr="00B57CCC" w:rsidRDefault="00B57CCC" w:rsidP="00B57CC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B57CC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Para los almacenes aduaneros y despachadores de aduana, cuando: </w:t>
            </w:r>
            <w:r w:rsidRPr="00B57CC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br/>
              <w:t>No repongan, renueven o adecuen la garantía para el cumplimiento de sus obligaciones a favor de la SUNAT, cuyo monto y demás características deben cumplir con lo establecido en el Decreto Legislativo y su Reglamento.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CCC" w:rsidRPr="00B57CCC" w:rsidRDefault="00B57CCC" w:rsidP="00B57C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B57CC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Numeral 1, inciso a), Art. 194°</w:t>
            </w:r>
            <w:r w:rsidRPr="00B57CC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br/>
              <w:t>Numeral 1, inciso b), Art. 194°</w:t>
            </w:r>
          </w:p>
        </w:tc>
      </w:tr>
      <w:tr w:rsidR="00B57CCC" w:rsidRPr="00B57CCC" w:rsidTr="00F75F45">
        <w:trPr>
          <w:trHeight w:val="596"/>
        </w:trPr>
        <w:tc>
          <w:tcPr>
            <w:tcW w:w="7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CCC" w:rsidRDefault="00B57CCC" w:rsidP="00B57CC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B57CC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Para los despachadores de aduana, cuando:</w:t>
            </w:r>
          </w:p>
          <w:p w:rsidR="00B57CCC" w:rsidRPr="00B57CCC" w:rsidRDefault="00B57CCC" w:rsidP="00B57CC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B57CC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Haya sido sancionado por la comisión de infracción administrativa, prevista en la Ley de los Delitos Aduaneros, tratándose de persona natural.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CCC" w:rsidRPr="00B57CCC" w:rsidRDefault="00B57CCC" w:rsidP="00B57C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B57CC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Numeral 2, inciso b), Art. 194°</w:t>
            </w:r>
          </w:p>
        </w:tc>
      </w:tr>
      <w:tr w:rsidR="00B57CCC" w:rsidRPr="00B57CCC" w:rsidTr="00F75F45">
        <w:trPr>
          <w:trHeight w:val="128"/>
        </w:trPr>
        <w:tc>
          <w:tcPr>
            <w:tcW w:w="95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EF3"/>
            <w:vAlign w:val="center"/>
            <w:hideMark/>
          </w:tcPr>
          <w:p w:rsidR="00B57CCC" w:rsidRPr="00B57CCC" w:rsidRDefault="00B57CCC" w:rsidP="00B57CC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B57CCC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  <w:t>Infracciones sancionables con cancelación</w:t>
            </w:r>
          </w:p>
        </w:tc>
      </w:tr>
      <w:tr w:rsidR="00B57CCC" w:rsidRPr="002653F5" w:rsidTr="00F75F45">
        <w:trPr>
          <w:trHeight w:val="579"/>
        </w:trPr>
        <w:tc>
          <w:tcPr>
            <w:tcW w:w="7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CCC" w:rsidRPr="00B57CCC" w:rsidRDefault="00B57CCC" w:rsidP="00B57CC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B57CC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Los almacenes aduaneros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CCC" w:rsidRPr="00B57CCC" w:rsidRDefault="00B57CCC" w:rsidP="00B57C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B57CC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Numeral 1, inciso a), Art. 195°</w:t>
            </w:r>
            <w:r w:rsidRPr="00B57CC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br/>
              <w:t>Numeral 2, inciso a), Art. 195°</w:t>
            </w:r>
            <w:r w:rsidRPr="00B57CC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br/>
              <w:t>Numeral 3, inciso a), Art. 195°</w:t>
            </w:r>
          </w:p>
        </w:tc>
      </w:tr>
      <w:tr w:rsidR="00B57CCC" w:rsidRPr="002653F5" w:rsidTr="00F75F45">
        <w:trPr>
          <w:trHeight w:val="645"/>
        </w:trPr>
        <w:tc>
          <w:tcPr>
            <w:tcW w:w="7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CCC" w:rsidRPr="00B57CCC" w:rsidRDefault="00B57CCC" w:rsidP="00B57CC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B57CC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Los despachadores de aduana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CCC" w:rsidRPr="00B57CCC" w:rsidRDefault="00B57CCC" w:rsidP="00B57C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B57CC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Numeral 1, inciso b), Art. 195°</w:t>
            </w:r>
            <w:r w:rsidRPr="00B57CC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br/>
              <w:t>Numeral 2, inciso b), Art. 195°</w:t>
            </w:r>
            <w:r w:rsidRPr="00B57CC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br/>
              <w:t>Numeral 3, inciso b), Art. 195°</w:t>
            </w:r>
          </w:p>
        </w:tc>
      </w:tr>
      <w:tr w:rsidR="00B57CCC" w:rsidRPr="00B57CCC" w:rsidTr="00F75F45">
        <w:trPr>
          <w:trHeight w:val="198"/>
        </w:trPr>
        <w:tc>
          <w:tcPr>
            <w:tcW w:w="95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EF3"/>
            <w:vAlign w:val="center"/>
            <w:hideMark/>
          </w:tcPr>
          <w:p w:rsidR="00B57CCC" w:rsidRPr="00B57CCC" w:rsidRDefault="00B57CCC" w:rsidP="00B57CC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B57CCC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  <w:t>Infracciones sancionables con inhabilitación</w:t>
            </w:r>
          </w:p>
        </w:tc>
      </w:tr>
      <w:tr w:rsidR="00B57CCC" w:rsidRPr="002653F5" w:rsidTr="00F75F45">
        <w:trPr>
          <w:trHeight w:val="460"/>
        </w:trPr>
        <w:tc>
          <w:tcPr>
            <w:tcW w:w="7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CCC" w:rsidRPr="00B57CCC" w:rsidRDefault="00B57CCC" w:rsidP="00B57CC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B57CC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Para ejercer como agente de aduana y/o representante legal de una persona jurídica 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CCC" w:rsidRPr="00B57CCC" w:rsidRDefault="00B57CCC" w:rsidP="00B57C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</w:pPr>
            <w:r w:rsidRPr="00B57CC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t>Inciso a), Art. 196°</w:t>
            </w:r>
            <w:r w:rsidRPr="00B57CC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n-US"/>
              </w:rPr>
              <w:br/>
              <w:t>Inciso b), Art. 196°</w:t>
            </w:r>
          </w:p>
        </w:tc>
      </w:tr>
      <w:tr w:rsidR="00B57CCC" w:rsidRPr="00B57CCC" w:rsidTr="00F75F45">
        <w:trPr>
          <w:trHeight w:val="126"/>
        </w:trPr>
        <w:tc>
          <w:tcPr>
            <w:tcW w:w="95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EF3"/>
            <w:vAlign w:val="center"/>
            <w:hideMark/>
          </w:tcPr>
          <w:p w:rsidR="00B57CCC" w:rsidRPr="00B57CCC" w:rsidRDefault="00B57CCC" w:rsidP="00B57CC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B57CCC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  <w:t>Infracciones sancionables con comiso de las mercancías</w:t>
            </w:r>
          </w:p>
        </w:tc>
      </w:tr>
      <w:tr w:rsidR="00B57CCC" w:rsidRPr="00B57CCC" w:rsidTr="00F75F45">
        <w:trPr>
          <w:trHeight w:val="611"/>
        </w:trPr>
        <w:tc>
          <w:tcPr>
            <w:tcW w:w="7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CCC" w:rsidRPr="00B57CCC" w:rsidRDefault="00B57CCC" w:rsidP="00B57CC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B57CC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Dispongan de las mercancías ubicadas en los locales considerados como zona primaria o en los locales del importador según corresponda, sin contar con el levante o sin que se haya dejado sin efecto la medida preventiva dispuesta por la autoridad aduanera, según corresponda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CCC" w:rsidRPr="00B57CCC" w:rsidRDefault="00B57CCC" w:rsidP="00B57C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B57CC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s-ES"/>
              </w:rPr>
              <w:t>Inciso a), Art. 197°</w:t>
            </w:r>
          </w:p>
        </w:tc>
      </w:tr>
      <w:tr w:rsidR="00B57CCC" w:rsidRPr="00B57CCC" w:rsidTr="00F75F45">
        <w:trPr>
          <w:trHeight w:val="393"/>
        </w:trPr>
        <w:tc>
          <w:tcPr>
            <w:tcW w:w="7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CCC" w:rsidRPr="00B57CCC" w:rsidRDefault="00B57CCC" w:rsidP="00B57CC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B57CC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Se detecte su ingreso, traslado, permanencia o salida por lugares, ruta u hora no autorizados; o se encuentren en zona primaria y se desconoce al consignatario.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CCC" w:rsidRPr="00B57CCC" w:rsidRDefault="00B57CCC" w:rsidP="00B57C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B57CC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s-ES"/>
              </w:rPr>
              <w:t>Inciso f), Art. 197°</w:t>
            </w:r>
          </w:p>
        </w:tc>
      </w:tr>
    </w:tbl>
    <w:p w:rsidR="00B57CCC" w:rsidRPr="007C3CF5" w:rsidRDefault="00B57CCC" w:rsidP="007C3CF5">
      <w:pPr>
        <w:spacing w:after="0" w:line="240" w:lineRule="auto"/>
        <w:jc w:val="both"/>
        <w:rPr>
          <w:rFonts w:ascii="Arial" w:hAnsi="Arial" w:cs="Arial"/>
          <w:color w:val="000000"/>
          <w:sz w:val="16"/>
        </w:rPr>
      </w:pPr>
    </w:p>
    <w:p w:rsidR="00714424" w:rsidRPr="002653F5" w:rsidRDefault="007C3CF5" w:rsidP="007C3CF5">
      <w:pPr>
        <w:spacing w:after="0" w:line="240" w:lineRule="auto"/>
        <w:jc w:val="both"/>
        <w:rPr>
          <w:b/>
          <w:i/>
          <w:sz w:val="20"/>
          <w:szCs w:val="20"/>
        </w:rPr>
      </w:pPr>
      <w:r w:rsidRPr="002653F5">
        <w:rPr>
          <w:b/>
          <w:sz w:val="16"/>
        </w:rPr>
        <w:t xml:space="preserve">(*) </w:t>
      </w:r>
      <w:r w:rsidRPr="002653F5">
        <w:rPr>
          <w:b/>
          <w:i/>
          <w:sz w:val="20"/>
          <w:szCs w:val="20"/>
        </w:rPr>
        <w:t xml:space="preserve">Se encuentra pendiente </w:t>
      </w:r>
      <w:r w:rsidR="002653F5" w:rsidRPr="002653F5">
        <w:rPr>
          <w:b/>
          <w:i/>
          <w:sz w:val="20"/>
          <w:szCs w:val="20"/>
        </w:rPr>
        <w:t>incluir</w:t>
      </w:r>
      <w:r w:rsidRPr="002653F5">
        <w:rPr>
          <w:b/>
          <w:i/>
          <w:sz w:val="20"/>
          <w:szCs w:val="20"/>
        </w:rPr>
        <w:t xml:space="preserve"> en la presente propuesta las sanciones de multa que anteriormente eran sancionadas con suspensión, identifi</w:t>
      </w:r>
      <w:r w:rsidR="00F75F45" w:rsidRPr="002653F5">
        <w:rPr>
          <w:b/>
          <w:i/>
          <w:sz w:val="20"/>
          <w:szCs w:val="20"/>
        </w:rPr>
        <w:t>cando las que revistan mayor gravedad,</w:t>
      </w:r>
      <w:r w:rsidRPr="002653F5">
        <w:rPr>
          <w:b/>
          <w:i/>
          <w:sz w:val="20"/>
          <w:szCs w:val="20"/>
        </w:rPr>
        <w:t xml:space="preserve"> conforme </w:t>
      </w:r>
      <w:r w:rsidR="00F75F45" w:rsidRPr="002653F5">
        <w:rPr>
          <w:b/>
          <w:i/>
          <w:sz w:val="20"/>
          <w:szCs w:val="20"/>
        </w:rPr>
        <w:t xml:space="preserve">sea determinado en </w:t>
      </w:r>
      <w:r w:rsidR="002653F5">
        <w:rPr>
          <w:b/>
          <w:i/>
          <w:sz w:val="20"/>
          <w:szCs w:val="20"/>
        </w:rPr>
        <w:t>la nueva Tabla de S</w:t>
      </w:r>
      <w:r w:rsidRPr="002653F5">
        <w:rPr>
          <w:b/>
          <w:i/>
          <w:sz w:val="20"/>
          <w:szCs w:val="20"/>
        </w:rPr>
        <w:t>anciones que se encuentra</w:t>
      </w:r>
      <w:r w:rsidR="00A92E7E" w:rsidRPr="002653F5">
        <w:rPr>
          <w:b/>
          <w:i/>
          <w:sz w:val="20"/>
          <w:szCs w:val="20"/>
        </w:rPr>
        <w:t xml:space="preserve"> a la fecha</w:t>
      </w:r>
      <w:r w:rsidRPr="002653F5">
        <w:rPr>
          <w:b/>
          <w:i/>
          <w:sz w:val="20"/>
          <w:szCs w:val="20"/>
        </w:rPr>
        <w:t xml:space="preserve"> en desarrollo</w:t>
      </w:r>
      <w:r w:rsidR="00A92E7E" w:rsidRPr="002653F5">
        <w:rPr>
          <w:b/>
          <w:i/>
          <w:sz w:val="20"/>
          <w:szCs w:val="20"/>
        </w:rPr>
        <w:t xml:space="preserve"> y </w:t>
      </w:r>
      <w:r w:rsidR="002653F5" w:rsidRPr="002653F5">
        <w:rPr>
          <w:b/>
          <w:i/>
          <w:sz w:val="20"/>
          <w:szCs w:val="20"/>
        </w:rPr>
        <w:t xml:space="preserve">aún </w:t>
      </w:r>
      <w:r w:rsidR="00A92E7E" w:rsidRPr="002653F5">
        <w:rPr>
          <w:b/>
          <w:i/>
          <w:sz w:val="20"/>
          <w:szCs w:val="20"/>
        </w:rPr>
        <w:t xml:space="preserve">pendiente de </w:t>
      </w:r>
      <w:r w:rsidR="002653F5" w:rsidRPr="002653F5">
        <w:rPr>
          <w:b/>
          <w:i/>
          <w:sz w:val="20"/>
          <w:szCs w:val="20"/>
        </w:rPr>
        <w:t>aprobación</w:t>
      </w:r>
      <w:r w:rsidRPr="002653F5">
        <w:rPr>
          <w:b/>
          <w:i/>
          <w:sz w:val="20"/>
          <w:szCs w:val="20"/>
        </w:rPr>
        <w:t>.</w:t>
      </w:r>
    </w:p>
    <w:sectPr w:rsidR="00714424" w:rsidRPr="002653F5" w:rsidSect="009650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424"/>
    <w:rsid w:val="001C1A54"/>
    <w:rsid w:val="002024EB"/>
    <w:rsid w:val="002653F5"/>
    <w:rsid w:val="00290416"/>
    <w:rsid w:val="00714424"/>
    <w:rsid w:val="007C3CF5"/>
    <w:rsid w:val="00965061"/>
    <w:rsid w:val="00A92E7E"/>
    <w:rsid w:val="00B23DB0"/>
    <w:rsid w:val="00B57CCC"/>
    <w:rsid w:val="00BB14E2"/>
    <w:rsid w:val="00BD50D1"/>
    <w:rsid w:val="00D42E51"/>
    <w:rsid w:val="00F7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14424"/>
    <w:pPr>
      <w:ind w:left="720"/>
      <w:contextualSpacing/>
    </w:pPr>
    <w:rPr>
      <w:rFonts w:ascii="Calibri" w:eastAsia="Calibri" w:hAnsi="Calibri" w:cs="Times New Roman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14424"/>
    <w:pPr>
      <w:ind w:left="720"/>
      <w:contextualSpacing/>
    </w:pPr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5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537</Words>
  <Characters>2959</Characters>
  <Application>Microsoft Office Word</Application>
  <DocSecurity>4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Guiuliana Pérez Checalla</dc:creator>
  <cp:lastModifiedBy>AMANTILL</cp:lastModifiedBy>
  <cp:revision>2</cp:revision>
  <dcterms:created xsi:type="dcterms:W3CDTF">2016-03-22T14:10:00Z</dcterms:created>
  <dcterms:modified xsi:type="dcterms:W3CDTF">2016-03-22T14:10:00Z</dcterms:modified>
</cp:coreProperties>
</file>