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630" w:rsidRPr="00CE4A58" w:rsidRDefault="00A77630" w:rsidP="00A77630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1"/>
          <w:szCs w:val="21"/>
        </w:rPr>
      </w:pPr>
      <w:proofErr w:type="spellStart"/>
      <w:r w:rsidRPr="00CE4A58">
        <w:rPr>
          <w:rFonts w:cs="Arial"/>
          <w:b/>
          <w:sz w:val="21"/>
          <w:szCs w:val="21"/>
        </w:rPr>
        <w:t>N°</w:t>
      </w:r>
      <w:proofErr w:type="spellEnd"/>
      <w:r w:rsidRPr="00CE4A58">
        <w:rPr>
          <w:rFonts w:cs="Arial"/>
          <w:b/>
          <w:sz w:val="21"/>
          <w:szCs w:val="21"/>
        </w:rPr>
        <w:t xml:space="preserve">                 -2019/SUNAT</w:t>
      </w:r>
    </w:p>
    <w:p w:rsidR="00A77630" w:rsidRPr="00CE4A58" w:rsidRDefault="00A77630" w:rsidP="00A77630">
      <w:pPr>
        <w:jc w:val="center"/>
        <w:rPr>
          <w:rFonts w:ascii="Arial" w:hAnsi="Arial" w:cs="Arial"/>
          <w:sz w:val="21"/>
          <w:szCs w:val="21"/>
          <w:lang w:val="es-PE"/>
        </w:rPr>
      </w:pPr>
    </w:p>
    <w:p w:rsidR="00A77630" w:rsidRPr="00CE4A58" w:rsidRDefault="00A77630" w:rsidP="00A77630">
      <w:pPr>
        <w:pStyle w:val="Ttulo1"/>
        <w:keepNext w:val="0"/>
        <w:rPr>
          <w:rFonts w:cs="Arial"/>
          <w:b/>
          <w:color w:val="auto"/>
          <w:sz w:val="21"/>
          <w:szCs w:val="21"/>
          <w:u w:val="none"/>
        </w:rPr>
      </w:pPr>
      <w:bookmarkStart w:id="0" w:name="_Hlk3989495"/>
      <w:r w:rsidRPr="00CE4A58">
        <w:rPr>
          <w:rFonts w:cs="Arial"/>
          <w:b/>
          <w:color w:val="auto"/>
          <w:sz w:val="21"/>
          <w:szCs w:val="21"/>
          <w:u w:val="none"/>
        </w:rPr>
        <w:t xml:space="preserve">APRUEBAN EL PROCEDIMIENTO GENERAL </w:t>
      </w:r>
    </w:p>
    <w:p w:rsidR="00A77630" w:rsidRPr="00CE4A58" w:rsidRDefault="00A77630" w:rsidP="00A77630">
      <w:pPr>
        <w:pStyle w:val="Ttulo1"/>
        <w:keepNext w:val="0"/>
        <w:rPr>
          <w:rFonts w:cs="Arial"/>
          <w:b/>
          <w:color w:val="auto"/>
          <w:sz w:val="21"/>
          <w:szCs w:val="21"/>
          <w:u w:val="none"/>
        </w:rPr>
      </w:pPr>
      <w:r w:rsidRPr="00CE4A58">
        <w:rPr>
          <w:rFonts w:cs="Arial"/>
          <w:b/>
          <w:color w:val="auto"/>
          <w:sz w:val="21"/>
          <w:szCs w:val="21"/>
          <w:u w:val="none"/>
        </w:rPr>
        <w:t xml:space="preserve">“EXPORTACIÓN DEFINITIVA”, </w:t>
      </w:r>
      <w:r w:rsidRPr="00CE4A58">
        <w:rPr>
          <w:rFonts w:cs="Arial"/>
          <w:b/>
          <w:sz w:val="21"/>
          <w:szCs w:val="21"/>
          <w:u w:val="none"/>
        </w:rPr>
        <w:t>DESPA-PG.02</w:t>
      </w:r>
      <w:r w:rsidRPr="00CE4A58">
        <w:rPr>
          <w:rFonts w:cs="Arial"/>
          <w:b/>
          <w:color w:val="auto"/>
          <w:sz w:val="21"/>
          <w:szCs w:val="21"/>
          <w:u w:val="none"/>
        </w:rPr>
        <w:t xml:space="preserve"> </w:t>
      </w:r>
      <w:bookmarkEnd w:id="0"/>
      <w:r w:rsidRPr="00CE4A58">
        <w:rPr>
          <w:rFonts w:cs="Arial"/>
          <w:b/>
          <w:color w:val="auto"/>
          <w:sz w:val="21"/>
          <w:szCs w:val="21"/>
          <w:u w:val="none"/>
        </w:rPr>
        <w:t xml:space="preserve">(VERSION 7) </w:t>
      </w:r>
    </w:p>
    <w:p w:rsidR="00A77630" w:rsidRPr="00CE4A58" w:rsidRDefault="00A77630" w:rsidP="00A77630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1"/>
          <w:szCs w:val="21"/>
        </w:rPr>
      </w:pPr>
    </w:p>
    <w:p w:rsidR="00A77630" w:rsidRPr="00CE4A58" w:rsidRDefault="00A77630" w:rsidP="00A77630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1"/>
          <w:szCs w:val="21"/>
        </w:rPr>
      </w:pPr>
      <w:r w:rsidRPr="00CE4A58">
        <w:rPr>
          <w:rFonts w:ascii="Arial" w:hAnsi="Arial" w:cs="Arial"/>
          <w:bCs/>
          <w:sz w:val="21"/>
          <w:szCs w:val="21"/>
        </w:rPr>
        <w:t xml:space="preserve">Lima, </w:t>
      </w:r>
    </w:p>
    <w:p w:rsidR="00A77630" w:rsidRPr="00CE4A58" w:rsidRDefault="00A77630" w:rsidP="00A77630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1"/>
          <w:szCs w:val="21"/>
        </w:rPr>
      </w:pPr>
    </w:p>
    <w:p w:rsidR="00A77630" w:rsidRPr="00CE4A58" w:rsidRDefault="00A77630" w:rsidP="00A77630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1"/>
          <w:szCs w:val="21"/>
        </w:rPr>
      </w:pPr>
      <w:r w:rsidRPr="00CE4A58">
        <w:rPr>
          <w:rFonts w:ascii="Arial" w:hAnsi="Arial" w:cs="Arial"/>
          <w:b/>
          <w:sz w:val="21"/>
          <w:szCs w:val="21"/>
        </w:rPr>
        <w:t>CONSIDERANDO:</w:t>
      </w:r>
    </w:p>
    <w:p w:rsidR="00A77630" w:rsidRPr="00CE4A58" w:rsidRDefault="00A77630" w:rsidP="00A77630">
      <w:pPr>
        <w:pStyle w:val="Ttulo1"/>
        <w:keepNext w:val="0"/>
        <w:jc w:val="both"/>
        <w:rPr>
          <w:rFonts w:cs="Arial"/>
          <w:color w:val="auto"/>
          <w:sz w:val="21"/>
          <w:szCs w:val="21"/>
          <w:u w:val="none"/>
        </w:rPr>
      </w:pPr>
    </w:p>
    <w:p w:rsidR="00A77630" w:rsidRPr="007E1426" w:rsidRDefault="00A77630" w:rsidP="00A77630">
      <w:pPr>
        <w:widowControl w:val="0"/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Que mediante Resolución de Superintendencia Nacional Adjunta de Aduanas </w:t>
      </w:r>
      <w:proofErr w:type="spellStart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137-2009-SUNAT/A se aprobó el procedimiento general “Exportación definitiva”, INTA-PG.02 (versión 6), recodificad</w:t>
      </w:r>
      <w:r w:rsidRPr="004C624D">
        <w:rPr>
          <w:rFonts w:ascii="Arial" w:hAnsi="Arial" w:cs="Arial"/>
          <w:bCs/>
          <w:sz w:val="21"/>
          <w:szCs w:val="21"/>
          <w:lang w:val="es-PE" w:eastAsia="es-PE"/>
        </w:rPr>
        <w:t>o</w:t>
      </w:r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por la Resolución de Intendencia Nacional </w:t>
      </w:r>
      <w:proofErr w:type="spellStart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07-2017-SUNAT/5F0000 como DESPA-PG.02; </w:t>
      </w:r>
    </w:p>
    <w:p w:rsidR="00A77630" w:rsidRPr="007E1426" w:rsidRDefault="00A77630" w:rsidP="00A77630">
      <w:pPr>
        <w:widowControl w:val="0"/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</w:p>
    <w:p w:rsidR="00A77630" w:rsidRDefault="00A77630" w:rsidP="00A77630">
      <w:pPr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  <w:bookmarkStart w:id="1" w:name="_Hlk19290052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Que mediante Decreto Legislativo </w:t>
      </w:r>
      <w:proofErr w:type="spellStart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1433 y Decreto Supremo </w:t>
      </w:r>
      <w:proofErr w:type="spellStart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</w:t>
      </w:r>
      <w:r>
        <w:rPr>
          <w:rFonts w:ascii="Arial" w:hAnsi="Arial" w:cs="Arial"/>
          <w:bCs/>
          <w:sz w:val="21"/>
          <w:szCs w:val="21"/>
          <w:lang w:val="es-PE" w:eastAsia="es-PE"/>
        </w:rPr>
        <w:t>367</w:t>
      </w:r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-2019-EF se modificó la Ley General de Aduanas, Decreto Legislativo N°1053, y </w:t>
      </w:r>
      <w:bookmarkStart w:id="2" w:name="_Hlk11844203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su reglamento, aprobado por Decreto Supremo </w:t>
      </w:r>
      <w:proofErr w:type="spellStart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N°</w:t>
      </w:r>
      <w:proofErr w:type="spellEnd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 010-2009-EF, </w:t>
      </w:r>
      <w:bookmarkEnd w:id="1"/>
      <w:bookmarkEnd w:id="2"/>
      <w:r w:rsidRPr="007E1426">
        <w:rPr>
          <w:rFonts w:ascii="Arial" w:hAnsi="Arial" w:cs="Arial"/>
          <w:bCs/>
          <w:sz w:val="21"/>
          <w:szCs w:val="21"/>
          <w:lang w:val="es-PE" w:eastAsia="es-PE"/>
        </w:rPr>
        <w:t>entre las modificaciones se encuentran algunos artículos referidos al proceso de salida de mercancías;</w:t>
      </w:r>
    </w:p>
    <w:p w:rsidR="00A77630" w:rsidRPr="007E1426" w:rsidRDefault="00A77630" w:rsidP="00A77630">
      <w:pPr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</w:p>
    <w:p w:rsidR="00A77630" w:rsidRPr="007E1426" w:rsidRDefault="00A77630" w:rsidP="00A77630">
      <w:pPr>
        <w:pStyle w:val="Ttulo1"/>
        <w:ind w:right="-1"/>
        <w:jc w:val="both"/>
        <w:rPr>
          <w:rFonts w:cs="Arial"/>
          <w:bCs/>
          <w:color w:val="auto"/>
          <w:sz w:val="21"/>
          <w:szCs w:val="21"/>
          <w:u w:val="none"/>
          <w:lang w:val="es-PE" w:eastAsia="es-PE"/>
        </w:rPr>
      </w:pPr>
      <w:r w:rsidRPr="004C624D">
        <w:rPr>
          <w:rFonts w:cs="Arial"/>
          <w:bCs/>
          <w:sz w:val="21"/>
          <w:szCs w:val="21"/>
          <w:u w:val="none"/>
          <w:lang w:val="es-PE" w:eastAsia="es-PE"/>
        </w:rPr>
        <w:t>Que, en observancia de las citadas modificaciones y como parte de la política institucional de mejora continua del Programa Facilitación Aduanera, Seguridad y Transparencia – FAST,</w:t>
      </w:r>
      <w:r w:rsidRPr="007E1426" w:rsidDel="001C5F86">
        <w:rPr>
          <w:rFonts w:cs="Arial"/>
          <w:bCs/>
          <w:sz w:val="21"/>
          <w:szCs w:val="21"/>
          <w:lang w:val="es-PE" w:eastAsia="es-PE"/>
        </w:rPr>
        <w:t xml:space="preserve"> </w:t>
      </w:r>
      <w:r w:rsidRPr="007E1426">
        <w:rPr>
          <w:rFonts w:cs="Arial"/>
          <w:bCs/>
          <w:color w:val="auto"/>
          <w:sz w:val="21"/>
          <w:szCs w:val="21"/>
          <w:u w:val="none"/>
          <w:lang w:val="es-PE" w:eastAsia="es-PE"/>
        </w:rPr>
        <w:t>se ha rediseñado el proceso de salida de carga del país a través de la plataforma del Sistema de Despacho Aduanero (SDA) a nivel nacional;</w:t>
      </w: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  <w:r w:rsidRPr="007E1426">
        <w:rPr>
          <w:rFonts w:ascii="Arial" w:hAnsi="Arial" w:cs="Arial"/>
          <w:sz w:val="21"/>
          <w:szCs w:val="21"/>
        </w:rPr>
        <w:t xml:space="preserve">Que resulta necesario aprobar una nueva versión del </w:t>
      </w:r>
      <w:r w:rsidRPr="007E1426">
        <w:rPr>
          <w:rFonts w:ascii="Arial" w:hAnsi="Arial" w:cs="Arial"/>
          <w:bCs/>
          <w:sz w:val="21"/>
          <w:szCs w:val="21"/>
          <w:lang w:val="es-PE" w:eastAsia="es-PE"/>
        </w:rPr>
        <w:t xml:space="preserve">procedimiento general “Exportación definitiva”, DESPA-PG.02 (versión 7) a fin de adecuarlo a la normativa vigente e incorporar mejoras en el proceso de salida de mercancías; </w:t>
      </w:r>
    </w:p>
    <w:p w:rsidR="00A77630" w:rsidRPr="007E1426" w:rsidRDefault="00A77630" w:rsidP="00A77630">
      <w:pPr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  <w:lang w:val="es-PE"/>
        </w:rPr>
      </w:pPr>
      <w:r w:rsidRPr="007E1426">
        <w:rPr>
          <w:rFonts w:ascii="Arial" w:hAnsi="Arial" w:cs="Arial"/>
          <w:sz w:val="21"/>
          <w:szCs w:val="21"/>
          <w:lang w:val="es-PE"/>
        </w:rPr>
        <w:t xml:space="preserve">En uso de las atribuciones conferidas por el artículo 5 de la Ley </w:t>
      </w:r>
      <w:proofErr w:type="spellStart"/>
      <w:r w:rsidRPr="007E1426">
        <w:rPr>
          <w:rFonts w:ascii="Arial" w:hAnsi="Arial" w:cs="Arial"/>
          <w:sz w:val="21"/>
          <w:szCs w:val="21"/>
          <w:lang w:val="es-PE"/>
        </w:rPr>
        <w:t>Nº</w:t>
      </w:r>
      <w:proofErr w:type="spellEnd"/>
      <w:r w:rsidRPr="007E1426">
        <w:rPr>
          <w:rFonts w:ascii="Arial" w:hAnsi="Arial" w:cs="Arial"/>
          <w:sz w:val="21"/>
          <w:szCs w:val="21"/>
          <w:lang w:val="es-PE"/>
        </w:rPr>
        <w:t xml:space="preserve"> 29816, Ley de Fortalecimiento de la SUNAT y modificatorias, y el inciso o) del artículo 8 del Reglamento de Organización y Funciones de la SUNAT, aprobado por Resolución de Superintendencia </w:t>
      </w:r>
      <w:proofErr w:type="spellStart"/>
      <w:r w:rsidRPr="007E1426">
        <w:rPr>
          <w:rFonts w:ascii="Arial" w:hAnsi="Arial" w:cs="Arial"/>
          <w:sz w:val="21"/>
          <w:szCs w:val="21"/>
          <w:lang w:val="es-PE"/>
        </w:rPr>
        <w:t>Nº</w:t>
      </w:r>
      <w:proofErr w:type="spellEnd"/>
      <w:r w:rsidRPr="007E1426">
        <w:rPr>
          <w:rFonts w:ascii="Arial" w:hAnsi="Arial" w:cs="Arial"/>
          <w:sz w:val="21"/>
          <w:szCs w:val="21"/>
          <w:lang w:val="es-PE"/>
        </w:rPr>
        <w:t xml:space="preserve"> 122-2014/SUNAT y modificatorias.</w:t>
      </w: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>SE RESUELVE:</w:t>
      </w: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>Artículo 1. Aprobación del procedimiento general “Exportación definitiva”, DESPA-PG.02 (versión 7)</w:t>
      </w: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7E1426">
        <w:rPr>
          <w:rFonts w:ascii="Arial" w:hAnsi="Arial" w:cs="Arial"/>
          <w:sz w:val="21"/>
          <w:szCs w:val="21"/>
        </w:rPr>
        <w:t>Apruébase</w:t>
      </w:r>
      <w:proofErr w:type="spellEnd"/>
      <w:r w:rsidRPr="007E1426">
        <w:rPr>
          <w:rFonts w:ascii="Arial" w:hAnsi="Arial" w:cs="Arial"/>
          <w:sz w:val="21"/>
          <w:szCs w:val="21"/>
        </w:rPr>
        <w:t xml:space="preserve"> el procedimiento general “Exportación definitiva”, DESPA-PG.02 (versión 7), cuyo texto forma parte integrante de la presente resolución.</w:t>
      </w: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>Artículo 2.</w:t>
      </w:r>
      <w:r w:rsidRPr="007E1426">
        <w:rPr>
          <w:rFonts w:ascii="Arial" w:hAnsi="Arial" w:cs="Arial"/>
          <w:sz w:val="21"/>
          <w:szCs w:val="21"/>
        </w:rPr>
        <w:t xml:space="preserve"> </w:t>
      </w:r>
      <w:r w:rsidRPr="007E1426">
        <w:rPr>
          <w:rFonts w:ascii="Arial" w:hAnsi="Arial" w:cs="Arial"/>
          <w:b/>
          <w:sz w:val="21"/>
          <w:szCs w:val="21"/>
        </w:rPr>
        <w:t>Derogación del procedimiento general “Exportación definitiva”, DESPA-PG.02 (versión 6)</w:t>
      </w: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7E1426">
        <w:rPr>
          <w:rFonts w:ascii="Arial" w:hAnsi="Arial" w:cs="Arial"/>
          <w:sz w:val="21"/>
          <w:szCs w:val="21"/>
        </w:rPr>
        <w:t>Derógase</w:t>
      </w:r>
      <w:proofErr w:type="spellEnd"/>
      <w:r w:rsidRPr="007E1426">
        <w:rPr>
          <w:rFonts w:ascii="Arial" w:hAnsi="Arial" w:cs="Arial"/>
          <w:sz w:val="21"/>
          <w:szCs w:val="21"/>
        </w:rPr>
        <w:t xml:space="preserve"> el procedimiento general “Exportación definitiva”, DESPA-PG.02 (versión 6).</w:t>
      </w: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7E1426">
        <w:rPr>
          <w:rFonts w:ascii="Arial" w:hAnsi="Arial" w:cs="Arial"/>
          <w:b/>
          <w:bCs/>
          <w:sz w:val="21"/>
          <w:szCs w:val="21"/>
        </w:rPr>
        <w:t>Artículo 3.</w:t>
      </w:r>
      <w:r w:rsidRPr="007E1426">
        <w:rPr>
          <w:rFonts w:ascii="Arial" w:hAnsi="Arial" w:cs="Arial"/>
          <w:sz w:val="21"/>
          <w:szCs w:val="21"/>
        </w:rPr>
        <w:t xml:space="preserve"> </w:t>
      </w:r>
      <w:r w:rsidRPr="007E1426">
        <w:rPr>
          <w:rFonts w:ascii="Arial" w:hAnsi="Arial" w:cs="Arial"/>
          <w:b/>
          <w:bCs/>
          <w:sz w:val="21"/>
          <w:szCs w:val="21"/>
        </w:rPr>
        <w:t>Modificación del “Instructivo: Declaración Aduanera de Mercancía” DESPA-IT.00.04.</w:t>
      </w: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Dispóngase la inaplicabilidad del instructivo “Declaración Aduanera de Mercancía” DESPA-IT.00.04 (versión 2) al régimen de exportación definitiva.</w:t>
      </w: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>Artículo 4. Vigencia</w:t>
      </w:r>
    </w:p>
    <w:p w:rsidR="00A77630" w:rsidRPr="007E1426" w:rsidRDefault="00A77630" w:rsidP="00A77630">
      <w:pPr>
        <w:ind w:left="426"/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pStyle w:val="Prrafodelista"/>
        <w:numPr>
          <w:ilvl w:val="0"/>
          <w:numId w:val="1"/>
        </w:numPr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1"/>
          <w:szCs w:val="21"/>
          <w:lang w:val="es-ES" w:eastAsia="es-ES"/>
        </w:rPr>
      </w:pPr>
      <w:r w:rsidRPr="007E1426">
        <w:rPr>
          <w:rFonts w:ascii="Arial" w:hAnsi="Arial" w:cs="Arial"/>
          <w:sz w:val="21"/>
          <w:szCs w:val="21"/>
          <w:lang w:val="es-ES" w:eastAsia="es-ES"/>
        </w:rPr>
        <w:t xml:space="preserve">La presente resolución </w:t>
      </w:r>
      <w:proofErr w:type="gramStart"/>
      <w:r w:rsidRPr="007E1426">
        <w:rPr>
          <w:rFonts w:ascii="Arial" w:hAnsi="Arial" w:cs="Arial"/>
          <w:sz w:val="21"/>
          <w:szCs w:val="21"/>
          <w:lang w:val="es-ES" w:eastAsia="es-ES"/>
        </w:rPr>
        <w:t>entra en vigencia</w:t>
      </w:r>
      <w:proofErr w:type="gramEnd"/>
      <w:r w:rsidRPr="007E1426">
        <w:rPr>
          <w:rFonts w:ascii="Arial" w:hAnsi="Arial" w:cs="Arial"/>
          <w:sz w:val="21"/>
          <w:szCs w:val="21"/>
          <w:lang w:val="es-ES" w:eastAsia="es-ES"/>
        </w:rPr>
        <w:t xml:space="preserve"> de acuerdo con el siguiente cronograma: </w:t>
      </w:r>
    </w:p>
    <w:p w:rsidR="00A77630" w:rsidRPr="007E1426" w:rsidRDefault="00A77630" w:rsidP="00A77630">
      <w:pPr>
        <w:pStyle w:val="Prrafodelista"/>
        <w:numPr>
          <w:ilvl w:val="0"/>
          <w:numId w:val="2"/>
        </w:numPr>
        <w:spacing w:before="0" w:beforeAutospacing="0" w:after="0" w:afterAutospacing="0" w:line="252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El 31 de enero de 2020: En la Intendencia de Aduana de Paita.</w:t>
      </w:r>
    </w:p>
    <w:p w:rsidR="00A77630" w:rsidRPr="007E1426" w:rsidRDefault="00A77630" w:rsidP="00A77630">
      <w:pPr>
        <w:pStyle w:val="Prrafodelista"/>
        <w:numPr>
          <w:ilvl w:val="0"/>
          <w:numId w:val="2"/>
        </w:numPr>
        <w:spacing w:before="0" w:beforeAutospacing="0" w:after="0" w:afterAutospacing="0" w:line="252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El 28 de febrero del 2020: En la Intendencia de Aduana Aérea y Postal y en las intendencias de aduana de Chiclayo, Iquitos y Tumbes.</w:t>
      </w:r>
    </w:p>
    <w:p w:rsidR="00A77630" w:rsidRPr="007E1426" w:rsidRDefault="00A77630" w:rsidP="00A77630">
      <w:pPr>
        <w:pStyle w:val="Prrafodelista"/>
        <w:numPr>
          <w:ilvl w:val="0"/>
          <w:numId w:val="2"/>
        </w:numPr>
        <w:spacing w:before="0" w:beforeAutospacing="0" w:after="0" w:afterAutospacing="0" w:line="252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El 31 de marzo del 2020: En las intendencias de aduana de Puno y Tacna.</w:t>
      </w:r>
    </w:p>
    <w:p w:rsidR="00A77630" w:rsidRPr="007E1426" w:rsidRDefault="00A77630" w:rsidP="00A77630">
      <w:pPr>
        <w:pStyle w:val="Prrafodelista"/>
        <w:numPr>
          <w:ilvl w:val="0"/>
          <w:numId w:val="2"/>
        </w:numPr>
        <w:spacing w:before="0" w:beforeAutospacing="0" w:after="0" w:afterAutospacing="0" w:line="252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El 30 de abril del 2020: En la Intendencia de Aduana Marítima del Callao y en las demás intendencias de aduana.</w:t>
      </w:r>
    </w:p>
    <w:p w:rsidR="00A77630" w:rsidRPr="007E1426" w:rsidRDefault="00A77630" w:rsidP="00A77630">
      <w:pPr>
        <w:pStyle w:val="Prrafodelista"/>
        <w:spacing w:before="0" w:beforeAutospacing="0" w:after="0" w:afterAutospacing="0"/>
        <w:ind w:left="786"/>
        <w:contextualSpacing/>
        <w:jc w:val="both"/>
        <w:rPr>
          <w:rFonts w:ascii="Arial" w:hAnsi="Arial" w:cs="Arial"/>
          <w:sz w:val="21"/>
          <w:szCs w:val="21"/>
          <w:lang w:val="es-ES" w:eastAsia="es-ES"/>
        </w:rPr>
      </w:pPr>
    </w:p>
    <w:p w:rsidR="00A77630" w:rsidRPr="007E1426" w:rsidRDefault="00A77630" w:rsidP="00A77630">
      <w:pPr>
        <w:pStyle w:val="Prrafodelista"/>
        <w:numPr>
          <w:ilvl w:val="0"/>
          <w:numId w:val="1"/>
        </w:numPr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1"/>
          <w:szCs w:val="21"/>
          <w:lang w:val="es-ES" w:eastAsia="es-ES"/>
        </w:rPr>
      </w:pPr>
      <w:r w:rsidRPr="007E1426">
        <w:rPr>
          <w:rFonts w:ascii="Arial" w:hAnsi="Arial" w:cs="Arial"/>
          <w:sz w:val="21"/>
          <w:szCs w:val="21"/>
          <w:lang w:val="es-ES" w:eastAsia="es-ES"/>
        </w:rPr>
        <w:t xml:space="preserve">Las normas relativas a la salida de mercancías por aduana distinta a la de numeración de la declaración </w:t>
      </w:r>
      <w:proofErr w:type="gramStart"/>
      <w:r w:rsidRPr="007E1426">
        <w:rPr>
          <w:rFonts w:ascii="Arial" w:hAnsi="Arial" w:cs="Arial"/>
          <w:sz w:val="21"/>
          <w:szCs w:val="21"/>
          <w:lang w:val="es-ES" w:eastAsia="es-ES"/>
        </w:rPr>
        <w:t>entran en vigencia</w:t>
      </w:r>
      <w:proofErr w:type="gramEnd"/>
      <w:r w:rsidRPr="007E1426">
        <w:rPr>
          <w:rFonts w:ascii="Arial" w:hAnsi="Arial" w:cs="Arial"/>
          <w:sz w:val="21"/>
          <w:szCs w:val="21"/>
          <w:lang w:val="es-ES" w:eastAsia="es-ES"/>
        </w:rPr>
        <w:t xml:space="preserve"> el </w:t>
      </w:r>
      <w:r w:rsidRPr="007E1426">
        <w:rPr>
          <w:rFonts w:ascii="Arial" w:hAnsi="Arial" w:cs="Arial"/>
          <w:sz w:val="21"/>
          <w:szCs w:val="21"/>
        </w:rPr>
        <w:t>30 de abril del 2020</w:t>
      </w:r>
      <w:r w:rsidRPr="007E1426">
        <w:rPr>
          <w:rFonts w:ascii="Arial" w:hAnsi="Arial" w:cs="Arial"/>
          <w:sz w:val="21"/>
          <w:szCs w:val="21"/>
          <w:lang w:val="es-ES" w:eastAsia="es-ES"/>
        </w:rPr>
        <w:t>.</w:t>
      </w:r>
    </w:p>
    <w:p w:rsidR="00A77630" w:rsidRPr="007E1426" w:rsidRDefault="00A77630" w:rsidP="00A77630">
      <w:pPr>
        <w:pStyle w:val="Prrafodelista"/>
        <w:spacing w:before="0" w:beforeAutospacing="0" w:after="0" w:afterAutospacing="0"/>
        <w:ind w:left="284"/>
        <w:contextualSpacing/>
        <w:jc w:val="both"/>
        <w:rPr>
          <w:rFonts w:ascii="Arial" w:hAnsi="Arial" w:cs="Arial"/>
          <w:sz w:val="21"/>
          <w:szCs w:val="21"/>
          <w:lang w:val="es-ES" w:eastAsia="es-ES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A77630" w:rsidRPr="007E1426" w:rsidRDefault="00A77630" w:rsidP="00A77630">
      <w:pPr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>DISPOSICIÓN COMPLEMENTARIA TRANSITORIA</w:t>
      </w:r>
    </w:p>
    <w:p w:rsidR="00A77630" w:rsidRPr="007E1426" w:rsidRDefault="00A77630" w:rsidP="00A77630">
      <w:pPr>
        <w:contextualSpacing/>
        <w:jc w:val="both"/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contextualSpacing/>
        <w:jc w:val="both"/>
        <w:rPr>
          <w:rFonts w:ascii="Arial" w:hAnsi="Arial" w:cs="Arial"/>
          <w:b/>
          <w:sz w:val="21"/>
          <w:szCs w:val="21"/>
        </w:rPr>
      </w:pPr>
      <w:r w:rsidRPr="007E1426">
        <w:rPr>
          <w:rFonts w:ascii="Arial" w:hAnsi="Arial" w:cs="Arial"/>
          <w:b/>
          <w:sz w:val="21"/>
          <w:szCs w:val="21"/>
        </w:rPr>
        <w:t xml:space="preserve">Única. Conclusión del trámite de despacho </w:t>
      </w:r>
    </w:p>
    <w:p w:rsidR="00A77630" w:rsidRPr="007E1426" w:rsidRDefault="00A77630" w:rsidP="00A77630">
      <w:pPr>
        <w:contextualSpacing/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Las declaraciones aduaneras de mercancías numeradas con el procedimiento general “Exportación definitiva”, DESPA-PG.02 (versión 6) y el instructivo “Declaración Aduanera de Mercancía” DESPA-IT.00.04 (versión 2), continuarán su trámite al amparo de estos.</w:t>
      </w: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rPr>
          <w:rFonts w:ascii="Arial" w:hAnsi="Arial" w:cs="Arial"/>
          <w:b/>
          <w:sz w:val="21"/>
          <w:szCs w:val="21"/>
        </w:rPr>
      </w:pPr>
    </w:p>
    <w:p w:rsidR="00A77630" w:rsidRPr="007E1426" w:rsidRDefault="00A77630" w:rsidP="00A77630">
      <w:pPr>
        <w:jc w:val="both"/>
        <w:rPr>
          <w:rFonts w:ascii="Arial" w:hAnsi="Arial" w:cs="Arial"/>
          <w:sz w:val="21"/>
          <w:szCs w:val="21"/>
        </w:rPr>
      </w:pPr>
      <w:r w:rsidRPr="007E1426">
        <w:rPr>
          <w:rFonts w:ascii="Arial" w:hAnsi="Arial" w:cs="Arial"/>
          <w:sz w:val="21"/>
          <w:szCs w:val="21"/>
        </w:rPr>
        <w:t>Regístrese, comuníquese y publíquese.</w:t>
      </w:r>
    </w:p>
    <w:p w:rsidR="00A77630" w:rsidRPr="00CE4A58" w:rsidRDefault="00A77630" w:rsidP="00A77630">
      <w:pPr>
        <w:rPr>
          <w:rFonts w:ascii="Arial" w:hAnsi="Arial" w:cs="Arial"/>
          <w:sz w:val="21"/>
          <w:szCs w:val="21"/>
        </w:rPr>
      </w:pPr>
    </w:p>
    <w:p w:rsidR="00AF5321" w:rsidRDefault="00FE1680">
      <w:bookmarkStart w:id="3" w:name="_GoBack"/>
      <w:bookmarkEnd w:id="3"/>
    </w:p>
    <w:sectPr w:rsidR="00AF5321" w:rsidSect="00317E84">
      <w:pgSz w:w="11907" w:h="16840" w:code="9"/>
      <w:pgMar w:top="4536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E6A9C"/>
    <w:multiLevelType w:val="hybridMultilevel"/>
    <w:tmpl w:val="79A405FC"/>
    <w:lvl w:ilvl="0" w:tplc="280A0017">
      <w:start w:val="1"/>
      <w:numFmt w:val="lowerLetter"/>
      <w:lvlText w:val="%1)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DBF754E"/>
    <w:multiLevelType w:val="hybridMultilevel"/>
    <w:tmpl w:val="015EC676"/>
    <w:lvl w:ilvl="0" w:tplc="280A000F">
      <w:start w:val="1"/>
      <w:numFmt w:val="decimal"/>
      <w:lvlText w:val="%1.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30"/>
    <w:rsid w:val="000C3D13"/>
    <w:rsid w:val="00742AEA"/>
    <w:rsid w:val="00A77630"/>
    <w:rsid w:val="00FE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AB441-978F-4B3C-8305-4214B435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7630"/>
    <w:pPr>
      <w:keepNext/>
      <w:jc w:val="center"/>
      <w:outlineLvl w:val="0"/>
    </w:pPr>
    <w:rPr>
      <w:rFonts w:ascii="Arial" w:hAnsi="Arial"/>
      <w:color w:val="00000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77630"/>
    <w:rPr>
      <w:rFonts w:ascii="Arial" w:eastAsia="Times New Roman" w:hAnsi="Arial" w:cs="Times New Roman"/>
      <w:color w:val="000000"/>
      <w:sz w:val="24"/>
      <w:szCs w:val="20"/>
      <w:u w:val="single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rsid w:val="00A77630"/>
    <w:pPr>
      <w:tabs>
        <w:tab w:val="num" w:pos="1190"/>
        <w:tab w:val="left" w:pos="1980"/>
      </w:tabs>
      <w:autoSpaceDE w:val="0"/>
      <w:autoSpaceDN w:val="0"/>
      <w:adjustRightInd w:val="0"/>
      <w:ind w:right="57"/>
      <w:jc w:val="both"/>
    </w:pPr>
    <w:rPr>
      <w:rFonts w:ascii="Arial" w:hAnsi="Aria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77630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rrafodelista">
    <w:name w:val="List Paragraph"/>
    <w:aliases w:val="Titulo parrafo,Titulo de Fígura,TITULO A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A77630"/>
    <w:pPr>
      <w:spacing w:before="100" w:beforeAutospacing="1" w:after="100" w:afterAutospacing="1"/>
    </w:pPr>
    <w:rPr>
      <w:lang w:val="es-PE" w:eastAsia="es-PE"/>
    </w:rPr>
  </w:style>
  <w:style w:type="character" w:customStyle="1" w:styleId="PrrafodelistaCar">
    <w:name w:val="Párrafo de lista Car"/>
    <w:aliases w:val="Titulo parrafo Car,Titulo de Fígura Car,TITULO A Car,Ha Car,3 Car,Iz - Párrafo de lista Car,Sivsa Parrafo Car,Fundamentacion Car,Number List 1 Car,Dot pt Car,No Spacing1 Car,List Paragraph Char Char Char Car,Indicator Text Car"/>
    <w:basedOn w:val="Fuentedeprrafopredeter"/>
    <w:link w:val="Prrafodelista"/>
    <w:uiPriority w:val="34"/>
    <w:rsid w:val="00A77630"/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Bayeto Salinas Patricia Gisella</dc:creator>
  <cp:keywords/>
  <dc:description/>
  <cp:lastModifiedBy>Bayeto Salinas Patricia Gisella</cp:lastModifiedBy>
  <cp:revision>2</cp:revision>
  <dcterms:created xsi:type="dcterms:W3CDTF">2019-12-09T20:23:00Z</dcterms:created>
  <dcterms:modified xsi:type="dcterms:W3CDTF">2019-12-09T20:23:00Z</dcterms:modified>
</cp:coreProperties>
</file>