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846" w:rsidRPr="004E7132" w:rsidRDefault="008B1846" w:rsidP="008B1846">
      <w:pPr>
        <w:autoSpaceDE w:val="0"/>
        <w:autoSpaceDN w:val="0"/>
        <w:adjustRightInd w:val="0"/>
        <w:spacing w:after="0" w:line="240" w:lineRule="auto"/>
        <w:jc w:val="center"/>
        <w:rPr>
          <w:rFonts w:ascii="Arial" w:eastAsia="Calibri" w:hAnsi="Arial" w:cs="Arial"/>
          <w:b/>
          <w:bCs/>
          <w:color w:val="000000"/>
          <w:lang w:val="es-PE" w:eastAsia="es-PE"/>
        </w:rPr>
      </w:pPr>
      <w:bookmarkStart w:id="0" w:name="_GoBack"/>
      <w:bookmarkEnd w:id="0"/>
      <w:r w:rsidRPr="004E7132">
        <w:rPr>
          <w:rFonts w:ascii="Arial" w:eastAsia="Calibri" w:hAnsi="Arial" w:cs="Arial"/>
          <w:b/>
          <w:bCs/>
          <w:color w:val="000000"/>
          <w:lang w:val="es-PE" w:eastAsia="es-PE"/>
        </w:rPr>
        <w:t>N.°</w:t>
      </w:r>
      <w:r>
        <w:rPr>
          <w:rFonts w:ascii="Arial" w:eastAsia="Calibri" w:hAnsi="Arial" w:cs="Arial"/>
          <w:b/>
          <w:bCs/>
          <w:color w:val="000000"/>
          <w:lang w:val="es-PE" w:eastAsia="es-PE"/>
        </w:rPr>
        <w:t xml:space="preserve">               </w:t>
      </w:r>
      <w:r w:rsidRPr="004E7132">
        <w:rPr>
          <w:rFonts w:ascii="Arial" w:eastAsia="Calibri" w:hAnsi="Arial" w:cs="Arial"/>
          <w:b/>
          <w:bCs/>
          <w:color w:val="000000"/>
          <w:lang w:val="es-PE" w:eastAsia="es-PE"/>
        </w:rPr>
        <w:t>-2017/SUNAT</w:t>
      </w:r>
    </w:p>
    <w:p w:rsidR="008B1846" w:rsidRPr="004E7132" w:rsidRDefault="008B1846" w:rsidP="008B1846">
      <w:pPr>
        <w:spacing w:after="0" w:line="240" w:lineRule="auto"/>
        <w:ind w:right="-1"/>
        <w:jc w:val="center"/>
        <w:rPr>
          <w:rFonts w:ascii="Arial" w:hAnsi="Arial" w:cs="Arial"/>
          <w:b/>
          <w:color w:val="000000" w:themeColor="text1"/>
          <w:lang w:val="es-ES_tradnl"/>
        </w:rPr>
      </w:pPr>
    </w:p>
    <w:p w:rsidR="008B1846" w:rsidRPr="004E7132" w:rsidRDefault="008B1846" w:rsidP="008B1846">
      <w:pPr>
        <w:spacing w:after="0" w:line="240" w:lineRule="auto"/>
        <w:ind w:right="-1"/>
        <w:jc w:val="center"/>
        <w:rPr>
          <w:rFonts w:ascii="Arial" w:hAnsi="Arial" w:cs="Arial"/>
          <w:b/>
          <w:color w:val="000000" w:themeColor="text1"/>
          <w:lang w:val="es-ES_tradnl"/>
        </w:rPr>
      </w:pPr>
      <w:r>
        <w:rPr>
          <w:rFonts w:ascii="Arial" w:hAnsi="Arial" w:cs="Arial"/>
          <w:b/>
          <w:color w:val="000000" w:themeColor="text1"/>
          <w:lang w:val="es-ES_tradnl"/>
        </w:rPr>
        <w:t xml:space="preserve">PROYECTO DE RESOLUCIÓN DE SUPERINTENDENCIA QUE APRUEBA </w:t>
      </w:r>
      <w:r w:rsidRPr="004E7132">
        <w:rPr>
          <w:rFonts w:ascii="Arial" w:hAnsi="Arial" w:cs="Arial"/>
          <w:b/>
          <w:color w:val="000000" w:themeColor="text1"/>
          <w:lang w:val="es-ES_tradnl"/>
        </w:rPr>
        <w:t>NORMAS PARA LA PRESENTACIÓN DE LA DECLARACIÓN JURADA INFORMATIVA REPORTE LOCAL (FORMULARIO VIRTUAL N.° 3560)</w:t>
      </w:r>
    </w:p>
    <w:p w:rsidR="008B1846" w:rsidRPr="004E7132" w:rsidRDefault="008B1846" w:rsidP="008B1846">
      <w:pPr>
        <w:autoSpaceDE w:val="0"/>
        <w:autoSpaceDN w:val="0"/>
        <w:adjustRightInd w:val="0"/>
        <w:spacing w:after="0" w:line="240" w:lineRule="auto"/>
        <w:jc w:val="both"/>
        <w:rPr>
          <w:rFonts w:ascii="Arial" w:eastAsia="Calibri" w:hAnsi="Arial" w:cs="Arial"/>
          <w:color w:val="000000"/>
          <w:lang w:val="es-ES_tradnl" w:eastAsia="es-PE"/>
        </w:rPr>
      </w:pPr>
    </w:p>
    <w:p w:rsidR="008B1846" w:rsidRPr="004E7132" w:rsidRDefault="008B1846" w:rsidP="008B1846">
      <w:pPr>
        <w:autoSpaceDE w:val="0"/>
        <w:autoSpaceDN w:val="0"/>
        <w:adjustRightInd w:val="0"/>
        <w:spacing w:after="0" w:line="240" w:lineRule="auto"/>
        <w:jc w:val="both"/>
        <w:rPr>
          <w:rFonts w:ascii="Arial" w:eastAsia="Calibri" w:hAnsi="Arial" w:cs="Arial"/>
          <w:color w:val="000000"/>
          <w:lang w:val="es-ES_tradnl" w:eastAsia="es-PE"/>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 xml:space="preserve">Lima, </w:t>
      </w:r>
    </w:p>
    <w:p w:rsidR="008B1846" w:rsidRPr="004E7132" w:rsidRDefault="008B1846" w:rsidP="008B1846">
      <w:pPr>
        <w:spacing w:after="0" w:line="240" w:lineRule="auto"/>
        <w:ind w:right="-1"/>
        <w:jc w:val="both"/>
        <w:rPr>
          <w:rFonts w:ascii="Arial" w:hAnsi="Arial" w:cs="Arial"/>
          <w:b/>
          <w:color w:val="000000" w:themeColor="text1"/>
          <w:lang w:val="es-ES_tradnl"/>
        </w:rPr>
      </w:pPr>
    </w:p>
    <w:p w:rsidR="008B1846" w:rsidRPr="004E7132" w:rsidRDefault="008B1846" w:rsidP="008B1846">
      <w:pPr>
        <w:spacing w:after="0" w:line="240" w:lineRule="auto"/>
        <w:ind w:right="-1"/>
        <w:jc w:val="both"/>
        <w:rPr>
          <w:rFonts w:ascii="Arial" w:hAnsi="Arial" w:cs="Arial"/>
          <w:b/>
          <w:color w:val="000000" w:themeColor="text1"/>
          <w:lang w:val="es-ES_tradnl"/>
        </w:rPr>
      </w:pPr>
      <w:r w:rsidRPr="004E7132">
        <w:rPr>
          <w:rFonts w:ascii="Arial" w:hAnsi="Arial" w:cs="Arial"/>
          <w:b/>
          <w:color w:val="000000" w:themeColor="text1"/>
          <w:lang w:val="es-ES_tradnl"/>
        </w:rPr>
        <w:t xml:space="preserve">CONSIDERANDO: </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 xml:space="preserve">Que el Decreto Legislativo N.° 1312 modificó el </w:t>
      </w:r>
      <w:r w:rsidRPr="004E7132">
        <w:rPr>
          <w:rFonts w:ascii="Arial" w:hAnsi="Arial" w:cs="Arial"/>
          <w:color w:val="000000"/>
          <w:shd w:val="clear" w:color="auto" w:fill="FFFFFF"/>
        </w:rPr>
        <w:t xml:space="preserve">inciso g) del artículo 32-A de la Ley del Impuesto a la Renta, cuyo </w:t>
      </w:r>
      <w:r w:rsidRPr="004E7132">
        <w:rPr>
          <w:rFonts w:ascii="Arial" w:hAnsi="Arial" w:cs="Arial"/>
        </w:rPr>
        <w:t xml:space="preserve">Texto Único Ordenado (TUO) fue aprobado por </w:t>
      </w:r>
      <w:r>
        <w:rPr>
          <w:rFonts w:ascii="Arial" w:hAnsi="Arial" w:cs="Arial"/>
        </w:rPr>
        <w:t xml:space="preserve">el </w:t>
      </w:r>
      <w:r w:rsidRPr="004E7132">
        <w:rPr>
          <w:rFonts w:ascii="Arial" w:hAnsi="Arial" w:cs="Arial"/>
        </w:rPr>
        <w:t>Decreto Supremo N.° 179-2004-EF y normas modificatorias</w:t>
      </w:r>
      <w:r w:rsidRPr="004E7132">
        <w:rPr>
          <w:rFonts w:ascii="Arial" w:hAnsi="Arial" w:cs="Arial"/>
          <w:color w:val="000000" w:themeColor="text1"/>
          <w:lang w:val="es-ES_tradnl"/>
        </w:rPr>
        <w:t>, estableciéndose a partir del año 2017 para aquellos contribuyentes sujetos a las normas de precios de transferencia, cuyos ingresos devengados en el ejercicio gravable superen las dos mil trescientas (2</w:t>
      </w:r>
      <w:r w:rsidR="00030C11">
        <w:rPr>
          <w:rFonts w:ascii="Arial" w:hAnsi="Arial" w:cs="Arial"/>
          <w:color w:val="000000" w:themeColor="text1"/>
          <w:lang w:val="es-ES_tradnl"/>
        </w:rPr>
        <w:t xml:space="preserve"> </w:t>
      </w:r>
      <w:r w:rsidRPr="004E7132">
        <w:rPr>
          <w:rFonts w:ascii="Arial" w:hAnsi="Arial" w:cs="Arial"/>
          <w:color w:val="000000" w:themeColor="text1"/>
          <w:lang w:val="es-ES_tradnl"/>
        </w:rPr>
        <w:t>300) Unidades Impositivas Tributarias (UIT), la obligación de presentar anualmente la declaración jurada informativa Reporte Local respecto de las transacciones que generen rentas gravadas y/o costos o gastos deducibles para la determinación del impuesto</w:t>
      </w:r>
      <w:r>
        <w:rPr>
          <w:rFonts w:ascii="Arial" w:hAnsi="Arial" w:cs="Arial"/>
          <w:color w:val="000000" w:themeColor="text1"/>
          <w:lang w:val="es-ES_tradnl"/>
        </w:rPr>
        <w:t xml:space="preserve"> a la renta</w:t>
      </w:r>
      <w:r w:rsidRPr="004E7132">
        <w:rPr>
          <w:rFonts w:ascii="Arial" w:hAnsi="Arial" w:cs="Arial"/>
          <w:color w:val="000000" w:themeColor="text1"/>
          <w:lang w:val="es-ES_tradnl"/>
        </w:rPr>
        <w:t xml:space="preserve">; </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Del="001C4DA7"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Que, asimismo, el referido inciso dispone que la SUNAT podrá establecer la forma, plazo y condiciones para el cumplimiento de la mencionada obligación, pudiendo exceptuar de esta salvo en los casos en los que el valor de mercado, tratándose de la enajenación de bienes, sea inferior al costo computable;</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Que, por su parte, el inciso a) del artículo</w:t>
      </w:r>
      <w:r>
        <w:rPr>
          <w:rFonts w:ascii="Arial" w:hAnsi="Arial" w:cs="Arial"/>
          <w:color w:val="000000" w:themeColor="text1"/>
          <w:lang w:val="es-ES_tradnl"/>
        </w:rPr>
        <w:t xml:space="preserve"> </w:t>
      </w:r>
      <w:r w:rsidRPr="004E7132">
        <w:rPr>
          <w:rFonts w:ascii="Arial" w:hAnsi="Arial" w:cs="Arial"/>
          <w:color w:val="000000" w:themeColor="text1"/>
          <w:lang w:val="es-ES_tradnl"/>
        </w:rPr>
        <w:t>117 del Reglamento de la Ley del Impuesto a la Renta, aprobado por el Decreto Supremo N.° 122-94-EF y normas modificatorias, detalla la información mínima que debe contener la declaración jurada informativa Reporte Local</w:t>
      </w:r>
      <w:r>
        <w:rPr>
          <w:rFonts w:ascii="Arial" w:hAnsi="Arial" w:cs="Arial"/>
          <w:color w:val="000000" w:themeColor="text1"/>
          <w:lang w:val="es-ES_tradnl"/>
        </w:rPr>
        <w:t>,</w:t>
      </w:r>
      <w:r w:rsidRPr="004E7132">
        <w:rPr>
          <w:rFonts w:ascii="Arial" w:hAnsi="Arial" w:cs="Arial"/>
          <w:color w:val="000000" w:themeColor="text1"/>
          <w:lang w:val="es-ES_tradnl"/>
        </w:rPr>
        <w:t xml:space="preserve"> sin perjuicio de l</w:t>
      </w:r>
      <w:r>
        <w:rPr>
          <w:rFonts w:ascii="Arial" w:hAnsi="Arial" w:cs="Arial"/>
          <w:color w:val="000000" w:themeColor="text1"/>
          <w:lang w:val="es-ES_tradnl"/>
        </w:rPr>
        <w:t>o</w:t>
      </w:r>
      <w:r w:rsidRPr="004E7132">
        <w:rPr>
          <w:rFonts w:ascii="Arial" w:hAnsi="Arial" w:cs="Arial"/>
          <w:color w:val="000000" w:themeColor="text1"/>
          <w:lang w:val="es-ES_tradnl"/>
        </w:rPr>
        <w:t xml:space="preserve"> cual la </w:t>
      </w:r>
      <w:r>
        <w:rPr>
          <w:rFonts w:ascii="Arial" w:hAnsi="Arial" w:cs="Arial"/>
          <w:color w:val="000000" w:themeColor="text1"/>
          <w:lang w:val="es-ES_tradnl"/>
        </w:rPr>
        <w:t>t</w:t>
      </w:r>
      <w:r w:rsidRPr="004E7132">
        <w:rPr>
          <w:rFonts w:ascii="Arial" w:hAnsi="Arial" w:cs="Arial"/>
          <w:color w:val="000000" w:themeColor="text1"/>
          <w:lang w:val="es-ES_tradnl"/>
        </w:rPr>
        <w:t xml:space="preserve">ercera </w:t>
      </w:r>
      <w:r>
        <w:rPr>
          <w:rFonts w:ascii="Arial" w:hAnsi="Arial" w:cs="Arial"/>
          <w:color w:val="000000" w:themeColor="text1"/>
          <w:lang w:val="es-ES_tradnl"/>
        </w:rPr>
        <w:t>d</w:t>
      </w:r>
      <w:r w:rsidRPr="004E7132">
        <w:rPr>
          <w:rFonts w:ascii="Arial" w:hAnsi="Arial" w:cs="Arial"/>
          <w:color w:val="000000" w:themeColor="text1"/>
          <w:lang w:val="es-ES_tradnl"/>
        </w:rPr>
        <w:t xml:space="preserve">isposición </w:t>
      </w:r>
      <w:r>
        <w:rPr>
          <w:rFonts w:ascii="Arial" w:hAnsi="Arial" w:cs="Arial"/>
          <w:color w:val="000000" w:themeColor="text1"/>
          <w:lang w:val="es-ES_tradnl"/>
        </w:rPr>
        <w:t>c</w:t>
      </w:r>
      <w:r w:rsidRPr="004E7132">
        <w:rPr>
          <w:rFonts w:ascii="Arial" w:hAnsi="Arial" w:cs="Arial"/>
          <w:color w:val="000000" w:themeColor="text1"/>
          <w:lang w:val="es-ES_tradnl"/>
        </w:rPr>
        <w:t xml:space="preserve">omplementaria </w:t>
      </w:r>
      <w:r>
        <w:rPr>
          <w:rFonts w:ascii="Arial" w:hAnsi="Arial" w:cs="Arial"/>
          <w:color w:val="000000" w:themeColor="text1"/>
          <w:lang w:val="es-ES_tradnl"/>
        </w:rPr>
        <w:t>f</w:t>
      </w:r>
      <w:r w:rsidRPr="004E7132">
        <w:rPr>
          <w:rFonts w:ascii="Arial" w:hAnsi="Arial" w:cs="Arial"/>
          <w:color w:val="000000" w:themeColor="text1"/>
          <w:lang w:val="es-ES_tradnl"/>
        </w:rPr>
        <w:t xml:space="preserve">inal del Decreto Supremo N.° </w:t>
      </w:r>
      <w:r>
        <w:rPr>
          <w:rFonts w:ascii="Arial" w:hAnsi="Arial" w:cs="Arial"/>
          <w:color w:val="000000" w:themeColor="text1"/>
          <w:lang w:val="es-ES_tradnl"/>
        </w:rPr>
        <w:t>333</w:t>
      </w:r>
      <w:r w:rsidRPr="004E7132">
        <w:rPr>
          <w:rFonts w:ascii="Arial" w:hAnsi="Arial" w:cs="Arial"/>
          <w:color w:val="000000" w:themeColor="text1"/>
          <w:lang w:val="es-ES_tradnl"/>
        </w:rPr>
        <w:t xml:space="preserve">-2017-EF ha establecido que la SUNAT podrá indicar qué información de la detallada en dicho inciso deberá contener la declaración jurada informativa Reporte Local que presenten los contribuyentes que aquella determine; </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Que, adicionalmente, la segunda disposición complementaria final y la primera y segunda disposición complementaria transitoria del Decreto Supremo N.° 3</w:t>
      </w:r>
      <w:r>
        <w:rPr>
          <w:rFonts w:ascii="Arial" w:hAnsi="Arial" w:cs="Arial"/>
          <w:color w:val="000000" w:themeColor="text1"/>
          <w:lang w:val="es-ES_tradnl"/>
        </w:rPr>
        <w:t>33</w:t>
      </w:r>
      <w:r w:rsidRPr="004E7132">
        <w:rPr>
          <w:rFonts w:ascii="Arial" w:hAnsi="Arial" w:cs="Arial"/>
          <w:color w:val="000000" w:themeColor="text1"/>
          <w:lang w:val="es-ES_tradnl"/>
        </w:rPr>
        <w:t>-2017-EF señalan que la SUNAT podrá dictar las disposiciones que resulten necesarias para efecto de la presentación de, entre otras, la declaración jurada informativa Reporte Local,</w:t>
      </w:r>
      <w:r>
        <w:rPr>
          <w:rFonts w:ascii="Arial" w:hAnsi="Arial" w:cs="Arial"/>
          <w:color w:val="000000" w:themeColor="text1"/>
          <w:lang w:val="es-ES_tradnl"/>
        </w:rPr>
        <w:t xml:space="preserve"> </w:t>
      </w:r>
      <w:r w:rsidRPr="004E7132">
        <w:rPr>
          <w:rFonts w:ascii="Arial" w:hAnsi="Arial" w:cs="Arial"/>
          <w:color w:val="000000" w:themeColor="text1"/>
          <w:lang w:val="es-ES_tradnl"/>
        </w:rPr>
        <w:t xml:space="preserve">que </w:t>
      </w:r>
      <w:r>
        <w:rPr>
          <w:rFonts w:ascii="Arial" w:hAnsi="Arial" w:cs="Arial"/>
          <w:color w:val="000000" w:themeColor="text1"/>
          <w:lang w:val="es-ES_tradnl"/>
        </w:rPr>
        <w:t>a partir de</w:t>
      </w:r>
      <w:r w:rsidRPr="004E7132">
        <w:rPr>
          <w:rFonts w:ascii="Arial" w:hAnsi="Arial" w:cs="Arial"/>
          <w:color w:val="000000" w:themeColor="text1"/>
          <w:lang w:val="es-ES_tradnl"/>
        </w:rPr>
        <w:t>l año 2017 será exigible la declaración correspondiente al ejercicio 2016</w:t>
      </w:r>
      <w:r>
        <w:rPr>
          <w:rFonts w:ascii="Arial" w:hAnsi="Arial" w:cs="Arial"/>
          <w:color w:val="000000" w:themeColor="text1"/>
          <w:lang w:val="es-ES_tradnl"/>
        </w:rPr>
        <w:t xml:space="preserve"> y</w:t>
      </w:r>
      <w:r w:rsidRPr="004E7132">
        <w:rPr>
          <w:rFonts w:ascii="Arial" w:hAnsi="Arial" w:cs="Arial"/>
          <w:color w:val="000000" w:themeColor="text1"/>
          <w:lang w:val="es-ES_tradnl"/>
        </w:rPr>
        <w:t xml:space="preserve"> que</w:t>
      </w:r>
      <w:r>
        <w:rPr>
          <w:rFonts w:ascii="Arial" w:hAnsi="Arial" w:cs="Arial"/>
          <w:color w:val="000000" w:themeColor="text1"/>
          <w:lang w:val="es-ES_tradnl"/>
        </w:rPr>
        <w:t>,</w:t>
      </w:r>
      <w:r w:rsidRPr="004E7132">
        <w:rPr>
          <w:rFonts w:ascii="Arial" w:hAnsi="Arial" w:cs="Arial"/>
          <w:color w:val="000000" w:themeColor="text1"/>
          <w:lang w:val="es-ES_tradnl"/>
        </w:rPr>
        <w:t xml:space="preserve"> para efecto de esta</w:t>
      </w:r>
      <w:r>
        <w:rPr>
          <w:rFonts w:ascii="Arial" w:hAnsi="Arial" w:cs="Arial"/>
          <w:color w:val="000000" w:themeColor="text1"/>
          <w:lang w:val="es-ES_tradnl"/>
        </w:rPr>
        <w:t>,</w:t>
      </w:r>
      <w:r w:rsidRPr="004E7132">
        <w:rPr>
          <w:rFonts w:ascii="Arial" w:hAnsi="Arial" w:cs="Arial"/>
          <w:color w:val="000000" w:themeColor="text1"/>
          <w:lang w:val="es-ES_tradnl"/>
        </w:rPr>
        <w:t xml:space="preserve"> no se requerirá la información a que se </w:t>
      </w:r>
      <w:r w:rsidRPr="004E7132">
        <w:rPr>
          <w:rFonts w:ascii="Arial" w:hAnsi="Arial" w:cs="Arial"/>
          <w:color w:val="000000" w:themeColor="text1"/>
          <w:lang w:val="es-ES_tradnl"/>
        </w:rPr>
        <w:lastRenderedPageBreak/>
        <w:t>refiere el acápite ii) del numeral 2 del inciso a) del artículo 117 del Reglamento de la Ley del Impuesto a la Renta;</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 xml:space="preserve">Que, de otro lado, el segundo párrafo del numeral 88.1 del artículo 88 del Código Tributario, cuyo TUO fue aprobado por el Decreto Supremo N.° 133-2013-EF y normas modificatorias, faculta a la administración tributaria a establecer para determinados deudores la obligación de presentar la declaración tributaria por, entre otros, transferencia electrónica, en las condiciones que señale para ello; </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Que</w:t>
      </w:r>
      <w:r>
        <w:rPr>
          <w:rFonts w:ascii="Arial" w:hAnsi="Arial" w:cs="Arial"/>
          <w:color w:val="000000" w:themeColor="text1"/>
          <w:lang w:val="es-ES_tradnl"/>
        </w:rPr>
        <w:t>,</w:t>
      </w:r>
      <w:r w:rsidRPr="004E7132">
        <w:rPr>
          <w:rFonts w:ascii="Arial" w:hAnsi="Arial" w:cs="Arial"/>
          <w:color w:val="000000" w:themeColor="text1"/>
          <w:lang w:val="es-ES_tradnl"/>
        </w:rPr>
        <w:t xml:space="preserve"> estando a lo antes indicado</w:t>
      </w:r>
      <w:r>
        <w:rPr>
          <w:rFonts w:ascii="Arial" w:hAnsi="Arial" w:cs="Arial"/>
          <w:color w:val="000000" w:themeColor="text1"/>
          <w:lang w:val="es-ES_tradnl"/>
        </w:rPr>
        <w:t>,</w:t>
      </w:r>
      <w:r w:rsidRPr="004E7132">
        <w:rPr>
          <w:rFonts w:ascii="Arial" w:hAnsi="Arial" w:cs="Arial"/>
          <w:color w:val="000000" w:themeColor="text1"/>
          <w:lang w:val="es-ES_tradnl"/>
        </w:rPr>
        <w:t xml:space="preserve"> resulta necesario aprobar las disposiciones que permitan el cumplimiento de la obligación de presentar la declaración jurada informativa Reporte Local siendo oportuno, además, modificar el numeral 18.1 del artículo 18 de la Resolución de Superintendencia N.° 3</w:t>
      </w:r>
      <w:r w:rsidR="005D4E5D">
        <w:rPr>
          <w:rFonts w:ascii="Arial" w:hAnsi="Arial" w:cs="Arial"/>
          <w:color w:val="000000" w:themeColor="text1"/>
          <w:lang w:val="es-ES_tradnl"/>
        </w:rPr>
        <w:t>77</w:t>
      </w:r>
      <w:r w:rsidRPr="004E7132">
        <w:rPr>
          <w:rFonts w:ascii="Arial" w:hAnsi="Arial" w:cs="Arial"/>
          <w:color w:val="000000" w:themeColor="text1"/>
          <w:lang w:val="es-ES_tradnl"/>
        </w:rPr>
        <w:t>-2013/SUNAT a fin de indicar que el informe anual a que se refiere el inciso l) del artículo 118 del Reglamento debe presentarse junto con la mencionada declaración informativa;</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 xml:space="preserve">En uso de las facultades otorgadas por el inciso g) del artículo 32 - A de la Ley del Impuesto a la Renta; la segunda disposición complementaria final del Decreto Supremo N.° </w:t>
      </w:r>
      <w:r>
        <w:rPr>
          <w:rFonts w:ascii="Arial" w:hAnsi="Arial" w:cs="Arial"/>
          <w:color w:val="000000" w:themeColor="text1"/>
          <w:lang w:val="es-ES_tradnl"/>
        </w:rPr>
        <w:t>333</w:t>
      </w:r>
      <w:r w:rsidRPr="004E7132">
        <w:rPr>
          <w:rFonts w:ascii="Arial" w:hAnsi="Arial" w:cs="Arial"/>
          <w:color w:val="000000" w:themeColor="text1"/>
          <w:lang w:val="es-ES_tradnl"/>
        </w:rPr>
        <w:t>-2017-EF</w:t>
      </w:r>
      <w:r>
        <w:rPr>
          <w:rFonts w:ascii="Arial" w:hAnsi="Arial" w:cs="Arial"/>
          <w:color w:val="000000" w:themeColor="text1"/>
          <w:lang w:val="es-ES_tradnl"/>
        </w:rPr>
        <w:t xml:space="preserve">; </w:t>
      </w:r>
      <w:r w:rsidRPr="004E7132">
        <w:rPr>
          <w:rFonts w:ascii="Arial" w:hAnsi="Arial" w:cs="Arial"/>
          <w:color w:val="000000" w:themeColor="text1"/>
          <w:lang w:val="es-ES_tradnl"/>
        </w:rPr>
        <w:t>el numeral 88.1 del artículo 88 del Código Tributario; el artículo 11 del Decreto Legislativo N.° 501, Ley General de la SUNAT y normas modificatorias; el artículo 5 de</w:t>
      </w:r>
      <w:r>
        <w:rPr>
          <w:rFonts w:ascii="Arial" w:hAnsi="Arial" w:cs="Arial"/>
          <w:color w:val="000000" w:themeColor="text1"/>
          <w:lang w:val="es-ES_tradnl"/>
        </w:rPr>
        <w:t xml:space="preserve"> </w:t>
      </w:r>
      <w:r w:rsidRPr="004E7132">
        <w:rPr>
          <w:rFonts w:ascii="Arial" w:hAnsi="Arial" w:cs="Arial"/>
          <w:color w:val="000000" w:themeColor="text1"/>
          <w:lang w:val="es-ES_tradnl"/>
        </w:rPr>
        <w:t>la</w:t>
      </w:r>
      <w:r>
        <w:rPr>
          <w:rFonts w:ascii="Arial" w:hAnsi="Arial" w:cs="Arial"/>
          <w:color w:val="000000" w:themeColor="text1"/>
          <w:lang w:val="es-ES_tradnl"/>
        </w:rPr>
        <w:t xml:space="preserve"> </w:t>
      </w:r>
      <w:r w:rsidRPr="004E7132">
        <w:rPr>
          <w:rFonts w:ascii="Arial" w:hAnsi="Arial" w:cs="Arial"/>
          <w:color w:val="000000" w:themeColor="text1"/>
          <w:lang w:val="es-ES_tradnl"/>
        </w:rPr>
        <w:t>Ley N.° 29816, Ley de Fortalecimiento de la SUNAT y normas modificatorias y</w:t>
      </w:r>
      <w:r>
        <w:rPr>
          <w:rFonts w:ascii="Arial" w:hAnsi="Arial" w:cs="Arial"/>
          <w:color w:val="000000" w:themeColor="text1"/>
          <w:lang w:val="es-ES_tradnl"/>
        </w:rPr>
        <w:t xml:space="preserve"> </w:t>
      </w:r>
      <w:r w:rsidRPr="004E7132">
        <w:rPr>
          <w:rFonts w:ascii="Arial" w:hAnsi="Arial" w:cs="Arial"/>
          <w:color w:val="000000" w:themeColor="text1"/>
          <w:lang w:val="es-ES_tradnl"/>
        </w:rPr>
        <w:t xml:space="preserve">el inciso o) del artículo 8 del Reglamento de Organización y Funciones de la SUNAT, aprobado por la Resolución de Superintendencia N.° 122-2014/SUNAT y normas modificatorias; </w:t>
      </w:r>
    </w:p>
    <w:p w:rsidR="008B1846" w:rsidRPr="004E7132" w:rsidRDefault="008B1846" w:rsidP="008B1846">
      <w:pPr>
        <w:spacing w:after="0" w:line="240" w:lineRule="auto"/>
        <w:ind w:right="-1"/>
        <w:jc w:val="both"/>
        <w:rPr>
          <w:rFonts w:ascii="Arial" w:hAnsi="Arial" w:cs="Arial"/>
          <w:b/>
          <w:color w:val="000000" w:themeColor="text1"/>
          <w:lang w:val="es-PE"/>
        </w:rPr>
      </w:pPr>
      <w:bookmarkStart w:id="1" w:name="JD_13122da"/>
      <w:bookmarkEnd w:id="1"/>
    </w:p>
    <w:p w:rsidR="008B1846" w:rsidRPr="004E7132" w:rsidRDefault="008B1846" w:rsidP="008B1846">
      <w:pPr>
        <w:spacing w:after="0" w:line="240" w:lineRule="auto"/>
        <w:ind w:right="-1"/>
        <w:jc w:val="both"/>
        <w:rPr>
          <w:rFonts w:ascii="Arial" w:hAnsi="Arial" w:cs="Arial"/>
          <w:b/>
          <w:color w:val="000000" w:themeColor="text1"/>
          <w:lang w:val="es-ES_tradnl"/>
        </w:rPr>
      </w:pPr>
      <w:r w:rsidRPr="004E7132">
        <w:rPr>
          <w:rFonts w:ascii="Arial" w:hAnsi="Arial" w:cs="Arial"/>
          <w:b/>
          <w:color w:val="000000" w:themeColor="text1"/>
          <w:lang w:val="es-ES_tradnl"/>
        </w:rPr>
        <w:t xml:space="preserve">SE RESUELVE: </w:t>
      </w:r>
    </w:p>
    <w:p w:rsidR="008B1846" w:rsidRPr="004E7132" w:rsidRDefault="008B1846" w:rsidP="008B1846">
      <w:pPr>
        <w:spacing w:after="0" w:line="240" w:lineRule="auto"/>
        <w:ind w:right="-1"/>
        <w:jc w:val="both"/>
        <w:rPr>
          <w:rFonts w:ascii="Arial" w:hAnsi="Arial" w:cs="Arial"/>
          <w:b/>
          <w:color w:val="000000" w:themeColor="text1"/>
          <w:lang w:val="es-ES_tradnl"/>
        </w:rPr>
      </w:pPr>
    </w:p>
    <w:p w:rsidR="008B1846" w:rsidRPr="004E7132" w:rsidRDefault="008B1846" w:rsidP="008B1846">
      <w:pPr>
        <w:spacing w:after="0" w:line="240" w:lineRule="auto"/>
        <w:ind w:right="-1"/>
        <w:jc w:val="both"/>
        <w:rPr>
          <w:rFonts w:ascii="Arial" w:hAnsi="Arial" w:cs="Arial"/>
          <w:b/>
          <w:color w:val="000000" w:themeColor="text1"/>
          <w:lang w:val="es-ES_tradnl"/>
        </w:rPr>
      </w:pPr>
      <w:r w:rsidRPr="004E7132">
        <w:rPr>
          <w:rFonts w:ascii="Arial" w:hAnsi="Arial" w:cs="Arial"/>
          <w:b/>
          <w:color w:val="000000" w:themeColor="text1"/>
          <w:lang w:val="es-ES_tradnl"/>
        </w:rPr>
        <w:t>Artículo 1. Definiciones</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Para efecto de la presente resolución se entiende por:</w:t>
      </w:r>
    </w:p>
    <w:p w:rsidR="008B1846" w:rsidRPr="004E7132" w:rsidRDefault="008B1846" w:rsidP="008B1846">
      <w:pPr>
        <w:spacing w:after="0" w:line="240" w:lineRule="auto"/>
        <w:ind w:right="-1"/>
        <w:jc w:val="both"/>
        <w:rPr>
          <w:rFonts w:ascii="Arial" w:hAnsi="Arial" w:cs="Arial"/>
          <w:color w:val="000000" w:themeColor="text1"/>
          <w:lang w:val="es-ES_tradnl"/>
        </w:rPr>
      </w:pPr>
    </w:p>
    <w:tbl>
      <w:tblPr>
        <w:tblW w:w="8505" w:type="dxa"/>
        <w:tblInd w:w="108" w:type="dxa"/>
        <w:tblLayout w:type="fixed"/>
        <w:tblLook w:val="04A0" w:firstRow="1" w:lastRow="0" w:firstColumn="1" w:lastColumn="0" w:noHBand="0" w:noVBand="1"/>
      </w:tblPr>
      <w:tblGrid>
        <w:gridCol w:w="426"/>
        <w:gridCol w:w="1795"/>
        <w:gridCol w:w="277"/>
        <w:gridCol w:w="6007"/>
      </w:tblGrid>
      <w:tr w:rsidR="008B1846" w:rsidRPr="004E7132" w:rsidTr="0056133F">
        <w:trPr>
          <w:trHeight w:val="624"/>
        </w:trPr>
        <w:tc>
          <w:tcPr>
            <w:tcW w:w="426" w:type="dxa"/>
            <w:shd w:val="clear" w:color="auto" w:fill="auto"/>
          </w:tcPr>
          <w:p w:rsidR="008B1846" w:rsidRPr="004E7132" w:rsidRDefault="008B1846" w:rsidP="0056133F">
            <w:pPr>
              <w:widowControl w:val="0"/>
              <w:spacing w:after="0" w:line="240" w:lineRule="auto"/>
              <w:ind w:left="-108" w:right="-959"/>
              <w:jc w:val="both"/>
              <w:rPr>
                <w:rFonts w:ascii="Arial" w:hAnsi="Arial" w:cs="Arial"/>
                <w:lang w:val="es-PE" w:eastAsia="es-PE"/>
              </w:rPr>
            </w:pPr>
            <w:r w:rsidRPr="004E7132">
              <w:rPr>
                <w:rFonts w:ascii="Arial" w:hAnsi="Arial" w:cs="Arial"/>
                <w:lang w:val="es-PE" w:eastAsia="es-PE"/>
              </w:rPr>
              <w:t>1.</w:t>
            </w:r>
          </w:p>
        </w:tc>
        <w:tc>
          <w:tcPr>
            <w:tcW w:w="1795" w:type="dxa"/>
            <w:shd w:val="clear" w:color="auto" w:fill="auto"/>
          </w:tcPr>
          <w:p w:rsidR="008B1846" w:rsidRPr="004E7132" w:rsidRDefault="008B1846" w:rsidP="0056133F">
            <w:pPr>
              <w:widowControl w:val="0"/>
              <w:spacing w:after="0" w:line="240" w:lineRule="auto"/>
              <w:rPr>
                <w:rFonts w:ascii="Arial" w:hAnsi="Arial" w:cs="Arial"/>
                <w:lang w:val="es-PE" w:eastAsia="es-PE"/>
              </w:rPr>
            </w:pPr>
            <w:r w:rsidRPr="004E7132">
              <w:rPr>
                <w:rFonts w:ascii="Arial" w:hAnsi="Arial" w:cs="Arial"/>
                <w:lang w:val="es-PE" w:eastAsia="es-PE"/>
              </w:rPr>
              <w:t>Ley</w:t>
            </w:r>
          </w:p>
        </w:tc>
        <w:tc>
          <w:tcPr>
            <w:tcW w:w="277" w:type="dxa"/>
            <w:shd w:val="clear" w:color="auto" w:fill="auto"/>
          </w:tcPr>
          <w:p w:rsidR="008B1846" w:rsidRPr="004E7132" w:rsidRDefault="008B1846" w:rsidP="0056133F">
            <w:pPr>
              <w:widowControl w:val="0"/>
              <w:spacing w:after="0" w:line="240" w:lineRule="auto"/>
              <w:jc w:val="both"/>
              <w:rPr>
                <w:rFonts w:ascii="Arial" w:hAnsi="Arial" w:cs="Arial"/>
                <w:lang w:val="es-PE" w:eastAsia="es-PE"/>
              </w:rPr>
            </w:pPr>
            <w:r w:rsidRPr="004E7132">
              <w:rPr>
                <w:rFonts w:ascii="Arial" w:hAnsi="Arial" w:cs="Arial"/>
                <w:lang w:val="es-PE" w:eastAsia="es-PE"/>
              </w:rPr>
              <w:t xml:space="preserve">:  </w:t>
            </w:r>
          </w:p>
        </w:tc>
        <w:tc>
          <w:tcPr>
            <w:tcW w:w="6007" w:type="dxa"/>
            <w:shd w:val="clear" w:color="auto" w:fill="auto"/>
          </w:tcPr>
          <w:p w:rsidR="008B1846" w:rsidRPr="004E7132" w:rsidRDefault="008B1846" w:rsidP="0056133F">
            <w:pPr>
              <w:widowControl w:val="0"/>
              <w:spacing w:after="0" w:line="240" w:lineRule="auto"/>
              <w:jc w:val="both"/>
              <w:rPr>
                <w:rFonts w:ascii="Arial" w:hAnsi="Arial" w:cs="Arial"/>
                <w:lang w:val="es-PE" w:eastAsia="es-PE"/>
              </w:rPr>
            </w:pPr>
            <w:r w:rsidRPr="004E7132">
              <w:rPr>
                <w:rFonts w:ascii="Arial" w:hAnsi="Arial" w:cs="Arial"/>
                <w:lang w:val="es-PE" w:eastAsia="es-PE"/>
              </w:rPr>
              <w:t xml:space="preserve">A la Ley del Impuesto a la Renta, cuyo Texto Único Ordenado fue aprobado por </w:t>
            </w:r>
            <w:r>
              <w:rPr>
                <w:rFonts w:ascii="Arial" w:hAnsi="Arial" w:cs="Arial"/>
                <w:lang w:val="es-PE" w:eastAsia="es-PE"/>
              </w:rPr>
              <w:t xml:space="preserve">el </w:t>
            </w:r>
            <w:r w:rsidRPr="004E7132">
              <w:rPr>
                <w:rFonts w:ascii="Arial" w:hAnsi="Arial" w:cs="Arial"/>
                <w:lang w:val="es-PE" w:eastAsia="es-PE"/>
              </w:rPr>
              <w:t>Decreto Supremo N.° 179-2004-EF y normas modificatorias.</w:t>
            </w:r>
          </w:p>
          <w:p w:rsidR="008B1846" w:rsidRPr="004E7132" w:rsidRDefault="008B1846" w:rsidP="0056133F">
            <w:pPr>
              <w:widowControl w:val="0"/>
              <w:spacing w:after="0" w:line="240" w:lineRule="auto"/>
              <w:jc w:val="both"/>
              <w:rPr>
                <w:rFonts w:ascii="Arial" w:hAnsi="Arial" w:cs="Arial"/>
                <w:lang w:val="es-PE" w:eastAsia="es-PE"/>
              </w:rPr>
            </w:pPr>
          </w:p>
        </w:tc>
      </w:tr>
      <w:tr w:rsidR="008B1846" w:rsidRPr="004E7132" w:rsidTr="0056133F">
        <w:trPr>
          <w:trHeight w:val="624"/>
        </w:trPr>
        <w:tc>
          <w:tcPr>
            <w:tcW w:w="426" w:type="dxa"/>
            <w:shd w:val="clear" w:color="auto" w:fill="auto"/>
          </w:tcPr>
          <w:p w:rsidR="008B1846" w:rsidRPr="004E7132" w:rsidRDefault="008B1846" w:rsidP="0056133F">
            <w:pPr>
              <w:widowControl w:val="0"/>
              <w:spacing w:after="0" w:line="240" w:lineRule="auto"/>
              <w:ind w:left="-108" w:right="-959"/>
              <w:jc w:val="both"/>
              <w:rPr>
                <w:rFonts w:ascii="Arial" w:hAnsi="Arial" w:cs="Arial"/>
                <w:lang w:val="es-PE" w:eastAsia="es-PE"/>
              </w:rPr>
            </w:pPr>
            <w:r w:rsidRPr="004E7132">
              <w:rPr>
                <w:rFonts w:ascii="Arial" w:hAnsi="Arial" w:cs="Arial"/>
                <w:lang w:val="es-PE" w:eastAsia="es-PE"/>
              </w:rPr>
              <w:t>2.</w:t>
            </w:r>
          </w:p>
        </w:tc>
        <w:tc>
          <w:tcPr>
            <w:tcW w:w="1795" w:type="dxa"/>
            <w:shd w:val="clear" w:color="auto" w:fill="auto"/>
          </w:tcPr>
          <w:p w:rsidR="008B1846" w:rsidRPr="004E7132" w:rsidRDefault="008B1846" w:rsidP="0056133F">
            <w:pPr>
              <w:widowControl w:val="0"/>
              <w:spacing w:after="0" w:line="240" w:lineRule="auto"/>
              <w:rPr>
                <w:rFonts w:ascii="Arial" w:hAnsi="Arial" w:cs="Arial"/>
                <w:lang w:val="es-PE" w:eastAsia="es-PE"/>
              </w:rPr>
            </w:pPr>
            <w:r w:rsidRPr="004E7132">
              <w:rPr>
                <w:rFonts w:ascii="Arial" w:hAnsi="Arial" w:cs="Arial"/>
                <w:lang w:val="es-PE" w:eastAsia="es-PE"/>
              </w:rPr>
              <w:t>Contribuyentes</w:t>
            </w:r>
          </w:p>
        </w:tc>
        <w:tc>
          <w:tcPr>
            <w:tcW w:w="277" w:type="dxa"/>
            <w:shd w:val="clear" w:color="auto" w:fill="auto"/>
          </w:tcPr>
          <w:p w:rsidR="008B1846" w:rsidRPr="004E7132" w:rsidRDefault="008B1846" w:rsidP="0056133F">
            <w:pPr>
              <w:widowControl w:val="0"/>
              <w:spacing w:after="0" w:line="240" w:lineRule="auto"/>
              <w:jc w:val="both"/>
              <w:rPr>
                <w:rFonts w:ascii="Arial" w:hAnsi="Arial" w:cs="Arial"/>
                <w:lang w:val="es-PE" w:eastAsia="es-PE"/>
              </w:rPr>
            </w:pPr>
            <w:r w:rsidRPr="004E7132">
              <w:rPr>
                <w:rFonts w:ascii="Arial" w:hAnsi="Arial" w:cs="Arial"/>
                <w:lang w:val="es-PE" w:eastAsia="es-PE"/>
              </w:rPr>
              <w:t>:</w:t>
            </w:r>
          </w:p>
        </w:tc>
        <w:tc>
          <w:tcPr>
            <w:tcW w:w="6007" w:type="dxa"/>
            <w:shd w:val="clear" w:color="auto" w:fill="auto"/>
          </w:tcPr>
          <w:p w:rsidR="008B1846" w:rsidRPr="004E7132" w:rsidRDefault="008B1846" w:rsidP="0056133F">
            <w:pPr>
              <w:pStyle w:val="NormalWeb"/>
              <w:spacing w:before="0" w:beforeAutospacing="0" w:after="0" w:afterAutospacing="0"/>
              <w:jc w:val="both"/>
              <w:rPr>
                <w:rFonts w:ascii="Arial" w:eastAsia="MS Mincho" w:hAnsi="Arial" w:cs="Arial"/>
                <w:sz w:val="22"/>
                <w:szCs w:val="22"/>
                <w:lang w:val="es-PE" w:eastAsia="es-PE"/>
              </w:rPr>
            </w:pPr>
            <w:r w:rsidRPr="004E7132">
              <w:rPr>
                <w:rFonts w:ascii="Arial" w:eastAsia="MS Mincho" w:hAnsi="Arial" w:cs="Arial"/>
                <w:sz w:val="22"/>
                <w:szCs w:val="22"/>
                <w:lang w:val="es-PE" w:eastAsia="es-PE"/>
              </w:rPr>
              <w:t>A</w:t>
            </w:r>
            <w:r>
              <w:rPr>
                <w:rFonts w:ascii="Arial" w:eastAsia="MS Mincho" w:hAnsi="Arial" w:cs="Arial"/>
                <w:sz w:val="22"/>
                <w:szCs w:val="22"/>
                <w:lang w:val="es-PE" w:eastAsia="es-PE"/>
              </w:rPr>
              <w:t xml:space="preserve"> </w:t>
            </w:r>
            <w:r w:rsidRPr="004E7132">
              <w:rPr>
                <w:rFonts w:ascii="Arial" w:eastAsia="MS Mincho" w:hAnsi="Arial" w:cs="Arial"/>
                <w:sz w:val="22"/>
                <w:szCs w:val="22"/>
                <w:lang w:val="es-PE" w:eastAsia="es-PE"/>
              </w:rPr>
              <w:t xml:space="preserve">los sujetos que, de acuerdo con la </w:t>
            </w:r>
            <w:r>
              <w:rPr>
                <w:rFonts w:ascii="Arial" w:eastAsia="MS Mincho" w:hAnsi="Arial" w:cs="Arial"/>
                <w:sz w:val="22"/>
                <w:szCs w:val="22"/>
                <w:lang w:val="es-PE" w:eastAsia="es-PE"/>
              </w:rPr>
              <w:t>l</w:t>
            </w:r>
            <w:r w:rsidRPr="004E7132">
              <w:rPr>
                <w:rFonts w:ascii="Arial" w:eastAsia="MS Mincho" w:hAnsi="Arial" w:cs="Arial"/>
                <w:sz w:val="22"/>
                <w:szCs w:val="22"/>
                <w:lang w:val="es-PE" w:eastAsia="es-PE"/>
              </w:rPr>
              <w:t>ey, tengan la condición de domiciliados en el país y estén sujetos al ámbito de aplicación de las normas de precios de transferencia.</w:t>
            </w:r>
          </w:p>
          <w:p w:rsidR="008B1846" w:rsidRPr="004E7132" w:rsidRDefault="008B1846" w:rsidP="0056133F">
            <w:pPr>
              <w:widowControl w:val="0"/>
              <w:spacing w:after="0" w:line="240" w:lineRule="auto"/>
              <w:jc w:val="both"/>
              <w:rPr>
                <w:rFonts w:ascii="Arial" w:hAnsi="Arial" w:cs="Arial"/>
                <w:lang w:val="es-PE" w:eastAsia="es-PE"/>
              </w:rPr>
            </w:pPr>
          </w:p>
        </w:tc>
      </w:tr>
      <w:tr w:rsidR="008B1846" w:rsidRPr="004E7132" w:rsidTr="0056133F">
        <w:trPr>
          <w:trHeight w:val="525"/>
        </w:trPr>
        <w:tc>
          <w:tcPr>
            <w:tcW w:w="426" w:type="dxa"/>
            <w:shd w:val="clear" w:color="auto" w:fill="auto"/>
          </w:tcPr>
          <w:p w:rsidR="008B1846" w:rsidRPr="004E7132" w:rsidRDefault="008B1846" w:rsidP="0056133F">
            <w:pPr>
              <w:widowControl w:val="0"/>
              <w:spacing w:after="0" w:line="240" w:lineRule="auto"/>
              <w:ind w:left="-108"/>
              <w:jc w:val="both"/>
              <w:rPr>
                <w:rFonts w:ascii="Arial" w:hAnsi="Arial" w:cs="Arial"/>
                <w:lang w:val="es-PE" w:eastAsia="es-PE"/>
              </w:rPr>
            </w:pPr>
            <w:r w:rsidRPr="004E7132">
              <w:rPr>
                <w:rFonts w:ascii="Arial" w:hAnsi="Arial" w:cs="Arial"/>
                <w:lang w:val="es-PE" w:eastAsia="es-PE"/>
              </w:rPr>
              <w:lastRenderedPageBreak/>
              <w:t>3.</w:t>
            </w:r>
          </w:p>
        </w:tc>
        <w:tc>
          <w:tcPr>
            <w:tcW w:w="1795" w:type="dxa"/>
            <w:shd w:val="clear" w:color="auto" w:fill="auto"/>
          </w:tcPr>
          <w:p w:rsidR="008B1846" w:rsidRPr="004E7132" w:rsidRDefault="008B1846" w:rsidP="0056133F">
            <w:pPr>
              <w:widowControl w:val="0"/>
              <w:spacing w:after="0" w:line="240" w:lineRule="auto"/>
              <w:rPr>
                <w:rFonts w:ascii="Arial" w:hAnsi="Arial" w:cs="Arial"/>
                <w:lang w:val="es-PE" w:eastAsia="es-PE"/>
              </w:rPr>
            </w:pPr>
            <w:r w:rsidRPr="004E7132">
              <w:rPr>
                <w:rFonts w:ascii="Arial" w:hAnsi="Arial" w:cs="Arial"/>
                <w:lang w:val="es-PE" w:eastAsia="es-PE"/>
              </w:rPr>
              <w:t>Declaración</w:t>
            </w:r>
          </w:p>
        </w:tc>
        <w:tc>
          <w:tcPr>
            <w:tcW w:w="277" w:type="dxa"/>
            <w:shd w:val="clear" w:color="auto" w:fill="auto"/>
          </w:tcPr>
          <w:p w:rsidR="008B1846" w:rsidRPr="004E7132" w:rsidRDefault="008B1846" w:rsidP="0056133F">
            <w:pPr>
              <w:widowControl w:val="0"/>
              <w:spacing w:after="0" w:line="240" w:lineRule="auto"/>
              <w:jc w:val="both"/>
              <w:rPr>
                <w:rFonts w:ascii="Arial" w:hAnsi="Arial" w:cs="Arial"/>
                <w:lang w:val="es-PE" w:eastAsia="es-PE"/>
              </w:rPr>
            </w:pPr>
            <w:r w:rsidRPr="004E7132">
              <w:rPr>
                <w:rFonts w:ascii="Arial" w:hAnsi="Arial" w:cs="Arial"/>
                <w:lang w:val="es-PE" w:eastAsia="es-PE"/>
              </w:rPr>
              <w:t>:</w:t>
            </w:r>
          </w:p>
        </w:tc>
        <w:tc>
          <w:tcPr>
            <w:tcW w:w="6007" w:type="dxa"/>
            <w:shd w:val="clear" w:color="auto" w:fill="auto"/>
          </w:tcPr>
          <w:p w:rsidR="008B1846" w:rsidRPr="004E7132" w:rsidRDefault="008B1846" w:rsidP="0056133F">
            <w:pPr>
              <w:pStyle w:val="NormalWeb"/>
              <w:spacing w:before="0" w:beforeAutospacing="0" w:after="0" w:afterAutospacing="0"/>
              <w:jc w:val="both"/>
              <w:rPr>
                <w:rFonts w:ascii="Arial" w:eastAsia="MS Mincho" w:hAnsi="Arial" w:cs="Arial"/>
                <w:sz w:val="22"/>
                <w:szCs w:val="22"/>
                <w:lang w:val="es-PE" w:eastAsia="es-PE"/>
              </w:rPr>
            </w:pPr>
            <w:r>
              <w:rPr>
                <w:rFonts w:ascii="Arial" w:eastAsia="MS Mincho" w:hAnsi="Arial" w:cs="Arial"/>
                <w:sz w:val="22"/>
                <w:szCs w:val="22"/>
                <w:lang w:val="es-PE" w:eastAsia="es-PE"/>
              </w:rPr>
              <w:t xml:space="preserve">A </w:t>
            </w:r>
            <w:r w:rsidRPr="004E7132">
              <w:rPr>
                <w:rFonts w:ascii="Arial" w:eastAsia="MS Mincho" w:hAnsi="Arial" w:cs="Arial"/>
                <w:sz w:val="22"/>
                <w:szCs w:val="22"/>
                <w:lang w:val="es-PE" w:eastAsia="es-PE"/>
              </w:rPr>
              <w:t xml:space="preserve">la declaración jurada informativa Reporte Local a que se refiere el inciso g) del artículo 32-A de la </w:t>
            </w:r>
            <w:r>
              <w:rPr>
                <w:rFonts w:ascii="Arial" w:eastAsia="MS Mincho" w:hAnsi="Arial" w:cs="Arial"/>
                <w:sz w:val="22"/>
                <w:szCs w:val="22"/>
                <w:lang w:val="es-PE" w:eastAsia="es-PE"/>
              </w:rPr>
              <w:t>l</w:t>
            </w:r>
            <w:r w:rsidRPr="004E7132">
              <w:rPr>
                <w:rFonts w:ascii="Arial" w:eastAsia="MS Mincho" w:hAnsi="Arial" w:cs="Arial"/>
                <w:sz w:val="22"/>
                <w:szCs w:val="22"/>
                <w:lang w:val="es-PE" w:eastAsia="es-PE"/>
              </w:rPr>
              <w:t xml:space="preserve">ey y el inciso a) del artículo 117 de su </w:t>
            </w:r>
            <w:r>
              <w:rPr>
                <w:rFonts w:ascii="Arial" w:eastAsia="MS Mincho" w:hAnsi="Arial" w:cs="Arial"/>
                <w:sz w:val="22"/>
                <w:szCs w:val="22"/>
                <w:lang w:val="es-PE" w:eastAsia="es-PE"/>
              </w:rPr>
              <w:t>r</w:t>
            </w:r>
            <w:r w:rsidRPr="004E7132">
              <w:rPr>
                <w:rFonts w:ascii="Arial" w:eastAsia="MS Mincho" w:hAnsi="Arial" w:cs="Arial"/>
                <w:sz w:val="22"/>
                <w:szCs w:val="22"/>
                <w:lang w:val="es-PE" w:eastAsia="es-PE"/>
              </w:rPr>
              <w:t xml:space="preserve">eglamento, aprobado </w:t>
            </w:r>
            <w:r w:rsidRPr="004E7132">
              <w:rPr>
                <w:rFonts w:ascii="Arial" w:hAnsi="Arial" w:cs="Arial"/>
                <w:sz w:val="22"/>
                <w:szCs w:val="22"/>
              </w:rPr>
              <w:t>por el Decreto Supremo N.° 122-94-EF y normas modificatorias.</w:t>
            </w:r>
          </w:p>
          <w:p w:rsidR="008B1846" w:rsidRPr="004E7132" w:rsidRDefault="008B1846" w:rsidP="0056133F">
            <w:pPr>
              <w:pStyle w:val="NormalWeb"/>
              <w:spacing w:before="0" w:beforeAutospacing="0" w:after="0" w:afterAutospacing="0"/>
              <w:jc w:val="both"/>
              <w:rPr>
                <w:rFonts w:ascii="Arial" w:eastAsia="MS Mincho" w:hAnsi="Arial" w:cs="Arial"/>
                <w:sz w:val="22"/>
                <w:szCs w:val="22"/>
                <w:lang w:val="es-PE" w:eastAsia="es-PE"/>
              </w:rPr>
            </w:pPr>
          </w:p>
        </w:tc>
      </w:tr>
      <w:tr w:rsidR="008B1846" w:rsidRPr="004E7132" w:rsidTr="0056133F">
        <w:trPr>
          <w:trHeight w:val="926"/>
        </w:trPr>
        <w:tc>
          <w:tcPr>
            <w:tcW w:w="426" w:type="dxa"/>
            <w:shd w:val="clear" w:color="auto" w:fill="auto"/>
          </w:tcPr>
          <w:p w:rsidR="008B1846" w:rsidRPr="004E7132" w:rsidRDefault="008B1846" w:rsidP="0056133F">
            <w:pPr>
              <w:widowControl w:val="0"/>
              <w:spacing w:after="0" w:line="240" w:lineRule="auto"/>
              <w:ind w:left="-108"/>
              <w:jc w:val="both"/>
              <w:rPr>
                <w:rFonts w:ascii="Arial" w:hAnsi="Arial" w:cs="Arial"/>
                <w:lang w:val="es-PE" w:eastAsia="es-PE"/>
              </w:rPr>
            </w:pPr>
            <w:r w:rsidRPr="004E7132">
              <w:rPr>
                <w:rFonts w:ascii="Arial" w:hAnsi="Arial" w:cs="Arial"/>
                <w:lang w:val="es-PE" w:eastAsia="es-PE"/>
              </w:rPr>
              <w:t>4.</w:t>
            </w:r>
          </w:p>
        </w:tc>
        <w:tc>
          <w:tcPr>
            <w:tcW w:w="1795" w:type="dxa"/>
            <w:shd w:val="clear" w:color="auto" w:fill="auto"/>
          </w:tcPr>
          <w:p w:rsidR="008B1846" w:rsidRPr="004E7132" w:rsidRDefault="008B1846" w:rsidP="0056133F">
            <w:pPr>
              <w:widowControl w:val="0"/>
              <w:spacing w:after="0" w:line="240" w:lineRule="auto"/>
              <w:rPr>
                <w:rFonts w:ascii="Arial" w:hAnsi="Arial" w:cs="Arial"/>
                <w:lang w:val="es-PE" w:eastAsia="es-PE"/>
              </w:rPr>
            </w:pPr>
            <w:r w:rsidRPr="004E7132">
              <w:rPr>
                <w:rFonts w:ascii="Arial" w:hAnsi="Arial" w:cs="Arial"/>
                <w:lang w:val="es-PE" w:eastAsia="es-PE"/>
              </w:rPr>
              <w:t>Monto de  operaciones</w:t>
            </w:r>
          </w:p>
        </w:tc>
        <w:tc>
          <w:tcPr>
            <w:tcW w:w="277" w:type="dxa"/>
            <w:shd w:val="clear" w:color="auto" w:fill="auto"/>
          </w:tcPr>
          <w:p w:rsidR="008B1846" w:rsidRPr="004E7132" w:rsidRDefault="008B1846" w:rsidP="0056133F">
            <w:pPr>
              <w:widowControl w:val="0"/>
              <w:spacing w:after="0" w:line="240" w:lineRule="auto"/>
              <w:jc w:val="both"/>
              <w:rPr>
                <w:rFonts w:ascii="Arial" w:hAnsi="Arial" w:cs="Arial"/>
                <w:lang w:val="es-PE" w:eastAsia="es-PE"/>
              </w:rPr>
            </w:pPr>
            <w:r w:rsidRPr="004E7132">
              <w:rPr>
                <w:rFonts w:ascii="Arial" w:hAnsi="Arial" w:cs="Arial"/>
                <w:lang w:val="es-PE" w:eastAsia="es-PE"/>
              </w:rPr>
              <w:t>:</w:t>
            </w:r>
          </w:p>
        </w:tc>
        <w:tc>
          <w:tcPr>
            <w:tcW w:w="6007" w:type="dxa"/>
            <w:shd w:val="clear" w:color="auto" w:fill="auto"/>
          </w:tcPr>
          <w:p w:rsidR="008B1846" w:rsidRPr="004E7132" w:rsidRDefault="008B1846" w:rsidP="0056133F">
            <w:pPr>
              <w:widowControl w:val="0"/>
              <w:spacing w:after="0" w:line="240" w:lineRule="auto"/>
              <w:jc w:val="both"/>
              <w:rPr>
                <w:rFonts w:ascii="Arial" w:hAnsi="Arial" w:cs="Arial"/>
                <w:lang w:val="es-PE" w:eastAsia="es-PE"/>
              </w:rPr>
            </w:pPr>
            <w:r w:rsidRPr="004E7132">
              <w:rPr>
                <w:rFonts w:ascii="Arial" w:hAnsi="Arial" w:cs="Arial"/>
                <w:lang w:val="es-PE" w:eastAsia="es-PE"/>
              </w:rPr>
              <w:t xml:space="preserve">A la suma de los montos numéricos pactados entre las partes, sin distinguir signo positivo o negativo, </w:t>
            </w:r>
            <w:r w:rsidRPr="00CF3A63">
              <w:rPr>
                <w:rFonts w:ascii="Arial" w:hAnsi="Arial" w:cs="Arial"/>
                <w:lang w:val="es-PE" w:eastAsia="es-PE"/>
              </w:rPr>
              <w:t>por</w:t>
            </w:r>
            <w:r>
              <w:rPr>
                <w:rFonts w:ascii="Arial" w:hAnsi="Arial" w:cs="Arial"/>
                <w:lang w:val="es-PE" w:eastAsia="es-PE"/>
              </w:rPr>
              <w:t xml:space="preserve"> </w:t>
            </w:r>
            <w:r w:rsidRPr="004E7132">
              <w:rPr>
                <w:rFonts w:ascii="Arial" w:hAnsi="Arial" w:cs="Arial"/>
                <w:lang w:val="es-PE" w:eastAsia="es-PE"/>
              </w:rPr>
              <w:t xml:space="preserve">los conceptos que se señalan a continuación y que correspondan a las transacciones realizadas con partes vinculadas y a las que se realicen desde, hacia o a través de países o territorios de baja o nula imposición: </w:t>
            </w:r>
          </w:p>
          <w:p w:rsidR="008B1846" w:rsidRPr="004E7132" w:rsidRDefault="008B1846" w:rsidP="0056133F">
            <w:pPr>
              <w:widowControl w:val="0"/>
              <w:spacing w:after="0" w:line="240" w:lineRule="auto"/>
              <w:jc w:val="both"/>
              <w:rPr>
                <w:rFonts w:ascii="Arial" w:hAnsi="Arial" w:cs="Arial"/>
                <w:lang w:val="es-PE" w:eastAsia="es-PE"/>
              </w:rPr>
            </w:pPr>
          </w:p>
          <w:p w:rsidR="008B1846" w:rsidRPr="004E7132" w:rsidRDefault="008B1846" w:rsidP="0056133F">
            <w:pPr>
              <w:pStyle w:val="Prrafodelista"/>
              <w:widowControl w:val="0"/>
              <w:numPr>
                <w:ilvl w:val="0"/>
                <w:numId w:val="2"/>
              </w:numPr>
              <w:tabs>
                <w:tab w:val="left" w:pos="513"/>
              </w:tabs>
              <w:spacing w:after="0" w:line="240" w:lineRule="auto"/>
              <w:ind w:left="371" w:hanging="371"/>
              <w:jc w:val="both"/>
              <w:rPr>
                <w:rFonts w:ascii="Arial" w:hAnsi="Arial" w:cs="Arial"/>
                <w:lang w:val="es-PE" w:eastAsia="es-PE"/>
              </w:rPr>
            </w:pPr>
            <w:r w:rsidRPr="004E7132">
              <w:rPr>
                <w:rFonts w:ascii="Arial" w:hAnsi="Arial" w:cs="Arial"/>
                <w:lang w:val="es-PE" w:eastAsia="es-PE"/>
              </w:rPr>
              <w:t>Los ingresos devengados en el ejercicio que generen rentas gravadas y</w:t>
            </w:r>
          </w:p>
          <w:p w:rsidR="008B1846" w:rsidRPr="004E7132" w:rsidRDefault="008B1846" w:rsidP="0056133F">
            <w:pPr>
              <w:pStyle w:val="Prrafodelista"/>
              <w:widowControl w:val="0"/>
              <w:tabs>
                <w:tab w:val="left" w:pos="513"/>
              </w:tabs>
              <w:spacing w:after="0" w:line="240" w:lineRule="auto"/>
              <w:ind w:left="371"/>
              <w:jc w:val="both"/>
              <w:rPr>
                <w:rFonts w:ascii="Arial" w:hAnsi="Arial" w:cs="Arial"/>
                <w:lang w:val="es-PE" w:eastAsia="es-PE"/>
              </w:rPr>
            </w:pPr>
          </w:p>
          <w:p w:rsidR="008B1846" w:rsidRPr="004E7132" w:rsidRDefault="008B1846" w:rsidP="0056133F">
            <w:pPr>
              <w:pStyle w:val="Prrafodelista"/>
              <w:widowControl w:val="0"/>
              <w:numPr>
                <w:ilvl w:val="0"/>
                <w:numId w:val="2"/>
              </w:numPr>
              <w:tabs>
                <w:tab w:val="left" w:pos="513"/>
              </w:tabs>
              <w:spacing w:after="0" w:line="240" w:lineRule="auto"/>
              <w:ind w:left="371" w:hanging="371"/>
              <w:jc w:val="both"/>
              <w:rPr>
                <w:rFonts w:ascii="Arial" w:hAnsi="Arial" w:cs="Arial"/>
                <w:lang w:val="es-PE" w:eastAsia="es-PE"/>
              </w:rPr>
            </w:pPr>
            <w:r w:rsidRPr="004E7132">
              <w:rPr>
                <w:rFonts w:ascii="Arial" w:hAnsi="Arial" w:cs="Arial"/>
                <w:lang w:val="es-PE" w:eastAsia="es-PE"/>
              </w:rPr>
              <w:t xml:space="preserve">Las adquisiciones de bienes y/o servicios y cualquier otro tipo de transacciones realizadas en el ejercicio que: </w:t>
            </w:r>
          </w:p>
          <w:p w:rsidR="008B1846" w:rsidRPr="004E7132" w:rsidRDefault="008B1846" w:rsidP="0056133F">
            <w:pPr>
              <w:pStyle w:val="Prrafodelista"/>
              <w:widowControl w:val="0"/>
              <w:tabs>
                <w:tab w:val="left" w:pos="513"/>
              </w:tabs>
              <w:spacing w:after="0" w:line="240" w:lineRule="auto"/>
              <w:ind w:left="371"/>
              <w:jc w:val="both"/>
              <w:rPr>
                <w:rFonts w:ascii="Arial" w:hAnsi="Arial" w:cs="Arial"/>
                <w:lang w:val="es-PE" w:eastAsia="es-PE"/>
              </w:rPr>
            </w:pPr>
          </w:p>
          <w:p w:rsidR="008B1846" w:rsidRPr="004E7132" w:rsidRDefault="008B1846" w:rsidP="0056133F">
            <w:pPr>
              <w:widowControl w:val="0"/>
              <w:spacing w:after="0" w:line="240" w:lineRule="auto"/>
              <w:ind w:left="796" w:hanging="425"/>
              <w:jc w:val="both"/>
              <w:rPr>
                <w:rFonts w:ascii="Arial" w:hAnsi="Arial" w:cs="Arial"/>
                <w:lang w:val="es-PE" w:eastAsia="es-PE"/>
              </w:rPr>
            </w:pPr>
            <w:r w:rsidRPr="004E7132">
              <w:rPr>
                <w:rFonts w:ascii="Arial" w:hAnsi="Arial" w:cs="Arial"/>
                <w:lang w:val="es-PE" w:eastAsia="es-PE"/>
              </w:rPr>
              <w:t xml:space="preserve">(ii.1)Resulten costos o gastos deducibles para la determinación del Impuesto a la Renta. </w:t>
            </w:r>
          </w:p>
          <w:p w:rsidR="008B1846" w:rsidRPr="004E7132" w:rsidRDefault="008B1846" w:rsidP="0056133F">
            <w:pPr>
              <w:widowControl w:val="0"/>
              <w:spacing w:after="0" w:line="240" w:lineRule="auto"/>
              <w:ind w:left="938" w:hanging="567"/>
              <w:jc w:val="both"/>
              <w:rPr>
                <w:rFonts w:ascii="Arial" w:hAnsi="Arial" w:cs="Arial"/>
                <w:lang w:val="es-PE" w:eastAsia="es-PE"/>
              </w:rPr>
            </w:pPr>
          </w:p>
          <w:p w:rsidR="008B1846" w:rsidRPr="004E7132" w:rsidRDefault="008B1846" w:rsidP="0056133F">
            <w:pPr>
              <w:widowControl w:val="0"/>
              <w:spacing w:after="0" w:line="240" w:lineRule="auto"/>
              <w:ind w:left="796" w:hanging="425"/>
              <w:jc w:val="both"/>
              <w:rPr>
                <w:rFonts w:ascii="Arial" w:hAnsi="Arial" w:cs="Arial"/>
                <w:lang w:val="es-PE" w:eastAsia="es-PE"/>
              </w:rPr>
            </w:pPr>
            <w:r w:rsidRPr="004E7132">
              <w:rPr>
                <w:rFonts w:ascii="Arial" w:hAnsi="Arial" w:cs="Arial"/>
                <w:lang w:val="es-PE" w:eastAsia="es-PE"/>
              </w:rPr>
              <w:t>(ii.2)No siendo deducibles para la determinación del Impuesto a la Renta, resulten rentas gravadas de fuente peruana para una de las partes.</w:t>
            </w:r>
          </w:p>
          <w:p w:rsidR="008B1846" w:rsidRPr="004E7132" w:rsidRDefault="008B1846" w:rsidP="0056133F">
            <w:pPr>
              <w:widowControl w:val="0"/>
              <w:spacing w:after="0" w:line="240" w:lineRule="auto"/>
              <w:jc w:val="both"/>
              <w:rPr>
                <w:rFonts w:ascii="Arial" w:hAnsi="Arial" w:cs="Arial"/>
                <w:lang w:val="es-PE" w:eastAsia="es-PE"/>
              </w:rPr>
            </w:pPr>
          </w:p>
          <w:p w:rsidR="008B1846" w:rsidRPr="004E7132" w:rsidRDefault="008B1846" w:rsidP="0056133F">
            <w:pPr>
              <w:widowControl w:val="0"/>
              <w:spacing w:after="0" w:line="240" w:lineRule="auto"/>
              <w:jc w:val="both"/>
              <w:rPr>
                <w:rFonts w:ascii="Arial" w:hAnsi="Arial" w:cs="Arial"/>
                <w:lang w:val="es-PE" w:eastAsia="es-PE"/>
              </w:rPr>
            </w:pPr>
            <w:r w:rsidRPr="004E7132">
              <w:rPr>
                <w:rFonts w:ascii="Arial" w:hAnsi="Arial" w:cs="Arial"/>
                <w:lang w:val="es-PE" w:eastAsia="es-PE"/>
              </w:rPr>
              <w:t xml:space="preserve">Tratándose de transferencias de propiedad a título gratuito se deberá considerar el importe del costo computable del bien. </w:t>
            </w:r>
          </w:p>
          <w:p w:rsidR="008B1846" w:rsidRPr="004E7132" w:rsidRDefault="008B1846" w:rsidP="0056133F">
            <w:pPr>
              <w:widowControl w:val="0"/>
              <w:spacing w:after="0" w:line="240" w:lineRule="auto"/>
              <w:jc w:val="both"/>
              <w:rPr>
                <w:rFonts w:ascii="Arial" w:hAnsi="Arial" w:cs="Arial"/>
                <w:lang w:val="es-PE" w:eastAsia="es-PE"/>
              </w:rPr>
            </w:pPr>
          </w:p>
          <w:p w:rsidR="008B1846" w:rsidRPr="004E7132" w:rsidRDefault="008B1846" w:rsidP="0056133F">
            <w:pPr>
              <w:widowControl w:val="0"/>
              <w:spacing w:after="0" w:line="240" w:lineRule="auto"/>
              <w:jc w:val="both"/>
              <w:rPr>
                <w:rFonts w:ascii="Arial" w:hAnsi="Arial" w:cs="Arial"/>
                <w:lang w:val="es-PE" w:eastAsia="es-PE"/>
              </w:rPr>
            </w:pPr>
            <w:r w:rsidRPr="004E7132">
              <w:rPr>
                <w:rFonts w:ascii="Arial" w:hAnsi="Arial" w:cs="Arial"/>
                <w:lang w:val="es-PE" w:eastAsia="es-PE"/>
              </w:rPr>
              <w:t xml:space="preserve">Para la determinación del monto de operaciones no se tomará en cuenta el monto de las contraprestaciones a que se refiere el último párrafo del artículo 108 del </w:t>
            </w:r>
            <w:r>
              <w:rPr>
                <w:rFonts w:ascii="Arial" w:hAnsi="Arial" w:cs="Arial"/>
                <w:lang w:val="es-PE" w:eastAsia="es-PE"/>
              </w:rPr>
              <w:t>r</w:t>
            </w:r>
            <w:r w:rsidRPr="004E7132">
              <w:rPr>
                <w:rFonts w:ascii="Arial" w:hAnsi="Arial" w:cs="Arial"/>
                <w:lang w:val="es-PE" w:eastAsia="es-PE"/>
              </w:rPr>
              <w:t xml:space="preserve">eglamento de la </w:t>
            </w:r>
            <w:r>
              <w:rPr>
                <w:rFonts w:ascii="Arial" w:hAnsi="Arial" w:cs="Arial"/>
                <w:lang w:val="es-PE" w:eastAsia="es-PE"/>
              </w:rPr>
              <w:t>l</w:t>
            </w:r>
            <w:r w:rsidRPr="004E7132">
              <w:rPr>
                <w:rFonts w:ascii="Arial" w:hAnsi="Arial" w:cs="Arial"/>
                <w:lang w:val="es-PE" w:eastAsia="es-PE"/>
              </w:rPr>
              <w:t>ey.</w:t>
            </w:r>
          </w:p>
          <w:p w:rsidR="008B1846" w:rsidRPr="004E7132" w:rsidRDefault="008B1846" w:rsidP="0056133F">
            <w:pPr>
              <w:widowControl w:val="0"/>
              <w:spacing w:after="0" w:line="240" w:lineRule="auto"/>
              <w:jc w:val="both"/>
              <w:rPr>
                <w:rFonts w:ascii="Arial" w:hAnsi="Arial" w:cs="Arial"/>
                <w:lang w:val="es-PE" w:eastAsia="es-PE"/>
              </w:rPr>
            </w:pPr>
          </w:p>
        </w:tc>
      </w:tr>
      <w:tr w:rsidR="008B1846" w:rsidRPr="004E7132" w:rsidTr="0056133F">
        <w:trPr>
          <w:trHeight w:val="525"/>
        </w:trPr>
        <w:tc>
          <w:tcPr>
            <w:tcW w:w="426" w:type="dxa"/>
            <w:shd w:val="clear" w:color="auto" w:fill="auto"/>
          </w:tcPr>
          <w:p w:rsidR="008B1846" w:rsidRPr="004E7132" w:rsidRDefault="008B1846" w:rsidP="0056133F">
            <w:pPr>
              <w:widowControl w:val="0"/>
              <w:spacing w:after="0" w:line="240" w:lineRule="auto"/>
              <w:ind w:left="-108"/>
              <w:jc w:val="both"/>
              <w:rPr>
                <w:rFonts w:ascii="Arial" w:hAnsi="Arial" w:cs="Arial"/>
                <w:lang w:val="es-PE" w:eastAsia="es-PE"/>
              </w:rPr>
            </w:pPr>
            <w:r w:rsidRPr="004E7132">
              <w:rPr>
                <w:rFonts w:ascii="Arial" w:hAnsi="Arial" w:cs="Arial"/>
                <w:lang w:val="es-PE" w:eastAsia="es-PE"/>
              </w:rPr>
              <w:t>5.</w:t>
            </w:r>
          </w:p>
        </w:tc>
        <w:tc>
          <w:tcPr>
            <w:tcW w:w="1795" w:type="dxa"/>
            <w:shd w:val="clear" w:color="auto" w:fill="auto"/>
          </w:tcPr>
          <w:p w:rsidR="008B1846" w:rsidRPr="004E7132" w:rsidRDefault="008B1846" w:rsidP="0056133F">
            <w:pPr>
              <w:widowControl w:val="0"/>
              <w:spacing w:after="0" w:line="240" w:lineRule="auto"/>
              <w:rPr>
                <w:rFonts w:ascii="Arial" w:hAnsi="Arial" w:cs="Arial"/>
                <w:lang w:val="es-PE" w:eastAsia="es-PE"/>
              </w:rPr>
            </w:pPr>
            <w:r w:rsidRPr="004E7132">
              <w:rPr>
                <w:rFonts w:ascii="Arial" w:hAnsi="Arial" w:cs="Arial"/>
                <w:lang w:val="es-PE" w:eastAsia="es-PE"/>
              </w:rPr>
              <w:t xml:space="preserve">SUNAT Operaciones en </w:t>
            </w:r>
          </w:p>
          <w:p w:rsidR="008B1846" w:rsidRPr="004E7132" w:rsidRDefault="008B1846" w:rsidP="0056133F">
            <w:pPr>
              <w:widowControl w:val="0"/>
              <w:spacing w:after="0" w:line="240" w:lineRule="auto"/>
              <w:rPr>
                <w:rFonts w:ascii="Arial" w:hAnsi="Arial" w:cs="Arial"/>
                <w:lang w:val="es-PE" w:eastAsia="es-PE"/>
              </w:rPr>
            </w:pPr>
            <w:r w:rsidRPr="004E7132">
              <w:rPr>
                <w:rFonts w:ascii="Arial" w:hAnsi="Arial" w:cs="Arial"/>
                <w:lang w:val="es-PE" w:eastAsia="es-PE"/>
              </w:rPr>
              <w:t xml:space="preserve">Línea, </w:t>
            </w:r>
            <w:r>
              <w:rPr>
                <w:rFonts w:ascii="Arial" w:hAnsi="Arial" w:cs="Arial"/>
                <w:lang w:val="es-PE" w:eastAsia="es-PE"/>
              </w:rPr>
              <w:t>c</w:t>
            </w:r>
            <w:r w:rsidRPr="004E7132">
              <w:rPr>
                <w:rFonts w:ascii="Arial" w:hAnsi="Arial" w:cs="Arial"/>
                <w:lang w:val="es-PE" w:eastAsia="es-PE"/>
              </w:rPr>
              <w:t xml:space="preserve">ódigo de </w:t>
            </w:r>
            <w:r>
              <w:rPr>
                <w:rFonts w:ascii="Arial" w:hAnsi="Arial" w:cs="Arial"/>
                <w:lang w:val="es-PE" w:eastAsia="es-PE"/>
              </w:rPr>
              <w:t>u</w:t>
            </w:r>
            <w:r w:rsidRPr="004E7132">
              <w:rPr>
                <w:rFonts w:ascii="Arial" w:hAnsi="Arial" w:cs="Arial"/>
                <w:lang w:val="es-PE" w:eastAsia="es-PE"/>
              </w:rPr>
              <w:t xml:space="preserve">suario y </w:t>
            </w:r>
            <w:r>
              <w:rPr>
                <w:rFonts w:ascii="Arial" w:hAnsi="Arial" w:cs="Arial"/>
                <w:lang w:val="es-PE" w:eastAsia="es-PE"/>
              </w:rPr>
              <w:t>c</w:t>
            </w:r>
            <w:r w:rsidRPr="004E7132">
              <w:rPr>
                <w:rFonts w:ascii="Arial" w:hAnsi="Arial" w:cs="Arial"/>
                <w:lang w:val="es-PE" w:eastAsia="es-PE"/>
              </w:rPr>
              <w:t>lave SOL</w:t>
            </w:r>
          </w:p>
          <w:p w:rsidR="008B1846" w:rsidRPr="004E7132" w:rsidRDefault="008B1846" w:rsidP="0056133F">
            <w:pPr>
              <w:widowControl w:val="0"/>
              <w:spacing w:after="0" w:line="240" w:lineRule="auto"/>
              <w:rPr>
                <w:rFonts w:ascii="Arial" w:hAnsi="Arial" w:cs="Arial"/>
                <w:lang w:val="es-PE" w:eastAsia="es-PE"/>
              </w:rPr>
            </w:pPr>
          </w:p>
        </w:tc>
        <w:tc>
          <w:tcPr>
            <w:tcW w:w="277" w:type="dxa"/>
            <w:shd w:val="clear" w:color="auto" w:fill="auto"/>
          </w:tcPr>
          <w:p w:rsidR="008B1846" w:rsidRPr="004E7132" w:rsidRDefault="008B1846" w:rsidP="0056133F">
            <w:pPr>
              <w:widowControl w:val="0"/>
              <w:spacing w:after="0" w:line="240" w:lineRule="auto"/>
              <w:jc w:val="both"/>
              <w:rPr>
                <w:rFonts w:ascii="Arial" w:hAnsi="Arial" w:cs="Arial"/>
                <w:lang w:val="es-PE" w:eastAsia="es-PE"/>
              </w:rPr>
            </w:pPr>
            <w:r w:rsidRPr="004E7132">
              <w:rPr>
                <w:rFonts w:ascii="Arial" w:hAnsi="Arial" w:cs="Arial"/>
                <w:lang w:val="es-PE" w:eastAsia="es-PE"/>
              </w:rPr>
              <w:lastRenderedPageBreak/>
              <w:t>:</w:t>
            </w:r>
          </w:p>
        </w:tc>
        <w:tc>
          <w:tcPr>
            <w:tcW w:w="6007" w:type="dxa"/>
            <w:shd w:val="clear" w:color="auto" w:fill="auto"/>
          </w:tcPr>
          <w:p w:rsidR="008B1846" w:rsidRPr="004E7132" w:rsidRDefault="008B1846" w:rsidP="0056133F">
            <w:pPr>
              <w:pStyle w:val="NormalWeb"/>
              <w:spacing w:before="0" w:beforeAutospacing="0" w:after="0" w:afterAutospacing="0"/>
              <w:jc w:val="both"/>
              <w:rPr>
                <w:rFonts w:ascii="Arial" w:eastAsia="MS Mincho" w:hAnsi="Arial" w:cs="Arial"/>
                <w:sz w:val="22"/>
                <w:szCs w:val="22"/>
                <w:lang w:val="es-PE" w:eastAsia="es-PE"/>
              </w:rPr>
            </w:pPr>
            <w:r w:rsidRPr="004E7132">
              <w:rPr>
                <w:rFonts w:ascii="Arial" w:eastAsia="Calibri" w:hAnsi="Arial" w:cs="Arial"/>
                <w:color w:val="000000"/>
                <w:sz w:val="22"/>
                <w:szCs w:val="22"/>
                <w:lang w:val="es-PE" w:eastAsia="es-PE"/>
              </w:rPr>
              <w:t xml:space="preserve">A los conceptos referidos en los incisos a), d) y e) del artículo 1 de la Resolución de Superintendencia N.° 109-2000/SUNAT y normas modificatorias, respectivamente. </w:t>
            </w:r>
          </w:p>
        </w:tc>
      </w:tr>
      <w:tr w:rsidR="008B1846" w:rsidRPr="004E7132" w:rsidTr="0056133F">
        <w:trPr>
          <w:trHeight w:val="926"/>
        </w:trPr>
        <w:tc>
          <w:tcPr>
            <w:tcW w:w="426" w:type="dxa"/>
            <w:shd w:val="clear" w:color="auto" w:fill="auto"/>
          </w:tcPr>
          <w:p w:rsidR="008B1846" w:rsidRPr="004E7132" w:rsidRDefault="008B1846" w:rsidP="0056133F">
            <w:pPr>
              <w:widowControl w:val="0"/>
              <w:spacing w:after="0" w:line="240" w:lineRule="auto"/>
              <w:ind w:left="-108"/>
              <w:jc w:val="both"/>
              <w:rPr>
                <w:rFonts w:ascii="Arial" w:hAnsi="Arial" w:cs="Arial"/>
                <w:lang w:val="es-PE" w:eastAsia="es-PE"/>
              </w:rPr>
            </w:pPr>
            <w:r w:rsidRPr="004E7132">
              <w:rPr>
                <w:rFonts w:ascii="Arial" w:hAnsi="Arial" w:cs="Arial"/>
                <w:lang w:val="es-PE" w:eastAsia="es-PE"/>
              </w:rPr>
              <w:lastRenderedPageBreak/>
              <w:t>6.</w:t>
            </w:r>
          </w:p>
        </w:tc>
        <w:tc>
          <w:tcPr>
            <w:tcW w:w="1795" w:type="dxa"/>
            <w:shd w:val="clear" w:color="auto" w:fill="auto"/>
          </w:tcPr>
          <w:p w:rsidR="008B1846" w:rsidRPr="004E7132" w:rsidRDefault="008B1846" w:rsidP="0056133F">
            <w:pPr>
              <w:widowControl w:val="0"/>
              <w:spacing w:after="0" w:line="240" w:lineRule="auto"/>
              <w:rPr>
                <w:rFonts w:ascii="Arial" w:hAnsi="Arial" w:cs="Arial"/>
                <w:lang w:val="es-PE" w:eastAsia="es-PE"/>
              </w:rPr>
            </w:pPr>
            <w:r w:rsidRPr="004E7132">
              <w:rPr>
                <w:rFonts w:ascii="Arial" w:hAnsi="Arial" w:cs="Arial"/>
                <w:lang w:val="es-PE" w:eastAsia="es-PE"/>
              </w:rPr>
              <w:t>SUNAT Virtual</w:t>
            </w:r>
            <w:r w:rsidRPr="004E7132">
              <w:rPr>
                <w:rFonts w:ascii="Arial" w:hAnsi="Arial" w:cs="Arial"/>
                <w:iCs/>
                <w:color w:val="000000"/>
                <w:sz w:val="20"/>
                <w:szCs w:val="20"/>
                <w:shd w:val="clear" w:color="auto" w:fill="FFFFFF"/>
              </w:rPr>
              <w:t xml:space="preserve">  </w:t>
            </w:r>
            <w:r w:rsidRPr="004E7132">
              <w:rPr>
                <w:rStyle w:val="apple-converted-space"/>
                <w:rFonts w:ascii="Arial" w:hAnsi="Arial" w:cs="Arial"/>
                <w:iCs/>
                <w:color w:val="000000"/>
                <w:sz w:val="20"/>
                <w:szCs w:val="20"/>
                <w:shd w:val="clear" w:color="auto" w:fill="FFFFFF"/>
              </w:rPr>
              <w:t> </w:t>
            </w:r>
          </w:p>
        </w:tc>
        <w:tc>
          <w:tcPr>
            <w:tcW w:w="277" w:type="dxa"/>
            <w:shd w:val="clear" w:color="auto" w:fill="auto"/>
          </w:tcPr>
          <w:p w:rsidR="008B1846" w:rsidRPr="004E7132" w:rsidRDefault="008B1846" w:rsidP="0056133F">
            <w:pPr>
              <w:widowControl w:val="0"/>
              <w:spacing w:after="0" w:line="240" w:lineRule="auto"/>
              <w:jc w:val="both"/>
              <w:rPr>
                <w:rFonts w:ascii="Arial" w:hAnsi="Arial" w:cs="Arial"/>
                <w:lang w:val="es-PE" w:eastAsia="es-PE"/>
              </w:rPr>
            </w:pPr>
            <w:r w:rsidRPr="004E7132">
              <w:rPr>
                <w:rFonts w:ascii="Arial" w:hAnsi="Arial" w:cs="Arial"/>
                <w:lang w:val="es-PE" w:eastAsia="es-PE"/>
              </w:rPr>
              <w:t>:</w:t>
            </w:r>
          </w:p>
        </w:tc>
        <w:tc>
          <w:tcPr>
            <w:tcW w:w="6007" w:type="dxa"/>
            <w:shd w:val="clear" w:color="auto" w:fill="auto"/>
          </w:tcPr>
          <w:p w:rsidR="008B1846" w:rsidRPr="004E7132" w:rsidRDefault="008B1846" w:rsidP="0056133F">
            <w:pPr>
              <w:pStyle w:val="NormalWeb"/>
              <w:spacing w:before="0" w:beforeAutospacing="0" w:after="0" w:afterAutospacing="0"/>
              <w:jc w:val="both"/>
              <w:rPr>
                <w:rFonts w:ascii="Arial" w:eastAsia="MS Mincho" w:hAnsi="Arial" w:cs="Arial"/>
                <w:sz w:val="22"/>
                <w:szCs w:val="22"/>
                <w:lang w:val="es-PE" w:eastAsia="es-PE"/>
              </w:rPr>
            </w:pPr>
            <w:r w:rsidRPr="004E7132">
              <w:rPr>
                <w:rFonts w:ascii="Arial" w:eastAsia="MS Mincho" w:hAnsi="Arial" w:cs="Arial"/>
                <w:sz w:val="22"/>
                <w:szCs w:val="22"/>
                <w:lang w:val="es-PE" w:eastAsia="es-PE"/>
              </w:rPr>
              <w:t xml:space="preserve">Al Portal de la SUNAT en la Internet, cuya dirección es </w:t>
            </w:r>
            <w:hyperlink r:id="rId5" w:history="1">
              <w:r w:rsidRPr="004E7132">
                <w:rPr>
                  <w:rStyle w:val="Hipervnculo"/>
                  <w:rFonts w:ascii="Arial" w:eastAsia="MS Mincho" w:hAnsi="Arial" w:cs="Arial"/>
                  <w:sz w:val="22"/>
                  <w:szCs w:val="22"/>
                  <w:lang w:val="es-PE" w:eastAsia="es-PE"/>
                </w:rPr>
                <w:t>http://www.sunat.gob.pe</w:t>
              </w:r>
            </w:hyperlink>
            <w:r w:rsidRPr="004E7132">
              <w:rPr>
                <w:rFonts w:ascii="Arial" w:eastAsia="MS Mincho" w:hAnsi="Arial" w:cs="Arial"/>
                <w:sz w:val="22"/>
                <w:szCs w:val="22"/>
                <w:lang w:val="es-PE" w:eastAsia="es-PE"/>
              </w:rPr>
              <w:t>.</w:t>
            </w:r>
          </w:p>
          <w:p w:rsidR="008B1846" w:rsidRPr="004E7132" w:rsidRDefault="008B1846" w:rsidP="0056133F">
            <w:pPr>
              <w:pStyle w:val="NormalWeb"/>
              <w:spacing w:before="0" w:beforeAutospacing="0" w:after="0" w:afterAutospacing="0"/>
              <w:jc w:val="both"/>
              <w:rPr>
                <w:rFonts w:ascii="Arial" w:hAnsi="Arial" w:cs="Arial"/>
                <w:color w:val="000000"/>
                <w:sz w:val="20"/>
                <w:szCs w:val="20"/>
              </w:rPr>
            </w:pPr>
          </w:p>
        </w:tc>
      </w:tr>
    </w:tbl>
    <w:p w:rsidR="008B1846" w:rsidRPr="004E7132" w:rsidRDefault="008B1846" w:rsidP="008B1846">
      <w:pPr>
        <w:widowControl w:val="0"/>
        <w:autoSpaceDE w:val="0"/>
        <w:autoSpaceDN w:val="0"/>
        <w:adjustRightInd w:val="0"/>
        <w:spacing w:after="0" w:line="240" w:lineRule="auto"/>
        <w:jc w:val="both"/>
        <w:rPr>
          <w:rFonts w:ascii="Arial" w:hAnsi="Arial" w:cs="Arial"/>
          <w:b/>
          <w:color w:val="000000"/>
          <w:lang w:val="es-PE" w:eastAsia="es-PE"/>
        </w:rPr>
      </w:pPr>
      <w:r w:rsidRPr="004E7132">
        <w:rPr>
          <w:rFonts w:ascii="Arial" w:hAnsi="Arial" w:cs="Arial"/>
          <w:b/>
          <w:color w:val="000000" w:themeColor="text1"/>
          <w:lang w:val="es-ES_tradnl"/>
        </w:rPr>
        <w:t xml:space="preserve">Artículo 2. Sujetos obligados </w:t>
      </w:r>
      <w:r w:rsidRPr="004E7132">
        <w:rPr>
          <w:rFonts w:ascii="Arial" w:hAnsi="Arial" w:cs="Arial"/>
          <w:b/>
          <w:color w:val="000000"/>
          <w:lang w:val="es-PE" w:eastAsia="es-PE"/>
        </w:rPr>
        <w:t>a presentar</w:t>
      </w:r>
      <w:r w:rsidR="00C04FC2">
        <w:rPr>
          <w:rFonts w:ascii="Arial" w:hAnsi="Arial" w:cs="Arial"/>
          <w:b/>
          <w:color w:val="000000"/>
          <w:lang w:val="es-PE" w:eastAsia="es-PE"/>
        </w:rPr>
        <w:t xml:space="preserve"> </w:t>
      </w:r>
      <w:r w:rsidRPr="004E7132">
        <w:rPr>
          <w:rFonts w:ascii="Arial" w:hAnsi="Arial" w:cs="Arial"/>
          <w:b/>
          <w:color w:val="000000"/>
          <w:lang w:val="es-PE" w:eastAsia="es-PE"/>
        </w:rPr>
        <w:t xml:space="preserve">la </w:t>
      </w:r>
      <w:r w:rsidRPr="004E7132">
        <w:rPr>
          <w:rFonts w:ascii="Arial" w:hAnsi="Arial" w:cs="Arial"/>
          <w:b/>
          <w:color w:val="000000" w:themeColor="text1"/>
          <w:lang w:val="es-ES_tradnl"/>
        </w:rPr>
        <w:t>declaración</w:t>
      </w:r>
    </w:p>
    <w:p w:rsidR="008B1846" w:rsidRPr="004E7132" w:rsidRDefault="008B1846" w:rsidP="008B1846">
      <w:pPr>
        <w:widowControl w:val="0"/>
        <w:autoSpaceDE w:val="0"/>
        <w:autoSpaceDN w:val="0"/>
        <w:adjustRightInd w:val="0"/>
        <w:spacing w:after="0" w:line="240" w:lineRule="auto"/>
        <w:jc w:val="both"/>
        <w:rPr>
          <w:rFonts w:ascii="Arial" w:hAnsi="Arial" w:cs="Arial"/>
          <w:color w:val="000000" w:themeColor="text1"/>
          <w:lang w:val="es-PE"/>
        </w:rPr>
      </w:pPr>
    </w:p>
    <w:p w:rsidR="008B1846" w:rsidRPr="004E7132" w:rsidRDefault="008B1846" w:rsidP="008B1846">
      <w:pPr>
        <w:widowControl w:val="0"/>
        <w:autoSpaceDE w:val="0"/>
        <w:autoSpaceDN w:val="0"/>
        <w:adjustRightInd w:val="0"/>
        <w:spacing w:after="0" w:line="240" w:lineRule="auto"/>
        <w:jc w:val="both"/>
        <w:rPr>
          <w:rFonts w:ascii="Arial" w:hAnsi="Arial" w:cs="Arial"/>
          <w:color w:val="000000" w:themeColor="text1"/>
          <w:lang w:val="es-ES_tradnl"/>
        </w:rPr>
      </w:pPr>
      <w:r w:rsidRPr="004E7132">
        <w:rPr>
          <w:rFonts w:ascii="Arial" w:hAnsi="Arial" w:cs="Arial"/>
          <w:color w:val="000000" w:themeColor="text1"/>
          <w:lang w:val="es-ES_tradnl"/>
        </w:rPr>
        <w:t xml:space="preserve">2.1 Los contribuyentes se encuentran obligados a presentar la </w:t>
      </w:r>
      <w:r>
        <w:rPr>
          <w:rFonts w:ascii="Arial" w:hAnsi="Arial" w:cs="Arial"/>
          <w:color w:val="000000" w:themeColor="text1"/>
          <w:lang w:val="es-ES_tradnl"/>
        </w:rPr>
        <w:t>d</w:t>
      </w:r>
      <w:r w:rsidRPr="004E7132">
        <w:rPr>
          <w:rFonts w:ascii="Arial" w:hAnsi="Arial" w:cs="Arial"/>
          <w:color w:val="000000" w:themeColor="text1"/>
          <w:lang w:val="es-ES_tradnl"/>
        </w:rPr>
        <w:t xml:space="preserve">eclaración conforme a lo establecido en el párrafo 4.1 del artículo 4 cuando en el ejercicio gravable al que corresponde la </w:t>
      </w:r>
      <w:r>
        <w:rPr>
          <w:rFonts w:ascii="Arial" w:hAnsi="Arial" w:cs="Arial"/>
          <w:color w:val="000000" w:themeColor="text1"/>
          <w:lang w:val="es-ES_tradnl"/>
        </w:rPr>
        <w:t>d</w:t>
      </w:r>
      <w:r w:rsidRPr="004E7132">
        <w:rPr>
          <w:rFonts w:ascii="Arial" w:hAnsi="Arial" w:cs="Arial"/>
          <w:color w:val="000000" w:themeColor="text1"/>
          <w:lang w:val="es-ES_tradnl"/>
        </w:rPr>
        <w:t>eclaración:</w:t>
      </w:r>
    </w:p>
    <w:p w:rsidR="008B1846" w:rsidRPr="004E7132" w:rsidRDefault="008B1846" w:rsidP="008B1846">
      <w:pPr>
        <w:widowControl w:val="0"/>
        <w:autoSpaceDE w:val="0"/>
        <w:autoSpaceDN w:val="0"/>
        <w:adjustRightInd w:val="0"/>
        <w:spacing w:after="0" w:line="240" w:lineRule="auto"/>
        <w:ind w:left="426" w:hanging="426"/>
        <w:jc w:val="both"/>
        <w:rPr>
          <w:rFonts w:ascii="Arial" w:hAnsi="Arial" w:cs="Arial"/>
          <w:color w:val="000000" w:themeColor="text1"/>
          <w:lang w:val="es-ES_tradnl"/>
        </w:rPr>
      </w:pPr>
    </w:p>
    <w:p w:rsidR="008B1846" w:rsidRPr="004E7132" w:rsidRDefault="008B1846" w:rsidP="008B1846">
      <w:pPr>
        <w:pStyle w:val="Prrafodelista"/>
        <w:widowControl w:val="0"/>
        <w:numPr>
          <w:ilvl w:val="0"/>
          <w:numId w:val="3"/>
        </w:numPr>
        <w:autoSpaceDE w:val="0"/>
        <w:autoSpaceDN w:val="0"/>
        <w:adjustRightInd w:val="0"/>
        <w:spacing w:after="0" w:line="240" w:lineRule="auto"/>
        <w:ind w:left="426" w:hanging="426"/>
        <w:jc w:val="both"/>
        <w:rPr>
          <w:rFonts w:ascii="Arial" w:hAnsi="Arial" w:cs="Arial"/>
          <w:color w:val="000000" w:themeColor="text1"/>
          <w:lang w:val="es-ES_tradnl"/>
        </w:rPr>
      </w:pPr>
      <w:r w:rsidRPr="004E7132">
        <w:rPr>
          <w:rFonts w:ascii="Arial" w:hAnsi="Arial" w:cs="Arial"/>
          <w:color w:val="000000" w:themeColor="text1"/>
          <w:lang w:val="es-ES_tradnl"/>
        </w:rPr>
        <w:t>Sus ingresos devengados hayan superado las dos mil trescientas (2 300) Unidades Impositivas Tributarias (UIT)</w:t>
      </w:r>
      <w:r>
        <w:rPr>
          <w:rFonts w:ascii="Arial" w:hAnsi="Arial" w:cs="Arial"/>
          <w:color w:val="000000" w:themeColor="text1"/>
          <w:lang w:val="es-ES_tradnl"/>
        </w:rPr>
        <w:t xml:space="preserve"> </w:t>
      </w:r>
      <w:r w:rsidRPr="004E7132">
        <w:rPr>
          <w:rFonts w:ascii="Arial" w:hAnsi="Arial" w:cs="Arial"/>
          <w:color w:val="000000" w:themeColor="text1"/>
          <w:lang w:val="es-ES_tradnl"/>
        </w:rPr>
        <w:t>y</w:t>
      </w:r>
    </w:p>
    <w:p w:rsidR="008B1846" w:rsidRPr="004E7132" w:rsidRDefault="008B1846" w:rsidP="008B1846">
      <w:pPr>
        <w:pStyle w:val="Prrafodelista"/>
        <w:widowControl w:val="0"/>
        <w:autoSpaceDE w:val="0"/>
        <w:autoSpaceDN w:val="0"/>
        <w:adjustRightInd w:val="0"/>
        <w:spacing w:after="0" w:line="240" w:lineRule="auto"/>
        <w:ind w:left="426" w:hanging="426"/>
        <w:jc w:val="both"/>
        <w:rPr>
          <w:rFonts w:ascii="Arial" w:hAnsi="Arial" w:cs="Arial"/>
          <w:color w:val="000000" w:themeColor="text1"/>
          <w:lang w:val="es-ES_tradnl"/>
        </w:rPr>
      </w:pPr>
    </w:p>
    <w:p w:rsidR="008B1846" w:rsidRPr="004E7132" w:rsidRDefault="008B1846" w:rsidP="008B1846">
      <w:pPr>
        <w:pStyle w:val="Prrafodelista"/>
        <w:widowControl w:val="0"/>
        <w:numPr>
          <w:ilvl w:val="0"/>
          <w:numId w:val="3"/>
        </w:numPr>
        <w:autoSpaceDE w:val="0"/>
        <w:autoSpaceDN w:val="0"/>
        <w:adjustRightInd w:val="0"/>
        <w:spacing w:after="0" w:line="240" w:lineRule="auto"/>
        <w:ind w:left="426" w:hanging="426"/>
        <w:jc w:val="both"/>
        <w:rPr>
          <w:rFonts w:ascii="Arial" w:hAnsi="Arial" w:cs="Arial"/>
          <w:color w:val="000000" w:themeColor="text1"/>
        </w:rPr>
      </w:pPr>
      <w:r w:rsidRPr="004E7132">
        <w:rPr>
          <w:rFonts w:ascii="Arial" w:hAnsi="Arial" w:cs="Arial"/>
          <w:color w:val="000000" w:themeColor="text1"/>
          <w:lang w:val="es-ES_tradnl"/>
        </w:rPr>
        <w:t>Hubieran realizado transacciones dentro del ámbito de aplicación de las normas de precios de transferencia, cuyo monto de operaciones sea igual o mayor a cien (100) Unidades Impositivas Tributarias (UIT) y menor a cuatrocientas (400) Unidades Impositivas Tributarias (UIT).</w:t>
      </w:r>
    </w:p>
    <w:p w:rsidR="008B1846" w:rsidRPr="004E7132" w:rsidRDefault="008B1846" w:rsidP="008B1846">
      <w:pPr>
        <w:widowControl w:val="0"/>
        <w:autoSpaceDE w:val="0"/>
        <w:autoSpaceDN w:val="0"/>
        <w:adjustRightInd w:val="0"/>
        <w:spacing w:after="0" w:line="240" w:lineRule="auto"/>
        <w:ind w:left="426" w:hanging="426"/>
        <w:jc w:val="both"/>
        <w:rPr>
          <w:rFonts w:ascii="Arial" w:hAnsi="Arial" w:cs="Arial"/>
          <w:color w:val="000000" w:themeColor="text1"/>
        </w:rPr>
      </w:pPr>
    </w:p>
    <w:p w:rsidR="008B1846" w:rsidRPr="004E7132" w:rsidRDefault="008B1846" w:rsidP="008B1846">
      <w:pPr>
        <w:widowControl w:val="0"/>
        <w:autoSpaceDE w:val="0"/>
        <w:autoSpaceDN w:val="0"/>
        <w:adjustRightInd w:val="0"/>
        <w:spacing w:after="0" w:line="240" w:lineRule="auto"/>
        <w:jc w:val="both"/>
        <w:rPr>
          <w:rFonts w:ascii="Arial" w:hAnsi="Arial" w:cs="Arial"/>
          <w:color w:val="000000" w:themeColor="text1"/>
          <w:lang w:val="es-ES_tradnl"/>
        </w:rPr>
      </w:pPr>
      <w:r w:rsidRPr="004E7132">
        <w:rPr>
          <w:rFonts w:ascii="Arial" w:hAnsi="Arial" w:cs="Arial"/>
          <w:color w:val="000000" w:themeColor="text1"/>
          <w:lang w:val="es-ES_tradnl"/>
        </w:rPr>
        <w:t xml:space="preserve">2.2 Están obligados a presentar la </w:t>
      </w:r>
      <w:r>
        <w:rPr>
          <w:rFonts w:ascii="Arial" w:hAnsi="Arial" w:cs="Arial"/>
          <w:color w:val="000000" w:themeColor="text1"/>
          <w:lang w:val="es-ES_tradnl"/>
        </w:rPr>
        <w:t>d</w:t>
      </w:r>
      <w:r w:rsidRPr="004E7132">
        <w:rPr>
          <w:rFonts w:ascii="Arial" w:hAnsi="Arial" w:cs="Arial"/>
          <w:color w:val="000000" w:themeColor="text1"/>
          <w:lang w:val="es-ES_tradnl"/>
        </w:rPr>
        <w:t>eclaración</w:t>
      </w:r>
      <w:r>
        <w:rPr>
          <w:rFonts w:ascii="Arial" w:hAnsi="Arial" w:cs="Arial"/>
          <w:color w:val="000000" w:themeColor="text1"/>
          <w:lang w:val="es-ES_tradnl"/>
        </w:rPr>
        <w:t>,</w:t>
      </w:r>
      <w:r w:rsidRPr="004E7132">
        <w:rPr>
          <w:rFonts w:ascii="Arial" w:hAnsi="Arial" w:cs="Arial"/>
          <w:color w:val="000000" w:themeColor="text1"/>
          <w:lang w:val="es-ES_tradnl"/>
        </w:rPr>
        <w:t xml:space="preserve"> de acuerdo con lo señalado en el párrafo 4.2 del artículo 4</w:t>
      </w:r>
      <w:r>
        <w:rPr>
          <w:rFonts w:ascii="Arial" w:hAnsi="Arial" w:cs="Arial"/>
          <w:color w:val="000000" w:themeColor="text1"/>
          <w:lang w:val="es-ES_tradnl"/>
        </w:rPr>
        <w:t>,</w:t>
      </w:r>
      <w:r w:rsidRPr="004E7132">
        <w:rPr>
          <w:rFonts w:ascii="Arial" w:hAnsi="Arial" w:cs="Arial"/>
          <w:color w:val="000000" w:themeColor="text1"/>
          <w:lang w:val="es-ES_tradnl"/>
        </w:rPr>
        <w:t xml:space="preserve"> los contribuyentes que en el ejercicio gravable al que corresponde la </w:t>
      </w:r>
      <w:r>
        <w:rPr>
          <w:rFonts w:ascii="Arial" w:hAnsi="Arial" w:cs="Arial"/>
          <w:color w:val="000000" w:themeColor="text1"/>
          <w:lang w:val="es-ES_tradnl"/>
        </w:rPr>
        <w:t>d</w:t>
      </w:r>
      <w:r w:rsidRPr="004E7132">
        <w:rPr>
          <w:rFonts w:ascii="Arial" w:hAnsi="Arial" w:cs="Arial"/>
          <w:color w:val="000000" w:themeColor="text1"/>
          <w:lang w:val="es-ES_tradnl"/>
        </w:rPr>
        <w:t>eclaración:</w:t>
      </w:r>
    </w:p>
    <w:p w:rsidR="008B1846" w:rsidRPr="004E7132" w:rsidRDefault="008B1846" w:rsidP="008B1846">
      <w:pPr>
        <w:widowControl w:val="0"/>
        <w:autoSpaceDE w:val="0"/>
        <w:autoSpaceDN w:val="0"/>
        <w:adjustRightInd w:val="0"/>
        <w:spacing w:after="0" w:line="240" w:lineRule="auto"/>
        <w:ind w:left="426" w:hanging="426"/>
        <w:jc w:val="both"/>
        <w:rPr>
          <w:rFonts w:ascii="Arial" w:hAnsi="Arial" w:cs="Arial"/>
          <w:color w:val="000000" w:themeColor="text1"/>
          <w:lang w:val="es-ES_tradnl"/>
        </w:rPr>
      </w:pPr>
    </w:p>
    <w:p w:rsidR="008B1846" w:rsidRPr="004E7132" w:rsidRDefault="008B1846" w:rsidP="008B1846">
      <w:pPr>
        <w:pStyle w:val="Prrafodelista"/>
        <w:widowControl w:val="0"/>
        <w:numPr>
          <w:ilvl w:val="0"/>
          <w:numId w:val="4"/>
        </w:numPr>
        <w:autoSpaceDE w:val="0"/>
        <w:autoSpaceDN w:val="0"/>
        <w:adjustRightInd w:val="0"/>
        <w:spacing w:after="0" w:line="240" w:lineRule="auto"/>
        <w:ind w:left="426" w:hanging="426"/>
        <w:jc w:val="both"/>
        <w:rPr>
          <w:rFonts w:ascii="Arial" w:hAnsi="Arial" w:cs="Arial"/>
          <w:color w:val="000000" w:themeColor="text1"/>
          <w:lang w:val="es-ES_tradnl"/>
        </w:rPr>
      </w:pPr>
      <w:r w:rsidRPr="004E7132">
        <w:rPr>
          <w:rFonts w:ascii="Arial" w:hAnsi="Arial" w:cs="Arial"/>
          <w:color w:val="000000" w:themeColor="text1"/>
          <w:lang w:val="es-ES_tradnl"/>
        </w:rPr>
        <w:t>Sus ingresos devengados hayan superado las dos mil trescientas (2</w:t>
      </w:r>
      <w:r w:rsidR="00DE2F10">
        <w:rPr>
          <w:rFonts w:ascii="Arial" w:hAnsi="Arial" w:cs="Arial"/>
          <w:color w:val="000000" w:themeColor="text1"/>
          <w:lang w:val="es-ES_tradnl"/>
        </w:rPr>
        <w:t xml:space="preserve"> </w:t>
      </w:r>
      <w:r w:rsidRPr="004E7132">
        <w:rPr>
          <w:rFonts w:ascii="Arial" w:hAnsi="Arial" w:cs="Arial"/>
          <w:color w:val="000000" w:themeColor="text1"/>
          <w:lang w:val="es-ES_tradnl"/>
        </w:rPr>
        <w:t>300) Unidades Impositivas Tributarias (UIT)</w:t>
      </w:r>
      <w:r>
        <w:rPr>
          <w:rFonts w:ascii="Arial" w:hAnsi="Arial" w:cs="Arial"/>
          <w:color w:val="000000" w:themeColor="text1"/>
          <w:lang w:val="es-ES_tradnl"/>
        </w:rPr>
        <w:t xml:space="preserve"> </w:t>
      </w:r>
      <w:r w:rsidRPr="004E7132">
        <w:rPr>
          <w:rFonts w:ascii="Arial" w:hAnsi="Arial" w:cs="Arial"/>
          <w:color w:val="000000" w:themeColor="text1"/>
          <w:lang w:val="es-ES_tradnl"/>
        </w:rPr>
        <w:t>y</w:t>
      </w:r>
    </w:p>
    <w:p w:rsidR="008B1846" w:rsidRPr="004E7132" w:rsidRDefault="008B1846" w:rsidP="008B1846">
      <w:pPr>
        <w:pStyle w:val="Prrafodelista"/>
        <w:widowControl w:val="0"/>
        <w:autoSpaceDE w:val="0"/>
        <w:autoSpaceDN w:val="0"/>
        <w:adjustRightInd w:val="0"/>
        <w:spacing w:after="0" w:line="240" w:lineRule="auto"/>
        <w:ind w:left="426" w:hanging="426"/>
        <w:jc w:val="both"/>
        <w:rPr>
          <w:rFonts w:ascii="Arial" w:hAnsi="Arial" w:cs="Arial"/>
          <w:color w:val="000000" w:themeColor="text1"/>
          <w:lang w:val="es-ES_tradnl"/>
        </w:rPr>
      </w:pPr>
    </w:p>
    <w:p w:rsidR="008B1846" w:rsidRPr="004E7132" w:rsidRDefault="008B1846" w:rsidP="008B1846">
      <w:pPr>
        <w:pStyle w:val="Prrafodelista"/>
        <w:widowControl w:val="0"/>
        <w:numPr>
          <w:ilvl w:val="0"/>
          <w:numId w:val="4"/>
        </w:numPr>
        <w:autoSpaceDE w:val="0"/>
        <w:autoSpaceDN w:val="0"/>
        <w:adjustRightInd w:val="0"/>
        <w:spacing w:after="0" w:line="240" w:lineRule="auto"/>
        <w:ind w:left="426" w:hanging="426"/>
        <w:jc w:val="both"/>
        <w:rPr>
          <w:rFonts w:ascii="Arial" w:hAnsi="Arial" w:cs="Arial"/>
          <w:color w:val="000000" w:themeColor="text1"/>
          <w:lang w:val="es-ES_tradnl"/>
        </w:rPr>
      </w:pPr>
      <w:r w:rsidRPr="004E7132">
        <w:rPr>
          <w:rFonts w:ascii="Arial" w:hAnsi="Arial" w:cs="Arial"/>
          <w:color w:val="000000" w:themeColor="text1"/>
          <w:lang w:val="es-ES_tradnl"/>
        </w:rPr>
        <w:t>Hubieran realizado transacciones dentro del ámbito de aplicación de las normas de precios de transferencia, cuyo monto de operaciones sea igual o mayor a cuatrocientas (400) Unidades Impositivas Tributarias (UIT).</w:t>
      </w:r>
    </w:p>
    <w:p w:rsidR="008B1846" w:rsidRPr="004E7132" w:rsidRDefault="008B1846" w:rsidP="008B1846">
      <w:pPr>
        <w:pStyle w:val="Prrafodelista"/>
        <w:widowControl w:val="0"/>
        <w:autoSpaceDE w:val="0"/>
        <w:autoSpaceDN w:val="0"/>
        <w:adjustRightInd w:val="0"/>
        <w:spacing w:after="0" w:line="240" w:lineRule="auto"/>
        <w:ind w:left="284"/>
        <w:jc w:val="both"/>
        <w:rPr>
          <w:rFonts w:ascii="Arial" w:hAnsi="Arial" w:cs="Arial"/>
          <w:color w:val="000000" w:themeColor="text1"/>
          <w:lang w:val="es-ES_tradnl"/>
        </w:rPr>
      </w:pPr>
    </w:p>
    <w:p w:rsidR="008B1846" w:rsidRPr="004E7132" w:rsidRDefault="008B1846" w:rsidP="008B1846">
      <w:pPr>
        <w:pStyle w:val="Prrafodelista"/>
        <w:widowControl w:val="0"/>
        <w:autoSpaceDE w:val="0"/>
        <w:autoSpaceDN w:val="0"/>
        <w:adjustRightInd w:val="0"/>
        <w:spacing w:after="0" w:line="240" w:lineRule="auto"/>
        <w:ind w:left="0"/>
        <w:jc w:val="both"/>
        <w:rPr>
          <w:rFonts w:ascii="Arial" w:hAnsi="Arial" w:cs="Arial"/>
          <w:color w:val="000000" w:themeColor="text1"/>
          <w:lang w:val="es-ES_tradnl"/>
        </w:rPr>
      </w:pPr>
      <w:r w:rsidRPr="004E7132">
        <w:rPr>
          <w:rFonts w:ascii="Arial" w:hAnsi="Arial" w:cs="Arial"/>
          <w:color w:val="000000" w:themeColor="text1"/>
          <w:lang w:val="es-ES_tradnl"/>
        </w:rPr>
        <w:t>2.3 Sea cual fuere el monto de operaciones correspondiente a las transacciones dentro del ámbito de precios de transferencia, e incluso si este fuera menor a cien (100) Unidades Impositivas Tributarias (UIT),</w:t>
      </w:r>
      <w:r>
        <w:rPr>
          <w:rFonts w:ascii="Arial" w:hAnsi="Arial" w:cs="Arial"/>
          <w:color w:val="000000" w:themeColor="text1"/>
          <w:lang w:val="es-ES_tradnl"/>
        </w:rPr>
        <w:t xml:space="preserve"> </w:t>
      </w:r>
      <w:r w:rsidRPr="004E7132">
        <w:rPr>
          <w:rFonts w:ascii="Arial" w:hAnsi="Arial" w:cs="Arial"/>
          <w:color w:val="000000" w:themeColor="text1"/>
          <w:lang w:val="es-ES_tradnl"/>
        </w:rPr>
        <w:t xml:space="preserve">se encuentran obligados a presentar la </w:t>
      </w:r>
      <w:r>
        <w:rPr>
          <w:rFonts w:ascii="Arial" w:hAnsi="Arial" w:cs="Arial"/>
          <w:color w:val="000000" w:themeColor="text1"/>
          <w:lang w:val="es-ES_tradnl"/>
        </w:rPr>
        <w:t>d</w:t>
      </w:r>
      <w:r w:rsidRPr="004E7132">
        <w:rPr>
          <w:rFonts w:ascii="Arial" w:hAnsi="Arial" w:cs="Arial"/>
          <w:color w:val="000000" w:themeColor="text1"/>
          <w:lang w:val="es-ES_tradnl"/>
        </w:rPr>
        <w:t xml:space="preserve">eclaración según lo previsto en el párrafo 4.2 del artículo 4 los contribuyentes cuyos ingresos devengados en el ejercicio gravable al que corresponde la </w:t>
      </w:r>
      <w:r>
        <w:rPr>
          <w:rFonts w:ascii="Arial" w:hAnsi="Arial" w:cs="Arial"/>
          <w:color w:val="000000" w:themeColor="text1"/>
          <w:lang w:val="es-ES_tradnl"/>
        </w:rPr>
        <w:t>d</w:t>
      </w:r>
      <w:r w:rsidRPr="004E7132">
        <w:rPr>
          <w:rFonts w:ascii="Arial" w:hAnsi="Arial" w:cs="Arial"/>
          <w:color w:val="000000" w:themeColor="text1"/>
          <w:lang w:val="es-ES_tradnl"/>
        </w:rPr>
        <w:t>eclaración superen las dos mil trescientas (2 300) Unidades Impositivas Tributarias (UIT), cuando tales transacciones consistan en la enajenación de bienes cuyo valor de mercado sea inferior al costo computable.</w:t>
      </w:r>
    </w:p>
    <w:p w:rsidR="008B1846" w:rsidRPr="004E7132" w:rsidRDefault="008B1846" w:rsidP="008B1846">
      <w:pPr>
        <w:widowControl w:val="0"/>
        <w:autoSpaceDE w:val="0"/>
        <w:autoSpaceDN w:val="0"/>
        <w:adjustRightInd w:val="0"/>
        <w:spacing w:after="0" w:line="240" w:lineRule="auto"/>
        <w:ind w:left="426" w:hanging="426"/>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b/>
          <w:color w:val="000000" w:themeColor="text1"/>
          <w:lang w:val="es-ES_tradnl"/>
        </w:rPr>
      </w:pPr>
      <w:r w:rsidRPr="004E7132">
        <w:rPr>
          <w:rFonts w:ascii="Arial" w:hAnsi="Arial" w:cs="Arial"/>
          <w:b/>
          <w:color w:val="000000" w:themeColor="text1"/>
          <w:lang w:val="es-ES_tradnl"/>
        </w:rPr>
        <w:t>Artículo 3. Excepciones</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 xml:space="preserve">Se exceptúa de la obligación de presentar la </w:t>
      </w:r>
      <w:r>
        <w:rPr>
          <w:rFonts w:ascii="Arial" w:hAnsi="Arial" w:cs="Arial"/>
          <w:color w:val="000000" w:themeColor="text1"/>
          <w:lang w:val="es-ES_tradnl"/>
        </w:rPr>
        <w:t>d</w:t>
      </w:r>
      <w:r w:rsidRPr="004E7132">
        <w:rPr>
          <w:rFonts w:ascii="Arial" w:hAnsi="Arial" w:cs="Arial"/>
          <w:color w:val="000000" w:themeColor="text1"/>
          <w:lang w:val="es-ES_tradnl"/>
        </w:rPr>
        <w:t>eclaración:</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pStyle w:val="Prrafodelista"/>
        <w:widowControl w:val="0"/>
        <w:numPr>
          <w:ilvl w:val="0"/>
          <w:numId w:val="1"/>
        </w:numPr>
        <w:autoSpaceDE w:val="0"/>
        <w:autoSpaceDN w:val="0"/>
        <w:adjustRightInd w:val="0"/>
        <w:spacing w:after="0" w:line="240" w:lineRule="auto"/>
        <w:ind w:left="284" w:hanging="284"/>
        <w:jc w:val="both"/>
        <w:rPr>
          <w:rFonts w:ascii="Arial" w:hAnsi="Arial" w:cs="Arial"/>
          <w:color w:val="000000" w:themeColor="text1"/>
          <w:lang w:val="es-ES_tradnl"/>
        </w:rPr>
      </w:pPr>
      <w:r w:rsidRPr="004E7132">
        <w:rPr>
          <w:rFonts w:ascii="Arial" w:hAnsi="Arial" w:cs="Arial"/>
          <w:color w:val="000000" w:themeColor="text1"/>
          <w:lang w:val="es-ES_tradnl"/>
        </w:rPr>
        <w:t>A las personas naturales, sucesiones indivisas o sociedades conyugales que optaron por tributar como tales para efectos del Impuesto a la Renta que no generan rentas de tercera categoría.</w:t>
      </w:r>
    </w:p>
    <w:p w:rsidR="008B1846" w:rsidRPr="004E7132" w:rsidRDefault="008B1846" w:rsidP="008B1846">
      <w:pPr>
        <w:pStyle w:val="Prrafodelista"/>
        <w:widowControl w:val="0"/>
        <w:autoSpaceDE w:val="0"/>
        <w:autoSpaceDN w:val="0"/>
        <w:adjustRightInd w:val="0"/>
        <w:spacing w:after="0" w:line="240" w:lineRule="auto"/>
        <w:ind w:left="284"/>
        <w:jc w:val="both"/>
        <w:rPr>
          <w:rFonts w:ascii="Arial" w:hAnsi="Arial" w:cs="Arial"/>
          <w:color w:val="000000" w:themeColor="text1"/>
          <w:lang w:val="es-ES_tradnl"/>
        </w:rPr>
      </w:pPr>
    </w:p>
    <w:p w:rsidR="008B1846" w:rsidRPr="004E7132" w:rsidRDefault="008B1846" w:rsidP="008B1846">
      <w:pPr>
        <w:pStyle w:val="Prrafodelista"/>
        <w:widowControl w:val="0"/>
        <w:numPr>
          <w:ilvl w:val="0"/>
          <w:numId w:val="1"/>
        </w:numPr>
        <w:autoSpaceDE w:val="0"/>
        <w:autoSpaceDN w:val="0"/>
        <w:adjustRightInd w:val="0"/>
        <w:spacing w:after="0" w:line="240" w:lineRule="auto"/>
        <w:ind w:left="284" w:hanging="284"/>
        <w:jc w:val="both"/>
        <w:rPr>
          <w:rFonts w:ascii="Arial" w:hAnsi="Arial" w:cs="Arial"/>
          <w:color w:val="000000" w:themeColor="text1"/>
          <w:lang w:val="es-ES_tradnl"/>
        </w:rPr>
      </w:pPr>
      <w:r w:rsidRPr="004E7132">
        <w:rPr>
          <w:rFonts w:ascii="Arial" w:hAnsi="Arial" w:cs="Arial"/>
          <w:color w:val="000000" w:themeColor="text1"/>
          <w:lang w:val="es-ES_tradnl"/>
        </w:rPr>
        <w:t>A las empresas que, según el Decreto Legislativo N.° 1031 que promueve la eficiencia de la actividad empresarial del Estado, conforman la actividad empresarial del Estado así como a las empresas del Estado pertenecientes al nivel del gobierno regional y local a las que se aplica la primera disposición complementaria transitoria y modificatoria del citado decreto</w:t>
      </w:r>
      <w:r>
        <w:rPr>
          <w:rFonts w:ascii="Arial" w:hAnsi="Arial" w:cs="Arial"/>
          <w:color w:val="000000" w:themeColor="text1"/>
          <w:lang w:val="es-ES_tradnl"/>
        </w:rPr>
        <w:t xml:space="preserve"> legislativo</w:t>
      </w:r>
      <w:r w:rsidRPr="004E7132">
        <w:rPr>
          <w:rFonts w:ascii="Arial" w:hAnsi="Arial" w:cs="Arial"/>
          <w:color w:val="000000" w:themeColor="text1"/>
          <w:lang w:val="es-ES_tradnl"/>
        </w:rPr>
        <w:t>.</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b/>
          <w:color w:val="000000" w:themeColor="text1"/>
          <w:lang w:val="es-ES_tradnl"/>
        </w:rPr>
      </w:pPr>
      <w:r w:rsidRPr="004E7132">
        <w:rPr>
          <w:rFonts w:ascii="Arial" w:hAnsi="Arial" w:cs="Arial"/>
          <w:b/>
          <w:color w:val="000000" w:themeColor="text1"/>
          <w:lang w:val="es-ES_tradnl"/>
        </w:rPr>
        <w:t xml:space="preserve">Artículo 4. Contenido de la </w:t>
      </w:r>
      <w:r>
        <w:rPr>
          <w:rFonts w:ascii="Arial" w:hAnsi="Arial" w:cs="Arial"/>
          <w:b/>
          <w:color w:val="000000" w:themeColor="text1"/>
          <w:lang w:val="es-ES_tradnl"/>
        </w:rPr>
        <w:t>d</w:t>
      </w:r>
      <w:r w:rsidRPr="004E7132">
        <w:rPr>
          <w:rFonts w:ascii="Arial" w:hAnsi="Arial" w:cs="Arial"/>
          <w:b/>
          <w:color w:val="000000" w:themeColor="text1"/>
          <w:lang w:val="es-ES_tradnl"/>
        </w:rPr>
        <w:t>eclaración</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 xml:space="preserve">4.1 Los contribuyentes señalados en el párrafo 2.1 del artículo 2, no comprendidos en el párrafo 2.3 del mismo artículo, presentan la </w:t>
      </w:r>
      <w:r>
        <w:rPr>
          <w:rFonts w:ascii="Arial" w:hAnsi="Arial" w:cs="Arial"/>
          <w:color w:val="000000" w:themeColor="text1"/>
          <w:lang w:val="es-ES_tradnl"/>
        </w:rPr>
        <w:t>d</w:t>
      </w:r>
      <w:r w:rsidRPr="004E7132">
        <w:rPr>
          <w:rFonts w:ascii="Arial" w:hAnsi="Arial" w:cs="Arial"/>
          <w:color w:val="000000" w:themeColor="text1"/>
          <w:lang w:val="es-ES_tradnl"/>
        </w:rPr>
        <w:t>eclaración consignando únicamente la información detallada en el anexo I.</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 xml:space="preserve">4.2 Tratándose de los contribuyentes a que se refieren los párrafos 2.2 y 2.3 del artículo 2, la </w:t>
      </w:r>
      <w:r>
        <w:rPr>
          <w:rFonts w:ascii="Arial" w:hAnsi="Arial" w:cs="Arial"/>
          <w:color w:val="000000" w:themeColor="text1"/>
          <w:lang w:val="es-ES_tradnl"/>
        </w:rPr>
        <w:t>d</w:t>
      </w:r>
      <w:r w:rsidRPr="004E7132">
        <w:rPr>
          <w:rFonts w:ascii="Arial" w:hAnsi="Arial" w:cs="Arial"/>
          <w:color w:val="000000" w:themeColor="text1"/>
          <w:lang w:val="es-ES_tradnl"/>
        </w:rPr>
        <w:t>eclaración debe contener la información detallada en el anexo II, así como la información señalada en los anexos III y IV, debiendo esta última prepararse y adjuntarse conforme a lo indicado en estos anexos.</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 xml:space="preserve">4.3 Los contribuyentes a que se refiere el párrafo 2.2 del artículo 2 no presentan la información </w:t>
      </w:r>
      <w:r>
        <w:rPr>
          <w:rFonts w:ascii="Arial" w:hAnsi="Arial" w:cs="Arial"/>
          <w:color w:val="000000" w:themeColor="text1"/>
          <w:lang w:val="es-ES_tradnl"/>
        </w:rPr>
        <w:t xml:space="preserve">relativa al análisis de precios de transferencia </w:t>
      </w:r>
      <w:r w:rsidRPr="004E7132">
        <w:rPr>
          <w:rFonts w:ascii="Arial" w:hAnsi="Arial" w:cs="Arial"/>
          <w:color w:val="000000" w:themeColor="text1"/>
          <w:lang w:val="es-ES_tradnl"/>
        </w:rPr>
        <w:t xml:space="preserve">que se detalla en los anexos </w:t>
      </w:r>
      <w:r>
        <w:rPr>
          <w:rFonts w:ascii="Arial" w:hAnsi="Arial" w:cs="Arial"/>
          <w:color w:val="000000" w:themeColor="text1"/>
          <w:lang w:val="es-ES_tradnl"/>
        </w:rPr>
        <w:t xml:space="preserve">II, </w:t>
      </w:r>
      <w:r w:rsidRPr="004E7132">
        <w:rPr>
          <w:rFonts w:ascii="Arial" w:hAnsi="Arial" w:cs="Arial"/>
          <w:color w:val="000000" w:themeColor="text1"/>
          <w:lang w:val="es-ES_tradnl"/>
        </w:rPr>
        <w:t>III y IV respecto de las transacciones con partes vinculadas y las que se realicen desde, hacia o a través de países o territorios de baja o nula imposición que, individualmente, sean inferiores a dos y media (2,5) Unidades Impositivas Tributarias (UIT).</w:t>
      </w:r>
    </w:p>
    <w:p w:rsidR="008B1846" w:rsidRPr="004E7132" w:rsidRDefault="008B1846" w:rsidP="008B1846">
      <w:pPr>
        <w:spacing w:after="0" w:line="240" w:lineRule="auto"/>
        <w:ind w:right="-1"/>
        <w:jc w:val="both"/>
        <w:rPr>
          <w:rFonts w:ascii="Arial" w:hAnsi="Arial" w:cs="Arial"/>
          <w:b/>
          <w:color w:val="000000" w:themeColor="text1"/>
          <w:lang w:val="es-ES_tradnl"/>
        </w:rPr>
      </w:pPr>
    </w:p>
    <w:p w:rsidR="008B1846" w:rsidRPr="004E7132" w:rsidRDefault="008B1846" w:rsidP="008B1846">
      <w:pPr>
        <w:spacing w:after="0" w:line="240" w:lineRule="auto"/>
        <w:ind w:right="-1"/>
        <w:jc w:val="both"/>
        <w:rPr>
          <w:rFonts w:ascii="Arial" w:hAnsi="Arial" w:cs="Arial"/>
          <w:b/>
          <w:color w:val="000000" w:themeColor="text1"/>
          <w:lang w:val="es-ES_tradnl"/>
        </w:rPr>
      </w:pPr>
      <w:r w:rsidRPr="004E7132">
        <w:rPr>
          <w:rFonts w:ascii="Arial" w:hAnsi="Arial" w:cs="Arial"/>
          <w:b/>
          <w:color w:val="000000" w:themeColor="text1"/>
          <w:lang w:val="es-ES_tradnl"/>
        </w:rPr>
        <w:t>Artículo 5.</w:t>
      </w:r>
      <w:r>
        <w:rPr>
          <w:rFonts w:ascii="Arial" w:hAnsi="Arial" w:cs="Arial"/>
          <w:b/>
          <w:color w:val="000000" w:themeColor="text1"/>
          <w:lang w:val="es-ES_tradnl"/>
        </w:rPr>
        <w:t xml:space="preserve"> </w:t>
      </w:r>
      <w:r w:rsidRPr="004E7132">
        <w:rPr>
          <w:rFonts w:ascii="Arial" w:hAnsi="Arial" w:cs="Arial"/>
          <w:b/>
          <w:color w:val="000000" w:themeColor="text1"/>
          <w:lang w:val="es-ES_tradnl"/>
        </w:rPr>
        <w:t xml:space="preserve">Medio para presentar la </w:t>
      </w:r>
      <w:r>
        <w:rPr>
          <w:rFonts w:ascii="Arial" w:hAnsi="Arial" w:cs="Arial"/>
          <w:b/>
          <w:color w:val="000000" w:themeColor="text1"/>
          <w:lang w:val="es-ES_tradnl"/>
        </w:rPr>
        <w:t>d</w:t>
      </w:r>
      <w:r w:rsidRPr="004E7132">
        <w:rPr>
          <w:rFonts w:ascii="Arial" w:hAnsi="Arial" w:cs="Arial"/>
          <w:b/>
          <w:color w:val="000000" w:themeColor="text1"/>
          <w:lang w:val="es-ES_tradnl"/>
        </w:rPr>
        <w:t>eclaración</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 xml:space="preserve">Apruébase el Formulario Virtual N.° 3560 – Declaración Jurada Informativa Reporte Local, que debe ser utilizado por los contribuyentes obligados a presentar la </w:t>
      </w:r>
      <w:r>
        <w:rPr>
          <w:rFonts w:ascii="Arial" w:hAnsi="Arial" w:cs="Arial"/>
          <w:color w:val="000000" w:themeColor="text1"/>
          <w:lang w:val="es-ES_tradnl"/>
        </w:rPr>
        <w:t>d</w:t>
      </w:r>
      <w:r w:rsidRPr="004E7132">
        <w:rPr>
          <w:rFonts w:ascii="Arial" w:hAnsi="Arial" w:cs="Arial"/>
          <w:color w:val="000000" w:themeColor="text1"/>
          <w:lang w:val="es-ES_tradnl"/>
        </w:rPr>
        <w:t>eclaración.</w:t>
      </w:r>
    </w:p>
    <w:p w:rsidR="008B1846" w:rsidRPr="004E7132" w:rsidRDefault="008B1846" w:rsidP="008B1846">
      <w:pPr>
        <w:spacing w:after="0" w:line="240" w:lineRule="auto"/>
        <w:ind w:right="-1"/>
        <w:jc w:val="both"/>
        <w:rPr>
          <w:rFonts w:ascii="Arial" w:hAnsi="Arial" w:cs="Arial"/>
          <w:b/>
          <w:color w:val="000000" w:themeColor="text1"/>
          <w:lang w:val="es-ES_tradnl"/>
        </w:rPr>
      </w:pPr>
    </w:p>
    <w:p w:rsidR="008B1846" w:rsidRPr="004E7132" w:rsidRDefault="008B1846" w:rsidP="008B1846">
      <w:pPr>
        <w:spacing w:after="0" w:line="240" w:lineRule="auto"/>
        <w:ind w:right="-1"/>
        <w:jc w:val="both"/>
        <w:rPr>
          <w:rFonts w:ascii="Arial" w:hAnsi="Arial" w:cs="Arial"/>
          <w:b/>
          <w:color w:val="000000" w:themeColor="text1"/>
          <w:lang w:val="es-ES_tradnl"/>
        </w:rPr>
      </w:pPr>
      <w:r w:rsidRPr="004E7132">
        <w:rPr>
          <w:rFonts w:ascii="Arial" w:hAnsi="Arial" w:cs="Arial"/>
          <w:b/>
          <w:color w:val="000000" w:themeColor="text1"/>
          <w:lang w:val="es-ES_tradnl"/>
        </w:rPr>
        <w:t xml:space="preserve">Artículo 6. Forma y condiciones generales para presentar la </w:t>
      </w:r>
      <w:r w:rsidR="001C136E">
        <w:rPr>
          <w:rFonts w:ascii="Arial" w:hAnsi="Arial" w:cs="Arial"/>
          <w:b/>
          <w:color w:val="000000" w:themeColor="text1"/>
          <w:lang w:val="es-ES_tradnl"/>
        </w:rPr>
        <w:t>d</w:t>
      </w:r>
      <w:r w:rsidR="000F4182">
        <w:rPr>
          <w:rFonts w:ascii="Arial" w:hAnsi="Arial" w:cs="Arial"/>
          <w:b/>
          <w:color w:val="000000" w:themeColor="text1"/>
          <w:lang w:val="es-ES_tradnl"/>
        </w:rPr>
        <w:t>eclaración</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rPr>
      </w:pPr>
      <w:r w:rsidRPr="004E7132">
        <w:rPr>
          <w:rFonts w:ascii="Arial" w:hAnsi="Arial" w:cs="Arial"/>
          <w:color w:val="000000" w:themeColor="text1"/>
          <w:lang w:val="es-ES_tradnl"/>
        </w:rPr>
        <w:lastRenderedPageBreak/>
        <w:t xml:space="preserve">6.1 </w:t>
      </w:r>
      <w:r w:rsidRPr="004E7132">
        <w:rPr>
          <w:rFonts w:ascii="Arial" w:hAnsi="Arial" w:cs="Arial"/>
        </w:rPr>
        <w:t xml:space="preserve">La presentación de la </w:t>
      </w:r>
      <w:r>
        <w:rPr>
          <w:rFonts w:ascii="Arial" w:hAnsi="Arial" w:cs="Arial"/>
        </w:rPr>
        <w:t>d</w:t>
      </w:r>
      <w:r w:rsidRPr="004E7132">
        <w:rPr>
          <w:rFonts w:ascii="Arial" w:hAnsi="Arial" w:cs="Arial"/>
        </w:rPr>
        <w:t>eclaración se realiza exclusivamente a través de SUNAT Virtual, para lo cual los contribuyentes deben:</w:t>
      </w:r>
    </w:p>
    <w:p w:rsidR="008B1846" w:rsidRPr="004E7132" w:rsidRDefault="008B1846" w:rsidP="008B1846">
      <w:pPr>
        <w:spacing w:after="0" w:line="240" w:lineRule="auto"/>
        <w:ind w:right="-1"/>
        <w:jc w:val="both"/>
        <w:rPr>
          <w:rFonts w:ascii="Arial" w:hAnsi="Arial" w:cs="Arial"/>
        </w:rPr>
      </w:pPr>
    </w:p>
    <w:p w:rsidR="008B1846" w:rsidRPr="004E7132" w:rsidRDefault="008B1846" w:rsidP="008B1846">
      <w:pPr>
        <w:pStyle w:val="Prrafodelista"/>
        <w:widowControl w:val="0"/>
        <w:numPr>
          <w:ilvl w:val="0"/>
          <w:numId w:val="5"/>
        </w:numPr>
        <w:autoSpaceDE w:val="0"/>
        <w:autoSpaceDN w:val="0"/>
        <w:adjustRightInd w:val="0"/>
        <w:spacing w:after="0" w:line="240" w:lineRule="auto"/>
        <w:ind w:left="284" w:hanging="284"/>
        <w:jc w:val="both"/>
        <w:rPr>
          <w:rFonts w:ascii="Arial" w:hAnsi="Arial" w:cs="Arial"/>
          <w:color w:val="000000" w:themeColor="text1"/>
          <w:lang w:val="es-ES_tradnl"/>
        </w:rPr>
      </w:pPr>
      <w:r w:rsidRPr="004E7132">
        <w:rPr>
          <w:rFonts w:ascii="Arial" w:hAnsi="Arial" w:cs="Arial"/>
          <w:color w:val="000000" w:themeColor="text1"/>
          <w:lang w:val="es-ES_tradnl"/>
        </w:rPr>
        <w:t xml:space="preserve">Ingresar a SUNAT Operaciones en Línea con su </w:t>
      </w:r>
      <w:r>
        <w:rPr>
          <w:rFonts w:ascii="Arial" w:hAnsi="Arial" w:cs="Arial"/>
          <w:color w:val="000000" w:themeColor="text1"/>
          <w:lang w:val="es-ES_tradnl"/>
        </w:rPr>
        <w:t>c</w:t>
      </w:r>
      <w:r w:rsidRPr="004E7132">
        <w:rPr>
          <w:rFonts w:ascii="Arial" w:hAnsi="Arial" w:cs="Arial"/>
          <w:color w:val="000000" w:themeColor="text1"/>
          <w:lang w:val="es-ES_tradnl"/>
        </w:rPr>
        <w:t xml:space="preserve">ódigo de </w:t>
      </w:r>
      <w:r>
        <w:rPr>
          <w:rFonts w:ascii="Arial" w:hAnsi="Arial" w:cs="Arial"/>
          <w:color w:val="000000" w:themeColor="text1"/>
          <w:lang w:val="es-ES_tradnl"/>
        </w:rPr>
        <w:t>u</w:t>
      </w:r>
      <w:r w:rsidRPr="004E7132">
        <w:rPr>
          <w:rFonts w:ascii="Arial" w:hAnsi="Arial" w:cs="Arial"/>
          <w:color w:val="000000" w:themeColor="text1"/>
          <w:lang w:val="es-ES_tradnl"/>
        </w:rPr>
        <w:t xml:space="preserve">suario y </w:t>
      </w:r>
      <w:r>
        <w:rPr>
          <w:rFonts w:ascii="Arial" w:hAnsi="Arial" w:cs="Arial"/>
          <w:color w:val="000000" w:themeColor="text1"/>
          <w:lang w:val="es-ES_tradnl"/>
        </w:rPr>
        <w:t>c</w:t>
      </w:r>
      <w:r w:rsidRPr="004E7132">
        <w:rPr>
          <w:rFonts w:ascii="Arial" w:hAnsi="Arial" w:cs="Arial"/>
          <w:color w:val="000000" w:themeColor="text1"/>
          <w:lang w:val="es-ES_tradnl"/>
        </w:rPr>
        <w:t>lave SOL.</w:t>
      </w:r>
    </w:p>
    <w:p w:rsidR="008B1846" w:rsidRPr="004E7132" w:rsidRDefault="008B1846" w:rsidP="008B1846">
      <w:pPr>
        <w:pStyle w:val="Prrafodelista"/>
        <w:numPr>
          <w:ilvl w:val="0"/>
          <w:numId w:val="5"/>
        </w:numPr>
        <w:autoSpaceDE w:val="0"/>
        <w:autoSpaceDN w:val="0"/>
        <w:spacing w:after="0" w:line="240" w:lineRule="auto"/>
        <w:ind w:left="284" w:hanging="284"/>
        <w:jc w:val="both"/>
        <w:rPr>
          <w:rFonts w:ascii="Arial" w:hAnsi="Arial" w:cs="Arial"/>
          <w:color w:val="000000"/>
          <w:lang w:val="es-ES_tradnl"/>
        </w:rPr>
      </w:pPr>
      <w:r w:rsidRPr="004E7132">
        <w:rPr>
          <w:rFonts w:ascii="Arial" w:hAnsi="Arial" w:cs="Arial"/>
          <w:color w:val="000000" w:themeColor="text1"/>
          <w:lang w:val="es-ES_tradnl"/>
        </w:rPr>
        <w:t xml:space="preserve">Ingresar a la opción: Presento mis </w:t>
      </w:r>
      <w:r w:rsidRPr="004E7132">
        <w:rPr>
          <w:rFonts w:ascii="Arial" w:hAnsi="Arial" w:cs="Arial"/>
          <w:color w:val="000000"/>
          <w:lang w:val="es-ES_tradnl"/>
        </w:rPr>
        <w:t>declaraciones informativas / Informativas / Presentación de declaraciones informativas.</w:t>
      </w:r>
    </w:p>
    <w:p w:rsidR="008B1846" w:rsidRPr="004E7132" w:rsidRDefault="008B1846" w:rsidP="008B1846">
      <w:pPr>
        <w:pStyle w:val="Prrafodelista"/>
        <w:numPr>
          <w:ilvl w:val="0"/>
          <w:numId w:val="5"/>
        </w:numPr>
        <w:spacing w:after="0" w:line="240" w:lineRule="auto"/>
        <w:ind w:left="284" w:hanging="284"/>
        <w:jc w:val="both"/>
        <w:rPr>
          <w:rFonts w:ascii="Arial" w:hAnsi="Arial" w:cs="Arial"/>
          <w:color w:val="000000"/>
          <w:lang w:val="es-ES_tradnl"/>
        </w:rPr>
      </w:pPr>
      <w:r w:rsidRPr="004E7132">
        <w:rPr>
          <w:rFonts w:ascii="Arial" w:hAnsi="Arial" w:cs="Arial"/>
          <w:color w:val="000000"/>
          <w:lang w:val="es-ES_tradnl"/>
        </w:rPr>
        <w:t xml:space="preserve">Seleccionar como </w:t>
      </w:r>
      <w:r>
        <w:rPr>
          <w:rFonts w:ascii="Arial" w:hAnsi="Arial" w:cs="Arial"/>
          <w:color w:val="000000"/>
          <w:lang w:val="es-ES_tradnl"/>
        </w:rPr>
        <w:t>t</w:t>
      </w:r>
      <w:r w:rsidRPr="004E7132">
        <w:rPr>
          <w:rFonts w:ascii="Arial" w:hAnsi="Arial" w:cs="Arial"/>
          <w:color w:val="000000"/>
          <w:lang w:val="es-ES_tradnl"/>
        </w:rPr>
        <w:t xml:space="preserve">ipo de declaración </w:t>
      </w:r>
      <w:r w:rsidRPr="004E7132">
        <w:rPr>
          <w:rFonts w:ascii="Arial" w:hAnsi="Arial" w:cs="Arial"/>
          <w:bCs/>
          <w:color w:val="000000"/>
          <w:lang w:val="es-ES_tradnl"/>
        </w:rPr>
        <w:t>Formulario Virtual</w:t>
      </w:r>
      <w:r w:rsidRPr="004E7132">
        <w:rPr>
          <w:rFonts w:ascii="Arial" w:hAnsi="Arial" w:cs="Arial"/>
          <w:color w:val="000000"/>
          <w:lang w:val="es-ES_tradnl"/>
        </w:rPr>
        <w:t xml:space="preserve"> y como N.° Formulario </w:t>
      </w:r>
      <w:r w:rsidRPr="004E7132">
        <w:rPr>
          <w:rFonts w:ascii="Arial" w:hAnsi="Arial" w:cs="Arial"/>
          <w:bCs/>
          <w:color w:val="000000"/>
          <w:lang w:val="es-ES_tradnl"/>
        </w:rPr>
        <w:t>Precios de Transferencia – Reporte Local.</w:t>
      </w:r>
    </w:p>
    <w:p w:rsidR="008B1846" w:rsidRPr="004E7132" w:rsidRDefault="008B1846" w:rsidP="008B1846">
      <w:pPr>
        <w:pStyle w:val="Prrafodelista"/>
        <w:widowControl w:val="0"/>
        <w:numPr>
          <w:ilvl w:val="0"/>
          <w:numId w:val="5"/>
        </w:numPr>
        <w:autoSpaceDE w:val="0"/>
        <w:autoSpaceDN w:val="0"/>
        <w:adjustRightInd w:val="0"/>
        <w:spacing w:after="0" w:line="240" w:lineRule="auto"/>
        <w:ind w:left="284" w:hanging="284"/>
        <w:jc w:val="both"/>
        <w:rPr>
          <w:rFonts w:ascii="Arial" w:hAnsi="Arial" w:cs="Arial"/>
          <w:color w:val="000000" w:themeColor="text1"/>
          <w:lang w:val="es-ES_tradnl"/>
        </w:rPr>
      </w:pPr>
      <w:r w:rsidRPr="004E7132">
        <w:rPr>
          <w:rFonts w:ascii="Arial" w:hAnsi="Arial" w:cs="Arial"/>
          <w:color w:val="000000" w:themeColor="text1"/>
          <w:lang w:val="es-ES_tradnl"/>
        </w:rPr>
        <w:t>Consignar la información que se detalla en los anexos I o II, según corresponda</w:t>
      </w:r>
      <w:r>
        <w:rPr>
          <w:rFonts w:ascii="Arial" w:hAnsi="Arial" w:cs="Arial"/>
          <w:color w:val="000000" w:themeColor="text1"/>
          <w:lang w:val="es-ES_tradnl"/>
        </w:rPr>
        <w:t>,</w:t>
      </w:r>
      <w:r w:rsidRPr="004E7132">
        <w:rPr>
          <w:rFonts w:ascii="Arial" w:hAnsi="Arial" w:cs="Arial"/>
          <w:color w:val="000000" w:themeColor="text1"/>
          <w:lang w:val="es-ES_tradnl"/>
        </w:rPr>
        <w:t xml:space="preserve"> y adjuntar los archivos en formato pdf y excel de acuerdo con los anexos III y IV, respectivamente, cuando corresponda, siguiendo las indicaciones establecidas en dicho formulario.  </w:t>
      </w:r>
    </w:p>
    <w:p w:rsidR="008B1846" w:rsidRPr="004E7132" w:rsidRDefault="008B1846" w:rsidP="008B1846">
      <w:pPr>
        <w:spacing w:after="0" w:line="240" w:lineRule="auto"/>
        <w:ind w:left="284"/>
        <w:jc w:val="both"/>
        <w:rPr>
          <w:rFonts w:ascii="Arial" w:hAnsi="Arial" w:cs="Arial"/>
          <w:iCs/>
        </w:rPr>
      </w:pPr>
      <w:r w:rsidRPr="004E7132">
        <w:rPr>
          <w:rFonts w:ascii="Arial" w:hAnsi="Arial" w:cs="Arial"/>
        </w:rPr>
        <w:t>La información que corresponda a los anexos III y IV se debe elaborar en el formato indicado e importar al Formulario Virtual N.° 3560 – Declaración Jurada Informativa Reporte Local.</w:t>
      </w:r>
    </w:p>
    <w:p w:rsidR="008B1846" w:rsidRPr="004E7132" w:rsidRDefault="008B1846" w:rsidP="008B1846">
      <w:pPr>
        <w:spacing w:after="0" w:line="240" w:lineRule="auto"/>
        <w:ind w:right="-1"/>
        <w:jc w:val="both"/>
        <w:rPr>
          <w:rFonts w:ascii="Arial" w:hAnsi="Arial" w:cs="Arial"/>
          <w:lang w:val="es-PE"/>
        </w:rPr>
      </w:pPr>
    </w:p>
    <w:p w:rsidR="008B1846" w:rsidRPr="004E7132" w:rsidRDefault="008B1846" w:rsidP="008B1846">
      <w:pPr>
        <w:spacing w:after="0" w:line="240" w:lineRule="auto"/>
        <w:ind w:right="-1"/>
        <w:jc w:val="both"/>
        <w:rPr>
          <w:rFonts w:ascii="Arial" w:hAnsi="Arial" w:cs="Arial"/>
        </w:rPr>
      </w:pPr>
      <w:r w:rsidRPr="004E7132">
        <w:rPr>
          <w:rFonts w:ascii="Arial" w:hAnsi="Arial" w:cs="Arial"/>
        </w:rPr>
        <w:t xml:space="preserve">6.2 A efecto de presentar la </w:t>
      </w:r>
      <w:r>
        <w:rPr>
          <w:rFonts w:ascii="Arial" w:hAnsi="Arial" w:cs="Arial"/>
        </w:rPr>
        <w:t>d</w:t>
      </w:r>
      <w:r w:rsidRPr="004E7132">
        <w:rPr>
          <w:rFonts w:ascii="Arial" w:hAnsi="Arial" w:cs="Arial"/>
        </w:rPr>
        <w:t>eclaración, los contribuyentes obligados deben seguir las indicaciones del sistema.</w:t>
      </w:r>
    </w:p>
    <w:p w:rsidR="008B1846" w:rsidRPr="004E7132" w:rsidRDefault="008B1846" w:rsidP="008B1846">
      <w:pPr>
        <w:spacing w:after="0" w:line="240" w:lineRule="auto"/>
        <w:ind w:right="-1"/>
        <w:jc w:val="both"/>
        <w:rPr>
          <w:rFonts w:ascii="Arial" w:hAnsi="Arial" w:cs="Arial"/>
          <w:color w:val="000000" w:themeColor="text1"/>
        </w:rPr>
      </w:pPr>
    </w:p>
    <w:p w:rsidR="008B1846" w:rsidRPr="004E7132" w:rsidRDefault="008B1846" w:rsidP="008B1846">
      <w:pPr>
        <w:widowControl w:val="0"/>
        <w:autoSpaceDE w:val="0"/>
        <w:autoSpaceDN w:val="0"/>
        <w:adjustRightInd w:val="0"/>
        <w:spacing w:after="0" w:line="240" w:lineRule="auto"/>
        <w:jc w:val="both"/>
        <w:rPr>
          <w:rFonts w:ascii="Arial" w:hAnsi="Arial" w:cs="Arial"/>
          <w:b/>
          <w:color w:val="000000" w:themeColor="text1"/>
          <w:lang w:val="es-ES_tradnl"/>
        </w:rPr>
      </w:pPr>
      <w:r w:rsidRPr="004E7132">
        <w:rPr>
          <w:rFonts w:ascii="Arial" w:hAnsi="Arial" w:cs="Arial"/>
          <w:b/>
          <w:color w:val="000000" w:themeColor="text1"/>
          <w:lang w:val="es-ES_tradnl"/>
        </w:rPr>
        <w:t>Artículo 7. Causal de rechazo del formulario</w:t>
      </w:r>
    </w:p>
    <w:p w:rsidR="008B1846" w:rsidRPr="004E7132" w:rsidRDefault="008B1846" w:rsidP="008B1846">
      <w:pPr>
        <w:pStyle w:val="Prrafodelista"/>
        <w:widowControl w:val="0"/>
        <w:autoSpaceDE w:val="0"/>
        <w:autoSpaceDN w:val="0"/>
        <w:adjustRightInd w:val="0"/>
        <w:spacing w:after="0" w:line="240" w:lineRule="auto"/>
        <w:ind w:left="0"/>
        <w:jc w:val="both"/>
        <w:rPr>
          <w:rFonts w:ascii="Arial" w:hAnsi="Arial" w:cs="Arial"/>
          <w:color w:val="000000" w:themeColor="text1"/>
          <w:lang w:val="es-ES_tradnl"/>
        </w:rPr>
      </w:pPr>
    </w:p>
    <w:p w:rsidR="008B1846" w:rsidRPr="004E7132" w:rsidRDefault="008B1846" w:rsidP="008B1846">
      <w:pPr>
        <w:pStyle w:val="Prrafodelista"/>
        <w:widowControl w:val="0"/>
        <w:autoSpaceDE w:val="0"/>
        <w:autoSpaceDN w:val="0"/>
        <w:adjustRightInd w:val="0"/>
        <w:spacing w:after="0" w:line="240" w:lineRule="auto"/>
        <w:ind w:left="0"/>
        <w:jc w:val="both"/>
        <w:rPr>
          <w:rFonts w:ascii="Arial" w:hAnsi="Arial" w:cs="Arial"/>
          <w:color w:val="000000" w:themeColor="text1"/>
          <w:lang w:val="es-ES_tradnl"/>
        </w:rPr>
      </w:pPr>
      <w:r w:rsidRPr="004E7132">
        <w:rPr>
          <w:rFonts w:ascii="Arial" w:hAnsi="Arial" w:cs="Arial"/>
          <w:color w:val="000000" w:themeColor="text1"/>
          <w:lang w:val="es-ES_tradnl"/>
        </w:rPr>
        <w:t>7.1 Se considera causal de rechazo que</w:t>
      </w:r>
      <w:r>
        <w:rPr>
          <w:rFonts w:ascii="Arial" w:hAnsi="Arial" w:cs="Arial"/>
          <w:color w:val="000000" w:themeColor="text1"/>
          <w:lang w:val="es-ES_tradnl"/>
        </w:rPr>
        <w:t xml:space="preserve"> </w:t>
      </w:r>
      <w:r w:rsidRPr="004E7132">
        <w:rPr>
          <w:rFonts w:ascii="Arial" w:hAnsi="Arial" w:cs="Arial"/>
          <w:color w:val="000000" w:themeColor="text1"/>
          <w:lang w:val="es-ES_tradnl"/>
        </w:rPr>
        <w:t>la información no cumpla las validaciones de estructura y consistencia de información definidas para el Formulario Virtual N.° 3560 – Declaración Jurada Informativa Reporte Local.</w:t>
      </w:r>
    </w:p>
    <w:p w:rsidR="008B1846" w:rsidRPr="004E7132" w:rsidRDefault="008B1846" w:rsidP="008B1846">
      <w:pPr>
        <w:pStyle w:val="Prrafodelista"/>
        <w:widowControl w:val="0"/>
        <w:autoSpaceDE w:val="0"/>
        <w:autoSpaceDN w:val="0"/>
        <w:adjustRightInd w:val="0"/>
        <w:spacing w:after="0" w:line="240" w:lineRule="auto"/>
        <w:ind w:left="0"/>
        <w:jc w:val="both"/>
        <w:rPr>
          <w:rFonts w:ascii="Arial" w:hAnsi="Arial" w:cs="Arial"/>
          <w:color w:val="000000" w:themeColor="text1"/>
          <w:lang w:val="es-ES_tradnl"/>
        </w:rPr>
      </w:pPr>
    </w:p>
    <w:p w:rsidR="008B1846" w:rsidRPr="004E7132" w:rsidRDefault="008B1846" w:rsidP="008B1846">
      <w:pPr>
        <w:pStyle w:val="Prrafodelista"/>
        <w:widowControl w:val="0"/>
        <w:autoSpaceDE w:val="0"/>
        <w:autoSpaceDN w:val="0"/>
        <w:adjustRightInd w:val="0"/>
        <w:spacing w:after="0" w:line="240" w:lineRule="auto"/>
        <w:ind w:left="0"/>
        <w:jc w:val="both"/>
        <w:rPr>
          <w:rFonts w:ascii="Arial" w:hAnsi="Arial" w:cs="Arial"/>
          <w:color w:val="000000" w:themeColor="text1"/>
          <w:lang w:val="es-ES_tradnl"/>
        </w:rPr>
      </w:pPr>
      <w:r w:rsidRPr="004E7132">
        <w:rPr>
          <w:rFonts w:ascii="Arial" w:hAnsi="Arial" w:cs="Arial"/>
          <w:color w:val="000000" w:themeColor="text1"/>
          <w:lang w:val="es-ES_tradnl"/>
        </w:rPr>
        <w:t>7.2 Las validaciones y especificaciones técnicas sobre la estructura de la información podrán ser consultadas en SUNAT Virtual.</w:t>
      </w:r>
    </w:p>
    <w:p w:rsidR="008B1846" w:rsidRPr="004E7132" w:rsidRDefault="008B1846" w:rsidP="008B1846">
      <w:pPr>
        <w:pStyle w:val="Prrafodelista"/>
        <w:widowControl w:val="0"/>
        <w:autoSpaceDE w:val="0"/>
        <w:autoSpaceDN w:val="0"/>
        <w:adjustRightInd w:val="0"/>
        <w:spacing w:after="0" w:line="240" w:lineRule="auto"/>
        <w:ind w:left="0"/>
        <w:jc w:val="both"/>
        <w:rPr>
          <w:rFonts w:ascii="Arial" w:hAnsi="Arial" w:cs="Arial"/>
          <w:color w:val="000000" w:themeColor="text1"/>
          <w:lang w:val="es-ES_tradnl"/>
        </w:rPr>
      </w:pPr>
    </w:p>
    <w:p w:rsidR="008B1846" w:rsidRPr="004E7132" w:rsidRDefault="008B1846" w:rsidP="008B1846">
      <w:pPr>
        <w:pStyle w:val="Prrafodelista"/>
        <w:widowControl w:val="0"/>
        <w:autoSpaceDE w:val="0"/>
        <w:autoSpaceDN w:val="0"/>
        <w:adjustRightInd w:val="0"/>
        <w:spacing w:after="0" w:line="240" w:lineRule="auto"/>
        <w:ind w:left="0"/>
        <w:jc w:val="both"/>
        <w:rPr>
          <w:rFonts w:ascii="Arial" w:hAnsi="Arial" w:cs="Arial"/>
          <w:color w:val="000000" w:themeColor="text1"/>
          <w:lang w:val="es-ES_tradnl"/>
        </w:rPr>
      </w:pPr>
      <w:r w:rsidRPr="004E7132">
        <w:rPr>
          <w:rFonts w:ascii="Arial" w:hAnsi="Arial" w:cs="Arial"/>
          <w:color w:val="000000" w:themeColor="text1"/>
          <w:lang w:val="es-ES_tradnl"/>
        </w:rPr>
        <w:t xml:space="preserve">7.3 La </w:t>
      </w:r>
      <w:r>
        <w:rPr>
          <w:rFonts w:ascii="Arial" w:hAnsi="Arial" w:cs="Arial"/>
          <w:color w:val="000000" w:themeColor="text1"/>
          <w:lang w:val="es-ES_tradnl"/>
        </w:rPr>
        <w:t>d</w:t>
      </w:r>
      <w:r w:rsidRPr="004E7132">
        <w:rPr>
          <w:rFonts w:ascii="Arial" w:hAnsi="Arial" w:cs="Arial"/>
          <w:color w:val="000000" w:themeColor="text1"/>
          <w:lang w:val="es-ES_tradnl"/>
        </w:rPr>
        <w:t>eclaración se considera como no presentada cuando se produzca la causal de rechazo.</w:t>
      </w:r>
    </w:p>
    <w:p w:rsidR="008B1846" w:rsidRPr="004E7132" w:rsidRDefault="008B1846" w:rsidP="008B1846">
      <w:pPr>
        <w:pStyle w:val="Prrafodelista"/>
        <w:widowControl w:val="0"/>
        <w:autoSpaceDE w:val="0"/>
        <w:autoSpaceDN w:val="0"/>
        <w:adjustRightInd w:val="0"/>
        <w:spacing w:after="0" w:line="240" w:lineRule="auto"/>
        <w:ind w:left="0"/>
        <w:jc w:val="both"/>
        <w:rPr>
          <w:rFonts w:ascii="Arial" w:hAnsi="Arial" w:cs="Arial"/>
          <w:color w:val="000000" w:themeColor="text1"/>
          <w:lang w:val="es-ES_tradnl"/>
        </w:rPr>
      </w:pPr>
    </w:p>
    <w:p w:rsidR="008B1846" w:rsidRPr="004E7132" w:rsidRDefault="008B1846" w:rsidP="008B1846">
      <w:pPr>
        <w:widowControl w:val="0"/>
        <w:autoSpaceDE w:val="0"/>
        <w:autoSpaceDN w:val="0"/>
        <w:adjustRightInd w:val="0"/>
        <w:spacing w:after="0" w:line="240" w:lineRule="auto"/>
        <w:jc w:val="both"/>
        <w:rPr>
          <w:rFonts w:ascii="Arial" w:hAnsi="Arial" w:cs="Arial"/>
          <w:b/>
          <w:color w:val="000000" w:themeColor="text1"/>
          <w:lang w:val="es-ES_tradnl"/>
        </w:rPr>
      </w:pPr>
      <w:r w:rsidRPr="004E7132">
        <w:rPr>
          <w:rFonts w:ascii="Arial" w:hAnsi="Arial" w:cs="Arial"/>
          <w:b/>
          <w:color w:val="000000" w:themeColor="text1"/>
          <w:lang w:val="es-ES_tradnl"/>
        </w:rPr>
        <w:t>Artículo 8. Constancia de presentación</w:t>
      </w:r>
    </w:p>
    <w:p w:rsidR="008B1846" w:rsidRPr="004E7132" w:rsidRDefault="008B1846" w:rsidP="008B1846">
      <w:pPr>
        <w:widowControl w:val="0"/>
        <w:autoSpaceDE w:val="0"/>
        <w:autoSpaceDN w:val="0"/>
        <w:adjustRightInd w:val="0"/>
        <w:spacing w:after="0" w:line="240" w:lineRule="auto"/>
        <w:jc w:val="both"/>
        <w:rPr>
          <w:rFonts w:ascii="Arial" w:hAnsi="Arial" w:cs="Arial"/>
          <w:b/>
          <w:color w:val="000000" w:themeColor="text1"/>
          <w:lang w:val="es-ES_tradnl"/>
        </w:rPr>
      </w:pPr>
    </w:p>
    <w:p w:rsidR="008B1846" w:rsidRPr="004E7132" w:rsidRDefault="008B1846" w:rsidP="008B1846">
      <w:pPr>
        <w:pStyle w:val="Prrafodelista"/>
        <w:widowControl w:val="0"/>
        <w:autoSpaceDE w:val="0"/>
        <w:autoSpaceDN w:val="0"/>
        <w:adjustRightInd w:val="0"/>
        <w:spacing w:after="0" w:line="240" w:lineRule="auto"/>
        <w:ind w:left="0"/>
        <w:jc w:val="both"/>
        <w:rPr>
          <w:rFonts w:ascii="Arial" w:hAnsi="Arial" w:cs="Arial"/>
          <w:color w:val="000000" w:themeColor="text1"/>
          <w:lang w:val="es-ES_tradnl"/>
        </w:rPr>
      </w:pPr>
      <w:r w:rsidRPr="004E7132">
        <w:rPr>
          <w:rFonts w:ascii="Arial" w:hAnsi="Arial" w:cs="Arial"/>
          <w:color w:val="000000" w:themeColor="text1"/>
          <w:lang w:val="es-ES_tradnl"/>
        </w:rPr>
        <w:t>8.1 De no mediar causal de rechazo, e</w:t>
      </w:r>
      <w:r w:rsidRPr="004E7132">
        <w:rPr>
          <w:rFonts w:ascii="Arial" w:hAnsi="Arial" w:cs="Arial"/>
        </w:rPr>
        <w:t xml:space="preserve">l sistema de la SUNAT emite la constancia de presentación de la </w:t>
      </w:r>
      <w:r>
        <w:rPr>
          <w:rFonts w:ascii="Arial" w:hAnsi="Arial" w:cs="Arial"/>
        </w:rPr>
        <w:t>d</w:t>
      </w:r>
      <w:r w:rsidRPr="004E7132">
        <w:rPr>
          <w:rFonts w:ascii="Arial" w:hAnsi="Arial" w:cs="Arial"/>
        </w:rPr>
        <w:t>eclaración.</w:t>
      </w:r>
    </w:p>
    <w:p w:rsidR="008B1846" w:rsidRPr="004E7132" w:rsidRDefault="008B1846" w:rsidP="008B1846">
      <w:pPr>
        <w:pStyle w:val="Prrafodelista"/>
        <w:widowControl w:val="0"/>
        <w:autoSpaceDE w:val="0"/>
        <w:autoSpaceDN w:val="0"/>
        <w:adjustRightInd w:val="0"/>
        <w:spacing w:after="0" w:line="240" w:lineRule="auto"/>
        <w:ind w:left="567"/>
        <w:jc w:val="both"/>
        <w:rPr>
          <w:rFonts w:ascii="Arial" w:hAnsi="Arial" w:cs="Arial"/>
          <w:color w:val="000000" w:themeColor="text1"/>
          <w:lang w:val="es-ES_tradnl"/>
        </w:rPr>
      </w:pPr>
    </w:p>
    <w:p w:rsidR="008B1846" w:rsidRPr="004E7132" w:rsidRDefault="008B1846" w:rsidP="008B1846">
      <w:pPr>
        <w:pStyle w:val="Prrafodelista"/>
        <w:widowControl w:val="0"/>
        <w:autoSpaceDE w:val="0"/>
        <w:autoSpaceDN w:val="0"/>
        <w:adjustRightInd w:val="0"/>
        <w:spacing w:after="0" w:line="240" w:lineRule="auto"/>
        <w:ind w:left="0"/>
        <w:jc w:val="both"/>
        <w:rPr>
          <w:rFonts w:ascii="Arial" w:hAnsi="Arial" w:cs="Arial"/>
        </w:rPr>
      </w:pPr>
      <w:r w:rsidRPr="004E7132">
        <w:rPr>
          <w:rFonts w:ascii="Arial" w:hAnsi="Arial" w:cs="Arial"/>
          <w:color w:val="000000" w:themeColor="text1"/>
          <w:lang w:val="es-ES_tradnl"/>
        </w:rPr>
        <w:t xml:space="preserve">8.2 La constancia de presentación de la </w:t>
      </w:r>
      <w:r>
        <w:rPr>
          <w:rFonts w:ascii="Arial" w:hAnsi="Arial" w:cs="Arial"/>
          <w:color w:val="000000" w:themeColor="text1"/>
          <w:lang w:val="es-ES_tradnl"/>
        </w:rPr>
        <w:t>d</w:t>
      </w:r>
      <w:r w:rsidRPr="004E7132">
        <w:rPr>
          <w:rFonts w:ascii="Arial" w:hAnsi="Arial" w:cs="Arial"/>
          <w:color w:val="000000" w:themeColor="text1"/>
          <w:lang w:val="es-ES_tradnl"/>
        </w:rPr>
        <w:t xml:space="preserve">eclaración puede ser impresa, guardada y/o </w:t>
      </w:r>
      <w:r w:rsidRPr="004E7132">
        <w:rPr>
          <w:rFonts w:ascii="Arial" w:hAnsi="Arial" w:cs="Arial"/>
          <w:lang w:val="es-ES_tradnl"/>
        </w:rPr>
        <w:t xml:space="preserve">enviada </w:t>
      </w:r>
      <w:r w:rsidRPr="004E7132">
        <w:rPr>
          <w:rFonts w:ascii="Arial" w:hAnsi="Arial" w:cs="Arial"/>
          <w:bCs/>
        </w:rPr>
        <w:t>al buzón electrónico asignado al declarante en SUNAT Operaciones en Línea.</w:t>
      </w:r>
    </w:p>
    <w:p w:rsidR="008B1846" w:rsidRPr="004E7132" w:rsidRDefault="008B1846" w:rsidP="008B1846">
      <w:pPr>
        <w:pStyle w:val="NormalWeb"/>
        <w:widowControl w:val="0"/>
        <w:spacing w:before="0" w:beforeAutospacing="0" w:after="0" w:afterAutospacing="0"/>
        <w:jc w:val="both"/>
        <w:rPr>
          <w:rFonts w:ascii="Arial" w:hAnsi="Arial" w:cs="Arial"/>
          <w:b/>
          <w:sz w:val="22"/>
          <w:szCs w:val="22"/>
        </w:rPr>
      </w:pPr>
    </w:p>
    <w:p w:rsidR="008B1846" w:rsidRPr="004E7132" w:rsidRDefault="008B1846" w:rsidP="008B1846">
      <w:pPr>
        <w:pStyle w:val="NormalWeb"/>
        <w:widowControl w:val="0"/>
        <w:spacing w:before="0" w:beforeAutospacing="0" w:after="0" w:afterAutospacing="0"/>
        <w:jc w:val="both"/>
        <w:rPr>
          <w:rFonts w:ascii="Arial" w:hAnsi="Arial" w:cs="Arial"/>
          <w:b/>
          <w:bCs/>
          <w:sz w:val="22"/>
          <w:szCs w:val="22"/>
        </w:rPr>
      </w:pPr>
      <w:r w:rsidRPr="004E7132">
        <w:rPr>
          <w:rFonts w:ascii="Arial" w:hAnsi="Arial" w:cs="Arial"/>
          <w:b/>
          <w:sz w:val="22"/>
          <w:szCs w:val="22"/>
        </w:rPr>
        <w:t xml:space="preserve">Artículo 9. Plazo de presentación </w:t>
      </w:r>
    </w:p>
    <w:p w:rsidR="008B1846" w:rsidRPr="004E7132" w:rsidRDefault="008B1846" w:rsidP="008B1846">
      <w:pPr>
        <w:widowControl w:val="0"/>
        <w:spacing w:after="0" w:line="240" w:lineRule="auto"/>
        <w:jc w:val="both"/>
        <w:rPr>
          <w:rFonts w:ascii="Arial" w:hAnsi="Arial" w:cs="Arial"/>
        </w:rPr>
      </w:pPr>
    </w:p>
    <w:p w:rsidR="008B1846" w:rsidRPr="004E7132" w:rsidRDefault="008B1846" w:rsidP="008B1846">
      <w:pPr>
        <w:widowControl w:val="0"/>
        <w:spacing w:after="0" w:line="240" w:lineRule="auto"/>
        <w:jc w:val="both"/>
        <w:rPr>
          <w:rFonts w:ascii="Arial" w:hAnsi="Arial" w:cs="Arial"/>
        </w:rPr>
      </w:pPr>
      <w:r w:rsidRPr="004E7132">
        <w:rPr>
          <w:rFonts w:ascii="Arial" w:hAnsi="Arial" w:cs="Arial"/>
        </w:rPr>
        <w:t xml:space="preserve">La </w:t>
      </w:r>
      <w:r>
        <w:rPr>
          <w:rFonts w:ascii="Arial" w:hAnsi="Arial" w:cs="Arial"/>
        </w:rPr>
        <w:t>d</w:t>
      </w:r>
      <w:r w:rsidRPr="004E7132">
        <w:rPr>
          <w:rFonts w:ascii="Arial" w:hAnsi="Arial" w:cs="Arial"/>
        </w:rPr>
        <w:t xml:space="preserve">eclaración se presenta de acuerdo con el cronograma de vencimientos que se apruebe para la declaración y pago de tributos de liquidación mensual correspondientes al período tributario mayo del ejercicio siguiente al que corresponda la </w:t>
      </w:r>
      <w:r>
        <w:rPr>
          <w:rFonts w:ascii="Arial" w:hAnsi="Arial" w:cs="Arial"/>
        </w:rPr>
        <w:t>d</w:t>
      </w:r>
      <w:r w:rsidRPr="004E7132">
        <w:rPr>
          <w:rFonts w:ascii="Arial" w:hAnsi="Arial" w:cs="Arial"/>
        </w:rPr>
        <w:t>eclaración.</w:t>
      </w:r>
    </w:p>
    <w:p w:rsidR="008B1846" w:rsidRPr="004E7132" w:rsidRDefault="008B1846" w:rsidP="008B1846">
      <w:pPr>
        <w:spacing w:after="0" w:line="240" w:lineRule="auto"/>
        <w:ind w:right="-1"/>
        <w:jc w:val="both"/>
        <w:rPr>
          <w:rFonts w:ascii="Arial" w:hAnsi="Arial" w:cs="Arial"/>
          <w:b/>
          <w:color w:val="000000" w:themeColor="text1"/>
        </w:rPr>
      </w:pPr>
    </w:p>
    <w:p w:rsidR="008B1846" w:rsidRPr="004E7132" w:rsidRDefault="008B1846" w:rsidP="008B1846">
      <w:pPr>
        <w:widowControl w:val="0"/>
        <w:autoSpaceDE w:val="0"/>
        <w:autoSpaceDN w:val="0"/>
        <w:adjustRightInd w:val="0"/>
        <w:spacing w:after="0" w:line="240" w:lineRule="auto"/>
        <w:jc w:val="both"/>
        <w:rPr>
          <w:rFonts w:ascii="Arial" w:hAnsi="Arial" w:cs="Arial"/>
          <w:b/>
          <w:color w:val="000000" w:themeColor="text1"/>
          <w:lang w:val="es-ES_tradnl"/>
        </w:rPr>
      </w:pPr>
      <w:r w:rsidRPr="004E7132">
        <w:rPr>
          <w:rFonts w:ascii="Arial" w:hAnsi="Arial" w:cs="Arial"/>
          <w:b/>
          <w:color w:val="000000" w:themeColor="text1"/>
          <w:lang w:val="es-ES_tradnl"/>
        </w:rPr>
        <w:t>Artículo 10. Declaración sustitutoria o rectificatoria</w:t>
      </w:r>
    </w:p>
    <w:p w:rsidR="008B1846" w:rsidRPr="004E7132" w:rsidRDefault="008B1846" w:rsidP="008B1846">
      <w:pPr>
        <w:widowControl w:val="0"/>
        <w:spacing w:after="0" w:line="240" w:lineRule="auto"/>
        <w:jc w:val="both"/>
        <w:rPr>
          <w:rFonts w:ascii="Arial" w:hAnsi="Arial" w:cs="Arial"/>
        </w:rPr>
      </w:pPr>
    </w:p>
    <w:p w:rsidR="008B1846" w:rsidRPr="004E7132" w:rsidRDefault="008B1846" w:rsidP="008B1846">
      <w:pPr>
        <w:widowControl w:val="0"/>
        <w:spacing w:after="0" w:line="240" w:lineRule="auto"/>
        <w:jc w:val="both"/>
        <w:rPr>
          <w:rFonts w:ascii="Arial" w:hAnsi="Arial" w:cs="Arial"/>
        </w:rPr>
      </w:pPr>
      <w:r w:rsidRPr="004E7132">
        <w:rPr>
          <w:rFonts w:ascii="Arial" w:hAnsi="Arial" w:cs="Arial"/>
        </w:rPr>
        <w:t xml:space="preserve">Los contribuyentes obligados a presentar la </w:t>
      </w:r>
      <w:r>
        <w:rPr>
          <w:rFonts w:ascii="Arial" w:hAnsi="Arial" w:cs="Arial"/>
        </w:rPr>
        <w:t>d</w:t>
      </w:r>
      <w:r w:rsidRPr="004E7132">
        <w:rPr>
          <w:rFonts w:ascii="Arial" w:hAnsi="Arial" w:cs="Arial"/>
        </w:rPr>
        <w:t>eclaración pueden sustituir y/o rectificar esta, para lo cual deben ingresar nuevamente toda la información requerida en el Formulario Virtual N.° 3560 – Declaración Jurada Informativa Reporte Local, inclusive aquella que no desean sustituir o</w:t>
      </w:r>
      <w:r>
        <w:rPr>
          <w:rFonts w:ascii="Arial" w:hAnsi="Arial" w:cs="Arial"/>
        </w:rPr>
        <w:t xml:space="preserve"> </w:t>
      </w:r>
      <w:r w:rsidRPr="004E7132">
        <w:rPr>
          <w:rFonts w:ascii="Arial" w:hAnsi="Arial" w:cs="Arial"/>
        </w:rPr>
        <w:t>rectificar.</w:t>
      </w:r>
      <w:r>
        <w:rPr>
          <w:rFonts w:ascii="Arial" w:hAnsi="Arial" w:cs="Arial"/>
        </w:rPr>
        <w:t xml:space="preserve"> </w:t>
      </w:r>
      <w:r w:rsidRPr="004E7132">
        <w:rPr>
          <w:rFonts w:ascii="Arial" w:hAnsi="Arial" w:cs="Arial"/>
        </w:rPr>
        <w:t xml:space="preserve">Dicha </w:t>
      </w:r>
      <w:r>
        <w:rPr>
          <w:rFonts w:ascii="Arial" w:hAnsi="Arial" w:cs="Arial"/>
        </w:rPr>
        <w:t>d</w:t>
      </w:r>
      <w:r w:rsidRPr="004E7132">
        <w:rPr>
          <w:rFonts w:ascii="Arial" w:hAnsi="Arial" w:cs="Arial"/>
        </w:rPr>
        <w:t>eclaración deja sin efecto la última presentada.</w:t>
      </w:r>
    </w:p>
    <w:p w:rsidR="008B1846" w:rsidRPr="004E7132" w:rsidRDefault="008B1846" w:rsidP="008B1846">
      <w:pPr>
        <w:spacing w:after="0" w:line="240" w:lineRule="auto"/>
        <w:ind w:right="-1"/>
        <w:jc w:val="both"/>
        <w:rPr>
          <w:rFonts w:ascii="Arial" w:hAnsi="Arial" w:cs="Arial"/>
          <w:color w:val="000000" w:themeColor="text1"/>
        </w:rPr>
      </w:pPr>
    </w:p>
    <w:p w:rsidR="008B1846" w:rsidRPr="004E7132" w:rsidRDefault="008B1846" w:rsidP="008B1846">
      <w:pPr>
        <w:pStyle w:val="NormalWeb"/>
        <w:spacing w:before="0" w:beforeAutospacing="0" w:after="0" w:afterAutospacing="0"/>
        <w:jc w:val="center"/>
        <w:rPr>
          <w:sz w:val="22"/>
          <w:szCs w:val="22"/>
        </w:rPr>
      </w:pPr>
      <w:r w:rsidRPr="004E7132">
        <w:rPr>
          <w:rFonts w:ascii="Arial" w:hAnsi="Arial" w:cs="Arial"/>
          <w:b/>
          <w:bCs/>
          <w:color w:val="000000"/>
          <w:sz w:val="22"/>
          <w:szCs w:val="22"/>
        </w:rPr>
        <w:t>DISPOSICIONES COMPLEMENTARIAS FINALES</w:t>
      </w:r>
    </w:p>
    <w:p w:rsidR="008B1846" w:rsidRPr="004E7132" w:rsidRDefault="008B1846" w:rsidP="008B1846">
      <w:pPr>
        <w:spacing w:after="0" w:line="240" w:lineRule="auto"/>
        <w:ind w:right="-1"/>
        <w:jc w:val="both"/>
        <w:rPr>
          <w:rFonts w:ascii="Arial" w:hAnsi="Arial" w:cs="Arial"/>
          <w:b/>
          <w:color w:val="000000" w:themeColor="text1"/>
          <w:lang w:val="es-ES_tradnl"/>
        </w:rPr>
      </w:pPr>
    </w:p>
    <w:p w:rsidR="008B1846" w:rsidRPr="004E7132" w:rsidRDefault="008B1846" w:rsidP="008B1846">
      <w:pPr>
        <w:spacing w:after="0" w:line="240" w:lineRule="auto"/>
        <w:ind w:right="-1"/>
        <w:jc w:val="both"/>
        <w:rPr>
          <w:rFonts w:ascii="Arial" w:hAnsi="Arial" w:cs="Arial"/>
          <w:b/>
          <w:color w:val="000000" w:themeColor="text1"/>
          <w:lang w:val="es-ES_tradnl"/>
        </w:rPr>
      </w:pPr>
      <w:r w:rsidRPr="004E7132">
        <w:rPr>
          <w:rFonts w:ascii="Arial" w:hAnsi="Arial" w:cs="Arial"/>
          <w:b/>
          <w:color w:val="000000" w:themeColor="text1"/>
          <w:lang w:val="es-ES_tradnl"/>
        </w:rPr>
        <w:t xml:space="preserve">PRIMERA. Vigencia </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La presente resolución entra en vigencia al día siguiente de su publicación en el Diario Oficial El Peruano.</w:t>
      </w:r>
    </w:p>
    <w:p w:rsidR="008B1846" w:rsidRPr="004E7132" w:rsidRDefault="008B1846" w:rsidP="008B1846">
      <w:pPr>
        <w:pStyle w:val="NormalWeb"/>
        <w:spacing w:before="0" w:beforeAutospacing="0" w:after="0" w:afterAutospacing="0"/>
        <w:rPr>
          <w:rFonts w:ascii="Arial" w:hAnsi="Arial" w:cs="Arial"/>
          <w:color w:val="000000"/>
          <w:sz w:val="22"/>
          <w:szCs w:val="22"/>
        </w:rPr>
      </w:pPr>
    </w:p>
    <w:p w:rsidR="008B1846" w:rsidRPr="004E7132" w:rsidRDefault="008B1846" w:rsidP="008B1846">
      <w:pPr>
        <w:spacing w:after="0" w:line="240" w:lineRule="auto"/>
        <w:ind w:right="-1"/>
        <w:jc w:val="both"/>
        <w:rPr>
          <w:rFonts w:ascii="Arial" w:hAnsi="Arial" w:cs="Arial"/>
          <w:b/>
          <w:color w:val="000000" w:themeColor="text1"/>
          <w:lang w:val="es-ES_tradnl"/>
        </w:rPr>
      </w:pPr>
      <w:r w:rsidRPr="004E7132">
        <w:rPr>
          <w:rFonts w:ascii="Arial" w:hAnsi="Arial" w:cs="Arial"/>
          <w:b/>
          <w:color w:val="000000" w:themeColor="text1"/>
          <w:lang w:val="es-ES_tradnl"/>
        </w:rPr>
        <w:t>SEGUNDA. Utilización del PDT Precios de Transferencia N.° 3560</w:t>
      </w: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4E7132" w:rsidRDefault="008B1846" w:rsidP="008B1846">
      <w:pPr>
        <w:spacing w:after="0" w:line="240" w:lineRule="auto"/>
        <w:jc w:val="both"/>
        <w:rPr>
          <w:rFonts w:ascii="Arial" w:hAnsi="Arial" w:cs="Arial"/>
          <w:color w:val="000000" w:themeColor="text1"/>
          <w:lang w:val="es-ES_tradnl"/>
        </w:rPr>
      </w:pPr>
      <w:r w:rsidRPr="004E7132">
        <w:rPr>
          <w:rFonts w:ascii="Arial" w:hAnsi="Arial" w:cs="Arial"/>
          <w:color w:val="000000" w:themeColor="text1"/>
          <w:lang w:val="es-ES_tradnl"/>
        </w:rPr>
        <w:t xml:space="preserve">Los sujetos obligados a presentar el PDT Precios de Transferencia – Formulario Virtual N.° 3560 por los ejercicios anteriores al 2016 deben seguir haciendo uso de este medio informático para efecto de cumplir con su obligación relativa a estos ejercicios. </w:t>
      </w:r>
    </w:p>
    <w:p w:rsidR="008B1846" w:rsidRPr="004E7132" w:rsidRDefault="008B1846" w:rsidP="008B1846">
      <w:pPr>
        <w:pStyle w:val="NormalWeb"/>
        <w:spacing w:before="0" w:beforeAutospacing="0" w:after="0" w:afterAutospacing="0"/>
        <w:jc w:val="center"/>
        <w:rPr>
          <w:rFonts w:ascii="Arial" w:hAnsi="Arial" w:cs="Arial"/>
          <w:b/>
          <w:bCs/>
          <w:color w:val="000000"/>
          <w:sz w:val="22"/>
          <w:szCs w:val="22"/>
        </w:rPr>
      </w:pPr>
    </w:p>
    <w:p w:rsidR="008B1846" w:rsidRPr="004E7132" w:rsidRDefault="008B1846" w:rsidP="008B1846">
      <w:pPr>
        <w:pStyle w:val="NormalWeb"/>
        <w:spacing w:before="0" w:beforeAutospacing="0" w:after="0" w:afterAutospacing="0"/>
        <w:jc w:val="center"/>
        <w:rPr>
          <w:sz w:val="22"/>
          <w:szCs w:val="22"/>
        </w:rPr>
      </w:pPr>
      <w:r w:rsidRPr="004E7132">
        <w:rPr>
          <w:rFonts w:ascii="Arial" w:hAnsi="Arial" w:cs="Arial"/>
          <w:b/>
          <w:bCs/>
          <w:color w:val="000000"/>
          <w:sz w:val="22"/>
          <w:szCs w:val="22"/>
        </w:rPr>
        <w:t>DISPOSICIÓN COMPLEMENTARIA TRANSITORIA</w:t>
      </w:r>
    </w:p>
    <w:p w:rsidR="008B1846" w:rsidRPr="004E7132" w:rsidRDefault="008B1846" w:rsidP="008B1846">
      <w:pPr>
        <w:spacing w:after="0" w:line="240" w:lineRule="auto"/>
        <w:ind w:right="-1"/>
        <w:jc w:val="both"/>
        <w:rPr>
          <w:rFonts w:ascii="Arial" w:hAnsi="Arial" w:cs="Arial"/>
          <w:b/>
          <w:color w:val="000000" w:themeColor="text1"/>
          <w:lang w:val="es-ES_tradnl"/>
        </w:rPr>
      </w:pPr>
    </w:p>
    <w:p w:rsidR="008B1846" w:rsidRPr="004E7132" w:rsidRDefault="008B1846" w:rsidP="008B1846">
      <w:pPr>
        <w:spacing w:after="0" w:line="240" w:lineRule="auto"/>
        <w:ind w:right="-1"/>
        <w:jc w:val="both"/>
        <w:rPr>
          <w:rFonts w:ascii="Arial" w:hAnsi="Arial" w:cs="Arial"/>
          <w:b/>
          <w:color w:val="000000" w:themeColor="text1"/>
          <w:lang w:val="es-ES_tradnl"/>
        </w:rPr>
      </w:pPr>
      <w:r w:rsidRPr="004E7132">
        <w:rPr>
          <w:rFonts w:ascii="Arial" w:hAnsi="Arial" w:cs="Arial"/>
          <w:b/>
          <w:color w:val="000000" w:themeColor="text1"/>
          <w:lang w:val="es-ES_tradnl"/>
        </w:rPr>
        <w:t xml:space="preserve">PRIMERA. Plazo para presentar la </w:t>
      </w:r>
      <w:r>
        <w:rPr>
          <w:rFonts w:ascii="Arial" w:hAnsi="Arial" w:cs="Arial"/>
          <w:b/>
          <w:color w:val="000000" w:themeColor="text1"/>
          <w:lang w:val="es-ES_tradnl"/>
        </w:rPr>
        <w:t>d</w:t>
      </w:r>
      <w:r w:rsidRPr="004E7132">
        <w:rPr>
          <w:rFonts w:ascii="Arial" w:hAnsi="Arial" w:cs="Arial"/>
          <w:b/>
          <w:color w:val="000000" w:themeColor="text1"/>
          <w:lang w:val="es-ES_tradnl"/>
        </w:rPr>
        <w:t>eclaración correspondiente al ejercicio 2016</w:t>
      </w:r>
    </w:p>
    <w:p w:rsidR="008B1846" w:rsidRPr="004E7132" w:rsidRDefault="008B1846" w:rsidP="008B1846">
      <w:pPr>
        <w:spacing w:after="0" w:line="240" w:lineRule="auto"/>
        <w:ind w:right="-1"/>
        <w:jc w:val="both"/>
        <w:rPr>
          <w:rFonts w:ascii="Arial" w:eastAsia="Times New Roman" w:hAnsi="Arial" w:cs="Arial"/>
          <w:color w:val="000000"/>
          <w:lang w:eastAsia="es-ES"/>
        </w:rPr>
      </w:pPr>
    </w:p>
    <w:p w:rsidR="008B1846" w:rsidRPr="004E7132" w:rsidRDefault="008B1846" w:rsidP="008B1846">
      <w:pPr>
        <w:spacing w:after="0" w:line="240" w:lineRule="auto"/>
        <w:ind w:right="-1"/>
        <w:jc w:val="both"/>
        <w:rPr>
          <w:rFonts w:ascii="Arial" w:eastAsia="Times New Roman" w:hAnsi="Arial" w:cs="Arial"/>
          <w:color w:val="000000"/>
          <w:lang w:eastAsia="es-ES"/>
        </w:rPr>
      </w:pPr>
      <w:r w:rsidRPr="004E7132">
        <w:rPr>
          <w:rFonts w:ascii="Arial" w:eastAsia="Times New Roman" w:hAnsi="Arial" w:cs="Arial"/>
          <w:color w:val="000000"/>
          <w:lang w:eastAsia="es-ES"/>
        </w:rPr>
        <w:t xml:space="preserve">Los sujetos obligados presentan la </w:t>
      </w:r>
      <w:r>
        <w:rPr>
          <w:rFonts w:ascii="Arial" w:eastAsia="Times New Roman" w:hAnsi="Arial" w:cs="Arial"/>
          <w:color w:val="000000"/>
          <w:lang w:eastAsia="es-ES"/>
        </w:rPr>
        <w:t>d</w:t>
      </w:r>
      <w:r w:rsidRPr="004E7132">
        <w:rPr>
          <w:rFonts w:ascii="Arial" w:eastAsia="Times New Roman" w:hAnsi="Arial" w:cs="Arial"/>
          <w:color w:val="000000"/>
          <w:lang w:eastAsia="es-ES"/>
        </w:rPr>
        <w:t>eclaración correspondiente al ejercicio 2016 de acuerdo con el siguiente cronograma:</w:t>
      </w:r>
    </w:p>
    <w:p w:rsidR="008B1846" w:rsidRPr="004E7132" w:rsidRDefault="008B1846" w:rsidP="008B1846">
      <w:pPr>
        <w:spacing w:after="0" w:line="240" w:lineRule="auto"/>
        <w:ind w:right="-1" w:firstLine="720"/>
        <w:jc w:val="both"/>
        <w:rPr>
          <w:rFonts w:ascii="Arial" w:eastAsia="Times New Roman" w:hAnsi="Arial" w:cs="Arial"/>
          <w:color w:val="000000"/>
          <w:lang w:eastAsia="es-ES"/>
        </w:rPr>
      </w:pPr>
    </w:p>
    <w:tbl>
      <w:tblPr>
        <w:tblW w:w="0" w:type="auto"/>
        <w:tblInd w:w="2015" w:type="dxa"/>
        <w:tblLayout w:type="fixed"/>
        <w:tblCellMar>
          <w:left w:w="30" w:type="dxa"/>
          <w:right w:w="30" w:type="dxa"/>
        </w:tblCellMar>
        <w:tblLook w:val="0000" w:firstRow="0" w:lastRow="0" w:firstColumn="0" w:lastColumn="0" w:noHBand="0" w:noVBand="0"/>
      </w:tblPr>
      <w:tblGrid>
        <w:gridCol w:w="1498"/>
        <w:gridCol w:w="2563"/>
      </w:tblGrid>
      <w:tr w:rsidR="008B1846" w:rsidRPr="004E7132" w:rsidTr="0056133F">
        <w:trPr>
          <w:trHeight w:val="230"/>
        </w:trPr>
        <w:tc>
          <w:tcPr>
            <w:tcW w:w="1498" w:type="dxa"/>
            <w:tcBorders>
              <w:top w:val="single" w:sz="4" w:space="0" w:color="000000"/>
              <w:left w:val="single" w:sz="4" w:space="0" w:color="000000"/>
              <w:right w:val="single" w:sz="4" w:space="0" w:color="000000"/>
            </w:tcBorders>
            <w:shd w:val="clear" w:color="auto" w:fill="auto"/>
          </w:tcPr>
          <w:p w:rsidR="008B1846" w:rsidRPr="00CF3A63" w:rsidRDefault="008B1846" w:rsidP="0056133F">
            <w:pPr>
              <w:autoSpaceDE w:val="0"/>
              <w:autoSpaceDN w:val="0"/>
              <w:adjustRightInd w:val="0"/>
              <w:spacing w:after="0" w:line="240" w:lineRule="auto"/>
              <w:jc w:val="center"/>
              <w:rPr>
                <w:rFonts w:eastAsia="Calibri" w:cs="Calibri"/>
                <w:b/>
                <w:bCs/>
                <w:sz w:val="20"/>
                <w:szCs w:val="20"/>
                <w:lang w:val="es-PE" w:eastAsia="es-PE"/>
              </w:rPr>
            </w:pPr>
            <w:r w:rsidRPr="00CF3A63">
              <w:rPr>
                <w:rFonts w:eastAsia="Calibri" w:cs="Calibri"/>
                <w:b/>
                <w:bCs/>
                <w:sz w:val="20"/>
                <w:szCs w:val="20"/>
                <w:lang w:val="es-PE" w:eastAsia="es-PE"/>
              </w:rPr>
              <w:t>ULTIMO DÍGITO</w:t>
            </w:r>
          </w:p>
        </w:tc>
        <w:tc>
          <w:tcPr>
            <w:tcW w:w="2563" w:type="dxa"/>
            <w:tcBorders>
              <w:top w:val="single" w:sz="4" w:space="0" w:color="000000"/>
              <w:left w:val="single" w:sz="4" w:space="0" w:color="000000"/>
              <w:right w:val="single" w:sz="4" w:space="0" w:color="000000"/>
            </w:tcBorders>
            <w:shd w:val="clear" w:color="auto" w:fill="auto"/>
          </w:tcPr>
          <w:p w:rsidR="008B1846" w:rsidRPr="00CF3A63" w:rsidRDefault="008B1846" w:rsidP="0056133F">
            <w:pPr>
              <w:autoSpaceDE w:val="0"/>
              <w:autoSpaceDN w:val="0"/>
              <w:adjustRightInd w:val="0"/>
              <w:spacing w:after="0" w:line="240" w:lineRule="auto"/>
              <w:jc w:val="center"/>
              <w:rPr>
                <w:rFonts w:eastAsia="Calibri" w:cs="Calibri"/>
                <w:b/>
                <w:bCs/>
                <w:sz w:val="20"/>
                <w:szCs w:val="20"/>
                <w:lang w:val="es-PE" w:eastAsia="es-PE"/>
              </w:rPr>
            </w:pPr>
            <w:r w:rsidRPr="00CF3A63">
              <w:rPr>
                <w:rFonts w:eastAsia="Calibri" w:cs="Calibri"/>
                <w:b/>
                <w:bCs/>
                <w:sz w:val="20"/>
                <w:szCs w:val="20"/>
                <w:lang w:val="es-PE" w:eastAsia="es-PE"/>
              </w:rPr>
              <w:t>FECHA DE</w:t>
            </w:r>
          </w:p>
        </w:tc>
      </w:tr>
      <w:tr w:rsidR="008B1846" w:rsidRPr="004E7132" w:rsidTr="0056133F">
        <w:trPr>
          <w:trHeight w:val="230"/>
        </w:trPr>
        <w:tc>
          <w:tcPr>
            <w:tcW w:w="1498" w:type="dxa"/>
            <w:tcBorders>
              <w:left w:val="single" w:sz="4" w:space="0" w:color="000000"/>
              <w:bottom w:val="single" w:sz="4" w:space="0" w:color="000000"/>
              <w:right w:val="single" w:sz="4" w:space="0" w:color="000000"/>
            </w:tcBorders>
            <w:shd w:val="clear" w:color="auto" w:fill="auto"/>
          </w:tcPr>
          <w:p w:rsidR="008B1846" w:rsidRPr="00CF3A63" w:rsidRDefault="008B1846" w:rsidP="0056133F">
            <w:pPr>
              <w:autoSpaceDE w:val="0"/>
              <w:autoSpaceDN w:val="0"/>
              <w:adjustRightInd w:val="0"/>
              <w:spacing w:after="0" w:line="240" w:lineRule="auto"/>
              <w:jc w:val="center"/>
              <w:rPr>
                <w:rFonts w:eastAsia="Calibri" w:cs="Calibri"/>
                <w:b/>
                <w:bCs/>
                <w:sz w:val="20"/>
                <w:szCs w:val="20"/>
                <w:lang w:val="es-PE" w:eastAsia="es-PE"/>
              </w:rPr>
            </w:pPr>
            <w:r w:rsidRPr="00CF3A63">
              <w:rPr>
                <w:rFonts w:eastAsia="Calibri" w:cs="Calibri"/>
                <w:b/>
                <w:bCs/>
                <w:sz w:val="20"/>
                <w:szCs w:val="20"/>
                <w:lang w:val="es-PE" w:eastAsia="es-PE"/>
              </w:rPr>
              <w:t>DEL RUC</w:t>
            </w:r>
          </w:p>
        </w:tc>
        <w:tc>
          <w:tcPr>
            <w:tcW w:w="2563" w:type="dxa"/>
            <w:tcBorders>
              <w:left w:val="single" w:sz="4" w:space="0" w:color="000000"/>
              <w:bottom w:val="single" w:sz="4" w:space="0" w:color="000000"/>
              <w:right w:val="single" w:sz="4" w:space="0" w:color="000000"/>
            </w:tcBorders>
            <w:shd w:val="clear" w:color="auto" w:fill="auto"/>
          </w:tcPr>
          <w:p w:rsidR="008B1846" w:rsidRPr="00CF3A63" w:rsidRDefault="008B1846" w:rsidP="0056133F">
            <w:pPr>
              <w:autoSpaceDE w:val="0"/>
              <w:autoSpaceDN w:val="0"/>
              <w:adjustRightInd w:val="0"/>
              <w:spacing w:after="0" w:line="240" w:lineRule="auto"/>
              <w:jc w:val="center"/>
              <w:rPr>
                <w:rFonts w:eastAsia="Calibri" w:cs="Calibri"/>
                <w:b/>
                <w:bCs/>
                <w:sz w:val="20"/>
                <w:szCs w:val="20"/>
                <w:lang w:val="es-PE" w:eastAsia="es-PE"/>
              </w:rPr>
            </w:pPr>
            <w:r w:rsidRPr="00CF3A63">
              <w:rPr>
                <w:rFonts w:eastAsia="Calibri" w:cs="Calibri"/>
                <w:b/>
                <w:bCs/>
                <w:sz w:val="20"/>
                <w:szCs w:val="20"/>
                <w:lang w:val="es-PE" w:eastAsia="es-PE"/>
              </w:rPr>
              <w:t>VENCIMIENTO</w:t>
            </w:r>
          </w:p>
        </w:tc>
      </w:tr>
      <w:tr w:rsidR="008B1846" w:rsidRPr="004E7132" w:rsidTr="0056133F">
        <w:trPr>
          <w:trHeight w:val="230"/>
        </w:trPr>
        <w:tc>
          <w:tcPr>
            <w:tcW w:w="1498" w:type="dxa"/>
            <w:tcBorders>
              <w:top w:val="single" w:sz="4" w:space="0" w:color="000000"/>
              <w:left w:val="single" w:sz="2" w:space="0" w:color="000000"/>
              <w:bottom w:val="single" w:sz="2" w:space="0" w:color="000000"/>
              <w:right w:val="single" w:sz="2" w:space="0" w:color="000000"/>
            </w:tcBorders>
            <w:shd w:val="solid" w:color="FFFFFF" w:fill="auto"/>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rFonts w:eastAsia="Calibri" w:cs="Calibri"/>
                <w:color w:val="333333"/>
                <w:sz w:val="20"/>
                <w:szCs w:val="20"/>
                <w:lang w:val="es-PE" w:eastAsia="es-PE"/>
              </w:rPr>
              <w:t>0</w:t>
            </w:r>
          </w:p>
        </w:tc>
        <w:tc>
          <w:tcPr>
            <w:tcW w:w="2563" w:type="dxa"/>
            <w:tcBorders>
              <w:top w:val="single" w:sz="4" w:space="0" w:color="000000"/>
              <w:left w:val="single" w:sz="2" w:space="0" w:color="000000"/>
              <w:bottom w:val="single" w:sz="2" w:space="0" w:color="000000"/>
              <w:right w:val="single" w:sz="2" w:space="0" w:color="000000"/>
            </w:tcBorders>
            <w:shd w:val="solid" w:color="FFFFFF" w:fill="auto"/>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color w:val="333333"/>
                <w:sz w:val="20"/>
                <w:szCs w:val="20"/>
              </w:rPr>
              <w:t>14 de febrero de 2018</w:t>
            </w:r>
          </w:p>
        </w:tc>
      </w:tr>
      <w:tr w:rsidR="008B1846" w:rsidRPr="004E7132" w:rsidTr="0056133F">
        <w:trPr>
          <w:trHeight w:val="230"/>
        </w:trPr>
        <w:tc>
          <w:tcPr>
            <w:tcW w:w="1498" w:type="dxa"/>
            <w:tcBorders>
              <w:top w:val="single" w:sz="2" w:space="0" w:color="000000"/>
              <w:left w:val="single" w:sz="2" w:space="0" w:color="000000"/>
              <w:bottom w:val="single" w:sz="2" w:space="0" w:color="000000"/>
              <w:right w:val="single" w:sz="2" w:space="0" w:color="000000"/>
            </w:tcBorders>
            <w:shd w:val="solid" w:color="FFFFFF" w:fill="auto"/>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rFonts w:eastAsia="Calibri" w:cs="Calibri"/>
                <w:color w:val="333333"/>
                <w:sz w:val="20"/>
                <w:szCs w:val="20"/>
                <w:lang w:val="es-PE" w:eastAsia="es-PE"/>
              </w:rPr>
              <w:t>1</w:t>
            </w:r>
          </w:p>
        </w:tc>
        <w:tc>
          <w:tcPr>
            <w:tcW w:w="2563" w:type="dxa"/>
            <w:tcBorders>
              <w:top w:val="single" w:sz="2" w:space="0" w:color="000000"/>
              <w:left w:val="single" w:sz="2" w:space="0" w:color="000000"/>
              <w:bottom w:val="single" w:sz="2" w:space="0" w:color="000000"/>
              <w:right w:val="single" w:sz="2" w:space="0" w:color="000000"/>
            </w:tcBorders>
            <w:shd w:val="solid" w:color="FFFFFF" w:fill="auto"/>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color w:val="333333"/>
                <w:sz w:val="20"/>
                <w:szCs w:val="20"/>
              </w:rPr>
              <w:t>15 de febrero de 2018</w:t>
            </w:r>
          </w:p>
        </w:tc>
      </w:tr>
      <w:tr w:rsidR="008B1846" w:rsidRPr="004E7132" w:rsidTr="0056133F">
        <w:trPr>
          <w:trHeight w:val="230"/>
        </w:trPr>
        <w:tc>
          <w:tcPr>
            <w:tcW w:w="1498" w:type="dxa"/>
            <w:tcBorders>
              <w:top w:val="single" w:sz="2" w:space="0" w:color="000000"/>
              <w:left w:val="single" w:sz="2" w:space="0" w:color="000000"/>
              <w:bottom w:val="single" w:sz="2" w:space="0" w:color="000000"/>
              <w:right w:val="single" w:sz="2" w:space="0" w:color="000000"/>
            </w:tcBorders>
            <w:shd w:val="solid" w:color="FFFFFF" w:fill="auto"/>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rFonts w:eastAsia="Calibri" w:cs="Calibri"/>
                <w:color w:val="333333"/>
                <w:sz w:val="20"/>
                <w:szCs w:val="20"/>
                <w:lang w:val="es-PE" w:eastAsia="es-PE"/>
              </w:rPr>
              <w:t>2 y 3</w:t>
            </w:r>
          </w:p>
        </w:tc>
        <w:tc>
          <w:tcPr>
            <w:tcW w:w="2563" w:type="dxa"/>
            <w:tcBorders>
              <w:top w:val="single" w:sz="2" w:space="0" w:color="000000"/>
              <w:left w:val="single" w:sz="2" w:space="0" w:color="000000"/>
              <w:bottom w:val="single" w:sz="2" w:space="0" w:color="000000"/>
              <w:right w:val="single" w:sz="2" w:space="0" w:color="000000"/>
            </w:tcBorders>
            <w:shd w:val="solid" w:color="FFFFFF" w:fill="auto"/>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color w:val="333333"/>
                <w:sz w:val="20"/>
                <w:szCs w:val="20"/>
              </w:rPr>
              <w:t>16 de febrero de 2018</w:t>
            </w:r>
          </w:p>
        </w:tc>
      </w:tr>
      <w:tr w:rsidR="008B1846" w:rsidRPr="004E7132" w:rsidTr="0056133F">
        <w:trPr>
          <w:trHeight w:val="230"/>
        </w:trPr>
        <w:tc>
          <w:tcPr>
            <w:tcW w:w="1498" w:type="dxa"/>
            <w:tcBorders>
              <w:top w:val="single" w:sz="2" w:space="0" w:color="000000"/>
              <w:left w:val="single" w:sz="2" w:space="0" w:color="000000"/>
              <w:bottom w:val="single" w:sz="2" w:space="0" w:color="000000"/>
              <w:right w:val="single" w:sz="2" w:space="0" w:color="000000"/>
            </w:tcBorders>
            <w:shd w:val="solid" w:color="FFFFFF" w:fill="auto"/>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rFonts w:eastAsia="Calibri" w:cs="Calibri"/>
                <w:color w:val="333333"/>
                <w:sz w:val="20"/>
                <w:szCs w:val="20"/>
                <w:lang w:val="es-PE" w:eastAsia="es-PE"/>
              </w:rPr>
              <w:lastRenderedPageBreak/>
              <w:t>4 y 5</w:t>
            </w:r>
          </w:p>
        </w:tc>
        <w:tc>
          <w:tcPr>
            <w:tcW w:w="2563" w:type="dxa"/>
            <w:tcBorders>
              <w:top w:val="single" w:sz="2" w:space="0" w:color="000000"/>
              <w:left w:val="single" w:sz="2" w:space="0" w:color="000000"/>
              <w:bottom w:val="single" w:sz="2" w:space="0" w:color="000000"/>
              <w:right w:val="single" w:sz="2" w:space="0" w:color="000000"/>
            </w:tcBorders>
            <w:shd w:val="solid" w:color="FFFFFF" w:fill="auto"/>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color w:val="333333"/>
                <w:sz w:val="20"/>
                <w:szCs w:val="20"/>
              </w:rPr>
              <w:t>19 de febrero de 2018</w:t>
            </w:r>
          </w:p>
        </w:tc>
      </w:tr>
      <w:tr w:rsidR="008B1846" w:rsidRPr="004E7132" w:rsidTr="0056133F">
        <w:trPr>
          <w:trHeight w:val="230"/>
        </w:trPr>
        <w:tc>
          <w:tcPr>
            <w:tcW w:w="1498" w:type="dxa"/>
            <w:tcBorders>
              <w:top w:val="single" w:sz="2" w:space="0" w:color="000000"/>
              <w:left w:val="single" w:sz="2" w:space="0" w:color="000000"/>
              <w:bottom w:val="single" w:sz="2" w:space="0" w:color="000000"/>
              <w:right w:val="single" w:sz="2" w:space="0" w:color="000000"/>
            </w:tcBorders>
            <w:shd w:val="solid" w:color="FFFFFF" w:fill="auto"/>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rFonts w:eastAsia="Calibri" w:cs="Calibri"/>
                <w:color w:val="333333"/>
                <w:sz w:val="20"/>
                <w:szCs w:val="20"/>
                <w:lang w:val="es-PE" w:eastAsia="es-PE"/>
              </w:rPr>
              <w:t>6 y 7</w:t>
            </w:r>
          </w:p>
        </w:tc>
        <w:tc>
          <w:tcPr>
            <w:tcW w:w="2563" w:type="dxa"/>
            <w:tcBorders>
              <w:top w:val="single" w:sz="2" w:space="0" w:color="000000"/>
              <w:left w:val="single" w:sz="2" w:space="0" w:color="000000"/>
              <w:bottom w:val="single" w:sz="2" w:space="0" w:color="000000"/>
              <w:right w:val="single" w:sz="2" w:space="0" w:color="000000"/>
            </w:tcBorders>
            <w:shd w:val="solid" w:color="FFFFFF" w:fill="auto"/>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color w:val="333333"/>
                <w:sz w:val="20"/>
                <w:szCs w:val="20"/>
              </w:rPr>
              <w:t>20 de febrero de 2018</w:t>
            </w:r>
          </w:p>
        </w:tc>
      </w:tr>
      <w:tr w:rsidR="008B1846" w:rsidRPr="004E7132" w:rsidTr="0056133F">
        <w:trPr>
          <w:trHeight w:val="230"/>
        </w:trPr>
        <w:tc>
          <w:tcPr>
            <w:tcW w:w="1498" w:type="dxa"/>
            <w:tcBorders>
              <w:top w:val="single" w:sz="2" w:space="0" w:color="000000"/>
              <w:left w:val="single" w:sz="2" w:space="0" w:color="000000"/>
              <w:bottom w:val="single" w:sz="2" w:space="0" w:color="000000"/>
              <w:right w:val="single" w:sz="2" w:space="0" w:color="000000"/>
            </w:tcBorders>
            <w:shd w:val="solid" w:color="FFFFFF" w:fill="auto"/>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rFonts w:eastAsia="Calibri" w:cs="Calibri"/>
                <w:color w:val="333333"/>
                <w:sz w:val="20"/>
                <w:szCs w:val="20"/>
                <w:lang w:val="es-PE" w:eastAsia="es-PE"/>
              </w:rPr>
              <w:t>8 y 9</w:t>
            </w:r>
          </w:p>
        </w:tc>
        <w:tc>
          <w:tcPr>
            <w:tcW w:w="2563" w:type="dxa"/>
            <w:tcBorders>
              <w:top w:val="single" w:sz="2" w:space="0" w:color="000000"/>
              <w:left w:val="single" w:sz="2" w:space="0" w:color="000000"/>
              <w:bottom w:val="single" w:sz="2" w:space="0" w:color="000000"/>
              <w:right w:val="single" w:sz="2" w:space="0" w:color="000000"/>
            </w:tcBorders>
            <w:shd w:val="solid" w:color="FFFFFF" w:fill="auto"/>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color w:val="333333"/>
                <w:sz w:val="20"/>
                <w:szCs w:val="20"/>
              </w:rPr>
              <w:t>21 de febrero de 2018</w:t>
            </w:r>
          </w:p>
        </w:tc>
      </w:tr>
      <w:tr w:rsidR="008B1846" w:rsidRPr="004E7132" w:rsidTr="0056133F">
        <w:trPr>
          <w:trHeight w:val="230"/>
        </w:trPr>
        <w:tc>
          <w:tcPr>
            <w:tcW w:w="1498" w:type="dxa"/>
            <w:tcBorders>
              <w:top w:val="single" w:sz="2" w:space="0" w:color="000000"/>
              <w:left w:val="single" w:sz="2" w:space="0" w:color="000000"/>
              <w:bottom w:val="single" w:sz="2" w:space="0" w:color="000000"/>
              <w:right w:val="single" w:sz="2" w:space="0" w:color="000000"/>
            </w:tcBorders>
            <w:shd w:val="solid" w:color="FFFFFF" w:fill="auto"/>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rFonts w:eastAsia="Calibri" w:cs="Calibri"/>
                <w:color w:val="333333"/>
                <w:sz w:val="20"/>
                <w:szCs w:val="20"/>
                <w:lang w:val="es-PE" w:eastAsia="es-PE"/>
              </w:rPr>
              <w:t>Buenos contribuyentes</w:t>
            </w:r>
          </w:p>
        </w:tc>
        <w:tc>
          <w:tcPr>
            <w:tcW w:w="2563" w:type="dxa"/>
            <w:tcBorders>
              <w:top w:val="single" w:sz="2" w:space="0" w:color="000000"/>
              <w:left w:val="single" w:sz="2" w:space="0" w:color="000000"/>
              <w:bottom w:val="single" w:sz="2" w:space="0" w:color="000000"/>
              <w:right w:val="single" w:sz="2" w:space="0" w:color="000000"/>
            </w:tcBorders>
            <w:shd w:val="solid" w:color="FFFFFF" w:fill="auto"/>
            <w:vAlign w:val="center"/>
          </w:tcPr>
          <w:p w:rsidR="008B1846" w:rsidRPr="004E7132" w:rsidRDefault="008B1846" w:rsidP="0056133F">
            <w:pPr>
              <w:autoSpaceDE w:val="0"/>
              <w:autoSpaceDN w:val="0"/>
              <w:adjustRightInd w:val="0"/>
              <w:spacing w:after="0" w:line="240" w:lineRule="auto"/>
              <w:jc w:val="center"/>
              <w:rPr>
                <w:rFonts w:eastAsia="Calibri" w:cs="Calibri"/>
                <w:color w:val="333333"/>
                <w:sz w:val="20"/>
                <w:szCs w:val="20"/>
                <w:lang w:val="es-PE" w:eastAsia="es-PE"/>
              </w:rPr>
            </w:pPr>
            <w:r w:rsidRPr="004E7132">
              <w:rPr>
                <w:color w:val="333333"/>
                <w:sz w:val="20"/>
                <w:szCs w:val="20"/>
              </w:rPr>
              <w:t>22 de febrero de 2018</w:t>
            </w:r>
          </w:p>
        </w:tc>
      </w:tr>
    </w:tbl>
    <w:p w:rsidR="008B1846" w:rsidRPr="004E7132" w:rsidRDefault="008B1846" w:rsidP="008B1846">
      <w:pPr>
        <w:spacing w:after="0" w:line="240" w:lineRule="auto"/>
        <w:ind w:right="-1"/>
        <w:jc w:val="both"/>
        <w:rPr>
          <w:rFonts w:ascii="Arial" w:hAnsi="Arial" w:cs="Arial"/>
          <w:color w:val="000000" w:themeColor="text1"/>
        </w:rPr>
      </w:pPr>
    </w:p>
    <w:p w:rsidR="008B1846" w:rsidRPr="004E7132" w:rsidRDefault="008B1846" w:rsidP="008B1846">
      <w:pPr>
        <w:spacing w:after="0" w:line="240" w:lineRule="auto"/>
        <w:ind w:right="-1"/>
        <w:jc w:val="both"/>
        <w:rPr>
          <w:rFonts w:ascii="Arial" w:hAnsi="Arial" w:cs="Arial"/>
          <w:color w:val="000000" w:themeColor="text1"/>
        </w:rPr>
      </w:pPr>
    </w:p>
    <w:p w:rsidR="008B1846" w:rsidRPr="004E7132" w:rsidRDefault="008B1846" w:rsidP="008B1846">
      <w:pPr>
        <w:widowControl w:val="0"/>
        <w:spacing w:after="0" w:line="240" w:lineRule="auto"/>
        <w:contextualSpacing/>
        <w:jc w:val="both"/>
        <w:rPr>
          <w:rFonts w:ascii="Arial" w:hAnsi="Arial" w:cs="Arial"/>
          <w:b/>
          <w:lang w:val="es-PE"/>
        </w:rPr>
      </w:pPr>
      <w:r w:rsidRPr="004E7132">
        <w:rPr>
          <w:rFonts w:ascii="Arial" w:hAnsi="Arial" w:cs="Arial"/>
          <w:b/>
          <w:color w:val="000000" w:themeColor="text1"/>
          <w:lang w:val="es-ES_tradnl"/>
        </w:rPr>
        <w:t xml:space="preserve">SEGUNDA. Información no exigible en la </w:t>
      </w:r>
      <w:r>
        <w:rPr>
          <w:rFonts w:ascii="Arial" w:hAnsi="Arial" w:cs="Arial"/>
          <w:b/>
          <w:color w:val="000000" w:themeColor="text1"/>
          <w:lang w:val="es-ES_tradnl"/>
        </w:rPr>
        <w:t>d</w:t>
      </w:r>
      <w:r w:rsidRPr="004E7132">
        <w:rPr>
          <w:rFonts w:ascii="Arial" w:hAnsi="Arial" w:cs="Arial"/>
          <w:b/>
          <w:color w:val="000000" w:themeColor="text1"/>
          <w:lang w:val="es-ES_tradnl"/>
        </w:rPr>
        <w:t>eclaración correspondiente al ejercicio 2016</w:t>
      </w:r>
    </w:p>
    <w:p w:rsidR="008B1846" w:rsidRPr="004E7132" w:rsidRDefault="008B1846" w:rsidP="008B1846">
      <w:pPr>
        <w:widowControl w:val="0"/>
        <w:spacing w:after="0" w:line="240" w:lineRule="auto"/>
        <w:ind w:firstLine="567"/>
        <w:contextualSpacing/>
        <w:jc w:val="both"/>
        <w:rPr>
          <w:rFonts w:ascii="Arial" w:hAnsi="Arial" w:cs="Arial"/>
          <w:b/>
          <w:lang w:val="es-PE"/>
        </w:rPr>
      </w:pPr>
    </w:p>
    <w:p w:rsidR="008B1846" w:rsidRDefault="008B1846" w:rsidP="008B1846">
      <w:pPr>
        <w:widowControl w:val="0"/>
        <w:spacing w:after="0" w:line="240" w:lineRule="auto"/>
        <w:contextualSpacing/>
        <w:jc w:val="both"/>
        <w:rPr>
          <w:rFonts w:ascii="Arial" w:hAnsi="Arial" w:cs="Arial"/>
          <w:lang w:val="es-PE"/>
        </w:rPr>
      </w:pPr>
      <w:r w:rsidRPr="004E7132">
        <w:rPr>
          <w:rFonts w:ascii="Arial" w:hAnsi="Arial" w:cs="Arial"/>
          <w:lang w:val="es-PE"/>
        </w:rPr>
        <w:t xml:space="preserve">La información a que se refiere el acápite (ii) del numeral 2 del inciso a) del artículo 117 del </w:t>
      </w:r>
      <w:r>
        <w:rPr>
          <w:rFonts w:ascii="Arial" w:hAnsi="Arial" w:cs="Arial"/>
          <w:lang w:val="es-PE"/>
        </w:rPr>
        <w:t>r</w:t>
      </w:r>
      <w:r w:rsidRPr="004E7132">
        <w:rPr>
          <w:rFonts w:ascii="Arial" w:hAnsi="Arial" w:cs="Arial"/>
          <w:lang w:val="es-PE"/>
        </w:rPr>
        <w:t xml:space="preserve">eglamento de la </w:t>
      </w:r>
      <w:r>
        <w:rPr>
          <w:rFonts w:ascii="Arial" w:hAnsi="Arial" w:cs="Arial"/>
          <w:lang w:val="es-PE"/>
        </w:rPr>
        <w:t>l</w:t>
      </w:r>
      <w:r w:rsidRPr="004E7132">
        <w:rPr>
          <w:rFonts w:ascii="Arial" w:hAnsi="Arial" w:cs="Arial"/>
          <w:lang w:val="es-PE"/>
        </w:rPr>
        <w:t xml:space="preserve">ey no es exigible a efecto de la presentación de la </w:t>
      </w:r>
      <w:r>
        <w:rPr>
          <w:rFonts w:ascii="Arial" w:hAnsi="Arial" w:cs="Arial"/>
          <w:lang w:val="es-PE"/>
        </w:rPr>
        <w:t>d</w:t>
      </w:r>
      <w:r w:rsidRPr="004E7132">
        <w:rPr>
          <w:rFonts w:ascii="Arial" w:hAnsi="Arial" w:cs="Arial"/>
          <w:lang w:val="es-PE"/>
        </w:rPr>
        <w:t>eclaración correspondiente al ejercicio 2016.</w:t>
      </w:r>
    </w:p>
    <w:p w:rsidR="008B1846" w:rsidRDefault="008B1846" w:rsidP="008B1846">
      <w:pPr>
        <w:widowControl w:val="0"/>
        <w:spacing w:after="0" w:line="240" w:lineRule="auto"/>
        <w:contextualSpacing/>
        <w:jc w:val="both"/>
        <w:rPr>
          <w:rFonts w:ascii="Arial" w:hAnsi="Arial" w:cs="Arial"/>
          <w:lang w:val="es-PE"/>
        </w:rPr>
      </w:pPr>
    </w:p>
    <w:p w:rsidR="008B1846" w:rsidRDefault="008B1846" w:rsidP="008B1846">
      <w:pPr>
        <w:pStyle w:val="NormalWeb"/>
        <w:spacing w:before="0" w:beforeAutospacing="0" w:after="0" w:afterAutospacing="0"/>
        <w:jc w:val="center"/>
        <w:rPr>
          <w:sz w:val="22"/>
          <w:szCs w:val="22"/>
        </w:rPr>
      </w:pPr>
      <w:r w:rsidRPr="000B0DDB">
        <w:rPr>
          <w:rFonts w:ascii="Arial" w:hAnsi="Arial" w:cs="Arial"/>
          <w:b/>
          <w:bCs/>
          <w:color w:val="000000"/>
          <w:sz w:val="22"/>
          <w:szCs w:val="22"/>
        </w:rPr>
        <w:t xml:space="preserve">DISPOSICIÓN COMPLEMENTARIA </w:t>
      </w:r>
      <w:r>
        <w:rPr>
          <w:rFonts w:ascii="Arial" w:hAnsi="Arial" w:cs="Arial"/>
          <w:b/>
          <w:bCs/>
          <w:color w:val="000000"/>
          <w:sz w:val="22"/>
          <w:szCs w:val="22"/>
        </w:rPr>
        <w:t>MODIFICATORIA</w:t>
      </w:r>
    </w:p>
    <w:p w:rsidR="008B1846" w:rsidRDefault="008B1846" w:rsidP="008B1846">
      <w:pPr>
        <w:spacing w:after="0" w:line="240" w:lineRule="auto"/>
        <w:ind w:right="-1"/>
        <w:jc w:val="both"/>
        <w:rPr>
          <w:rFonts w:ascii="Arial" w:hAnsi="Arial" w:cs="Arial"/>
          <w:b/>
          <w:color w:val="000000" w:themeColor="text1"/>
          <w:lang w:val="es-ES_tradnl"/>
        </w:rPr>
      </w:pPr>
    </w:p>
    <w:p w:rsidR="008B1846" w:rsidRDefault="000F4182" w:rsidP="008B1846">
      <w:pPr>
        <w:spacing w:after="0" w:line="240" w:lineRule="auto"/>
        <w:ind w:right="-1"/>
        <w:jc w:val="both"/>
        <w:rPr>
          <w:rFonts w:ascii="Arial" w:hAnsi="Arial" w:cs="Arial"/>
          <w:b/>
          <w:color w:val="000000" w:themeColor="text1"/>
          <w:lang w:val="es-ES_tradnl"/>
        </w:rPr>
      </w:pPr>
      <w:r>
        <w:rPr>
          <w:rFonts w:ascii="Arial" w:hAnsi="Arial" w:cs="Arial"/>
          <w:b/>
          <w:color w:val="000000" w:themeColor="text1"/>
          <w:lang w:val="es-ES_tradnl"/>
        </w:rPr>
        <w:t>ÚNICA</w:t>
      </w:r>
      <w:r w:rsidR="008B1846" w:rsidRPr="005B1B4A">
        <w:rPr>
          <w:rFonts w:ascii="Arial" w:hAnsi="Arial" w:cs="Arial"/>
          <w:b/>
          <w:color w:val="000000" w:themeColor="text1"/>
          <w:lang w:val="es-ES_tradnl"/>
        </w:rPr>
        <w:t>.</w:t>
      </w:r>
      <w:r w:rsidR="008B1846">
        <w:rPr>
          <w:rFonts w:ascii="Arial" w:hAnsi="Arial" w:cs="Arial"/>
          <w:b/>
          <w:color w:val="000000" w:themeColor="text1"/>
          <w:lang w:val="es-ES_tradnl"/>
        </w:rPr>
        <w:t xml:space="preserve"> </w:t>
      </w:r>
      <w:r>
        <w:rPr>
          <w:rFonts w:ascii="Arial" w:hAnsi="Arial" w:cs="Arial"/>
          <w:b/>
          <w:color w:val="000000" w:themeColor="text1"/>
          <w:lang w:val="es-ES_tradnl"/>
        </w:rPr>
        <w:t>Modificación de la Resolución de Superintendencia N.° 377-2013/SUNAT</w:t>
      </w:r>
    </w:p>
    <w:p w:rsidR="008B1846" w:rsidRPr="00E221CF" w:rsidRDefault="008B1846" w:rsidP="008B1846">
      <w:pPr>
        <w:spacing w:after="0" w:line="240" w:lineRule="auto"/>
        <w:ind w:right="-1"/>
        <w:jc w:val="both"/>
        <w:rPr>
          <w:rFonts w:ascii="Arial" w:hAnsi="Arial" w:cs="Arial"/>
          <w:color w:val="000000" w:themeColor="text1"/>
          <w:lang w:val="es-ES_tradnl"/>
        </w:rPr>
      </w:pPr>
    </w:p>
    <w:p w:rsidR="008B1846" w:rsidRPr="00E221CF" w:rsidRDefault="008B1846" w:rsidP="008B1846">
      <w:pPr>
        <w:spacing w:after="0" w:line="240" w:lineRule="auto"/>
        <w:ind w:right="-1"/>
        <w:jc w:val="both"/>
        <w:rPr>
          <w:rFonts w:ascii="Arial" w:hAnsi="Arial" w:cs="Arial"/>
          <w:color w:val="000000" w:themeColor="text1"/>
          <w:lang w:val="es-ES_tradnl"/>
        </w:rPr>
      </w:pPr>
      <w:r w:rsidRPr="002E5993">
        <w:rPr>
          <w:rFonts w:ascii="Arial" w:hAnsi="Arial" w:cs="Arial"/>
          <w:color w:val="000000" w:themeColor="text1"/>
          <w:lang w:val="es-ES_tradnl"/>
        </w:rPr>
        <w:t>Modifícase el numeral 18.1 del artículo 18 de la Resolución de Superintendencia N.° 377-2013/SUNAT, en los términos siguientes:</w:t>
      </w:r>
    </w:p>
    <w:p w:rsidR="008B1846" w:rsidRDefault="008B1846" w:rsidP="008B1846">
      <w:pPr>
        <w:widowControl w:val="0"/>
        <w:spacing w:after="0" w:line="240" w:lineRule="auto"/>
        <w:contextualSpacing/>
        <w:jc w:val="both"/>
        <w:rPr>
          <w:rFonts w:ascii="Arial" w:hAnsi="Arial" w:cs="Arial"/>
          <w:lang w:val="es-PE"/>
        </w:rPr>
      </w:pPr>
    </w:p>
    <w:p w:rsidR="008B1846" w:rsidRDefault="008B1846" w:rsidP="008B1846">
      <w:pPr>
        <w:widowControl w:val="0"/>
        <w:spacing w:after="0" w:line="240" w:lineRule="auto"/>
        <w:contextualSpacing/>
        <w:jc w:val="both"/>
        <w:rPr>
          <w:rFonts w:ascii="Arial" w:hAnsi="Arial" w:cs="Arial"/>
          <w:lang w:val="es-PE"/>
        </w:rPr>
      </w:pPr>
      <w:r>
        <w:rPr>
          <w:rFonts w:ascii="Arial" w:hAnsi="Arial" w:cs="Arial"/>
          <w:lang w:val="es-PE"/>
        </w:rPr>
        <w:t>“</w:t>
      </w:r>
      <w:r w:rsidRPr="00883537">
        <w:rPr>
          <w:rFonts w:ascii="Arial" w:hAnsi="Arial" w:cs="Arial"/>
          <w:lang w:val="es-PE"/>
        </w:rPr>
        <w:t>Artículo 18.</w:t>
      </w:r>
      <w:r>
        <w:rPr>
          <w:rFonts w:ascii="Arial" w:hAnsi="Arial" w:cs="Arial"/>
          <w:lang w:val="es-PE"/>
        </w:rPr>
        <w:t>-</w:t>
      </w:r>
      <w:r w:rsidRPr="00883537">
        <w:rPr>
          <w:rFonts w:ascii="Arial" w:hAnsi="Arial" w:cs="Arial"/>
          <w:lang w:val="es-PE"/>
        </w:rPr>
        <w:t xml:space="preserve"> DE LA PRESENTAC</w:t>
      </w:r>
      <w:r>
        <w:rPr>
          <w:rFonts w:ascii="Arial" w:hAnsi="Arial" w:cs="Arial"/>
          <w:lang w:val="es-PE"/>
        </w:rPr>
        <w:t>I</w:t>
      </w:r>
      <w:r w:rsidRPr="00883537">
        <w:rPr>
          <w:rFonts w:ascii="Arial" w:hAnsi="Arial" w:cs="Arial"/>
          <w:lang w:val="es-PE"/>
        </w:rPr>
        <w:t xml:space="preserve">ÓN Y CONTENIDO DEL INFORME ANUAL </w:t>
      </w:r>
    </w:p>
    <w:p w:rsidR="008B1846" w:rsidRDefault="008B1846" w:rsidP="008B1846">
      <w:pPr>
        <w:widowControl w:val="0"/>
        <w:spacing w:after="0" w:line="240" w:lineRule="auto"/>
        <w:contextualSpacing/>
        <w:jc w:val="both"/>
        <w:rPr>
          <w:rFonts w:ascii="Arial" w:hAnsi="Arial" w:cs="Arial"/>
          <w:lang w:val="es-PE"/>
        </w:rPr>
      </w:pPr>
    </w:p>
    <w:p w:rsidR="008B1846" w:rsidRDefault="008B1846" w:rsidP="008B1846">
      <w:pPr>
        <w:widowControl w:val="0"/>
        <w:spacing w:after="0" w:line="240" w:lineRule="auto"/>
        <w:contextualSpacing/>
        <w:jc w:val="both"/>
        <w:rPr>
          <w:rFonts w:ascii="Arial" w:hAnsi="Arial" w:cs="Arial"/>
          <w:color w:val="000000" w:themeColor="text1"/>
          <w:lang w:val="es-ES_tradnl"/>
        </w:rPr>
      </w:pPr>
      <w:r w:rsidRPr="00883537">
        <w:rPr>
          <w:rFonts w:ascii="Arial" w:hAnsi="Arial" w:cs="Arial"/>
          <w:lang w:val="es-PE"/>
        </w:rPr>
        <w:t xml:space="preserve">18.1 Los contribuyentes que suscriban un </w:t>
      </w:r>
      <w:r>
        <w:rPr>
          <w:rFonts w:ascii="Arial" w:hAnsi="Arial" w:cs="Arial"/>
          <w:lang w:val="es-PE"/>
        </w:rPr>
        <w:t>AAP</w:t>
      </w:r>
      <w:r w:rsidRPr="00883537">
        <w:rPr>
          <w:rFonts w:ascii="Arial" w:hAnsi="Arial" w:cs="Arial"/>
          <w:lang w:val="es-PE"/>
        </w:rPr>
        <w:t xml:space="preserve"> deben presentar el informe anual</w:t>
      </w:r>
      <w:r>
        <w:rPr>
          <w:rFonts w:ascii="Arial" w:hAnsi="Arial" w:cs="Arial"/>
          <w:lang w:val="es-PE"/>
        </w:rPr>
        <w:t xml:space="preserve"> a</w:t>
      </w:r>
      <w:r w:rsidRPr="00883537">
        <w:rPr>
          <w:rFonts w:ascii="Arial" w:hAnsi="Arial" w:cs="Arial"/>
          <w:lang w:val="es-PE"/>
        </w:rPr>
        <w:t xml:space="preserve"> que se refiere el inciso </w:t>
      </w:r>
      <w:r>
        <w:rPr>
          <w:rFonts w:ascii="Arial" w:hAnsi="Arial" w:cs="Arial"/>
          <w:lang w:val="es-PE"/>
        </w:rPr>
        <w:t>l</w:t>
      </w:r>
      <w:r w:rsidRPr="00883537">
        <w:rPr>
          <w:rFonts w:ascii="Arial" w:hAnsi="Arial" w:cs="Arial"/>
          <w:lang w:val="es-PE"/>
        </w:rPr>
        <w:t xml:space="preserve">) del artículo 118 del </w:t>
      </w:r>
      <w:r>
        <w:rPr>
          <w:rFonts w:ascii="Arial" w:hAnsi="Arial" w:cs="Arial"/>
          <w:lang w:val="es-PE"/>
        </w:rPr>
        <w:t>r</w:t>
      </w:r>
      <w:r w:rsidRPr="00883537">
        <w:rPr>
          <w:rFonts w:ascii="Arial" w:hAnsi="Arial" w:cs="Arial"/>
          <w:lang w:val="es-PE"/>
        </w:rPr>
        <w:t>eglamento</w:t>
      </w:r>
      <w:r>
        <w:rPr>
          <w:rFonts w:ascii="Arial" w:hAnsi="Arial" w:cs="Arial"/>
          <w:lang w:val="es-PE"/>
        </w:rPr>
        <w:t xml:space="preserve">, por escrito y en un disco compacto o una memoria USB, en la misma fecha que corresponda presentar el </w:t>
      </w:r>
      <w:r w:rsidRPr="00CD7DCB">
        <w:rPr>
          <w:rFonts w:ascii="Arial" w:hAnsi="Arial" w:cs="Arial"/>
          <w:color w:val="000000" w:themeColor="text1"/>
          <w:lang w:val="es-ES_tradnl"/>
        </w:rPr>
        <w:t>Formulario Virtual N.° 3560 – Declaración Jurada Informativa Reporte Local</w:t>
      </w:r>
      <w:r>
        <w:rPr>
          <w:rFonts w:ascii="Arial" w:hAnsi="Arial" w:cs="Arial"/>
          <w:color w:val="000000" w:themeColor="text1"/>
          <w:lang w:val="es-ES_tradnl"/>
        </w:rPr>
        <w:t>.</w:t>
      </w:r>
    </w:p>
    <w:p w:rsidR="008B1846" w:rsidRDefault="008B1846" w:rsidP="008B1846">
      <w:pPr>
        <w:widowControl w:val="0"/>
        <w:spacing w:after="0" w:line="240" w:lineRule="auto"/>
        <w:contextualSpacing/>
        <w:jc w:val="both"/>
        <w:rPr>
          <w:rFonts w:ascii="Arial" w:hAnsi="Arial" w:cs="Arial"/>
          <w:color w:val="000000" w:themeColor="text1"/>
          <w:lang w:val="es-ES_tradnl"/>
        </w:rPr>
      </w:pPr>
    </w:p>
    <w:p w:rsidR="008B1846" w:rsidRDefault="008B1846" w:rsidP="008B1846">
      <w:pPr>
        <w:widowControl w:val="0"/>
        <w:spacing w:after="0" w:line="240" w:lineRule="auto"/>
        <w:contextualSpacing/>
        <w:jc w:val="both"/>
        <w:rPr>
          <w:rFonts w:ascii="Arial" w:hAnsi="Arial" w:cs="Arial"/>
          <w:lang w:val="es-PE"/>
        </w:rPr>
      </w:pPr>
      <w:r w:rsidRPr="002E5993">
        <w:rPr>
          <w:rFonts w:ascii="Arial" w:hAnsi="Arial" w:cs="Arial"/>
          <w:color w:val="000000" w:themeColor="text1"/>
          <w:lang w:val="es-ES_tradnl"/>
        </w:rPr>
        <w:t>(…).”</w:t>
      </w:r>
    </w:p>
    <w:p w:rsidR="008B1846" w:rsidRPr="004E7132" w:rsidRDefault="008B1846" w:rsidP="008B1846">
      <w:pPr>
        <w:widowControl w:val="0"/>
        <w:spacing w:after="0" w:line="240" w:lineRule="auto"/>
        <w:contextualSpacing/>
        <w:jc w:val="both"/>
        <w:rPr>
          <w:rFonts w:ascii="Arial" w:hAnsi="Arial" w:cs="Arial"/>
          <w:lang w:val="es-PE"/>
        </w:rPr>
      </w:pPr>
    </w:p>
    <w:p w:rsidR="008B1846" w:rsidRPr="004E7132" w:rsidRDefault="008B1846" w:rsidP="008B1846">
      <w:pPr>
        <w:spacing w:after="0" w:line="240" w:lineRule="auto"/>
        <w:ind w:right="-1"/>
        <w:jc w:val="both"/>
        <w:rPr>
          <w:rFonts w:ascii="Arial" w:hAnsi="Arial" w:cs="Arial"/>
          <w:color w:val="000000" w:themeColor="text1"/>
          <w:lang w:val="es-ES_tradnl"/>
        </w:rPr>
      </w:pPr>
    </w:p>
    <w:p w:rsidR="008B1846" w:rsidRPr="00DA0B1C" w:rsidRDefault="008B1846" w:rsidP="008B1846">
      <w:pPr>
        <w:spacing w:after="0" w:line="240" w:lineRule="auto"/>
        <w:ind w:right="-1"/>
        <w:jc w:val="both"/>
        <w:rPr>
          <w:rFonts w:ascii="Arial" w:hAnsi="Arial" w:cs="Arial"/>
          <w:color w:val="000000" w:themeColor="text1"/>
          <w:lang w:val="es-ES_tradnl"/>
        </w:rPr>
      </w:pPr>
      <w:r w:rsidRPr="004E7132">
        <w:rPr>
          <w:rFonts w:ascii="Arial" w:hAnsi="Arial" w:cs="Arial"/>
          <w:color w:val="000000" w:themeColor="text1"/>
          <w:lang w:val="es-ES_tradnl"/>
        </w:rPr>
        <w:t>Regístrese, comuníquese y publíquese.</w:t>
      </w:r>
    </w:p>
    <w:p w:rsidR="008B1846" w:rsidRDefault="008B1846" w:rsidP="008B1846">
      <w:pPr>
        <w:spacing w:after="0" w:line="240" w:lineRule="auto"/>
        <w:ind w:right="-1"/>
        <w:jc w:val="both"/>
      </w:pPr>
    </w:p>
    <w:p w:rsidR="00C84A68" w:rsidRPr="008B1846" w:rsidRDefault="00006162" w:rsidP="008B1846"/>
    <w:sectPr w:rsidR="00C84A68" w:rsidRPr="008B1846" w:rsidSect="004E7132">
      <w:pgSz w:w="11906" w:h="16838" w:code="9"/>
      <w:pgMar w:top="4820" w:right="170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245047"/>
    <w:multiLevelType w:val="hybridMultilevel"/>
    <w:tmpl w:val="729C6F84"/>
    <w:lvl w:ilvl="0" w:tplc="CE36A88C">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32FC3C42"/>
    <w:multiLevelType w:val="hybridMultilevel"/>
    <w:tmpl w:val="A364CDE8"/>
    <w:lvl w:ilvl="0" w:tplc="D9B8ED8C">
      <w:start w:val="1"/>
      <w:numFmt w:val="lowerRoman"/>
      <w:lvlText w:val="%1."/>
      <w:lvlJc w:val="left"/>
      <w:pPr>
        <w:ind w:left="1146" w:hanging="72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2" w15:restartNumberingAfterBreak="0">
    <w:nsid w:val="3AB56801"/>
    <w:multiLevelType w:val="hybridMultilevel"/>
    <w:tmpl w:val="BB8C5F30"/>
    <w:lvl w:ilvl="0" w:tplc="280A000F">
      <w:start w:val="1"/>
      <w:numFmt w:val="decimal"/>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 w15:restartNumberingAfterBreak="0">
    <w:nsid w:val="492966D7"/>
    <w:multiLevelType w:val="hybridMultilevel"/>
    <w:tmpl w:val="2F20245A"/>
    <w:lvl w:ilvl="0" w:tplc="FA541BDA">
      <w:start w:val="1"/>
      <w:numFmt w:val="lowerRoman"/>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49463B90"/>
    <w:multiLevelType w:val="hybridMultilevel"/>
    <w:tmpl w:val="B73E780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55AA24DF"/>
    <w:multiLevelType w:val="hybridMultilevel"/>
    <w:tmpl w:val="392E15D8"/>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44D00"/>
    <w:rsid w:val="00006162"/>
    <w:rsid w:val="00030C11"/>
    <w:rsid w:val="000E57EA"/>
    <w:rsid w:val="000F4182"/>
    <w:rsid w:val="00121F84"/>
    <w:rsid w:val="001C136E"/>
    <w:rsid w:val="002753E7"/>
    <w:rsid w:val="002D582F"/>
    <w:rsid w:val="002F64CA"/>
    <w:rsid w:val="00401966"/>
    <w:rsid w:val="004646C4"/>
    <w:rsid w:val="00492066"/>
    <w:rsid w:val="004971A7"/>
    <w:rsid w:val="005D4E5D"/>
    <w:rsid w:val="00607AB5"/>
    <w:rsid w:val="006A79A0"/>
    <w:rsid w:val="006F7C6A"/>
    <w:rsid w:val="00736521"/>
    <w:rsid w:val="00743F7C"/>
    <w:rsid w:val="007553B9"/>
    <w:rsid w:val="00784642"/>
    <w:rsid w:val="00815062"/>
    <w:rsid w:val="00850AEF"/>
    <w:rsid w:val="00884C9B"/>
    <w:rsid w:val="008B1846"/>
    <w:rsid w:val="008D2E1A"/>
    <w:rsid w:val="008D3C61"/>
    <w:rsid w:val="008F2898"/>
    <w:rsid w:val="009479FE"/>
    <w:rsid w:val="00A14439"/>
    <w:rsid w:val="00A44409"/>
    <w:rsid w:val="00AE1F7B"/>
    <w:rsid w:val="00B44D00"/>
    <w:rsid w:val="00C02C0C"/>
    <w:rsid w:val="00C04FC2"/>
    <w:rsid w:val="00C0792D"/>
    <w:rsid w:val="00CE4E4F"/>
    <w:rsid w:val="00CF5058"/>
    <w:rsid w:val="00D2189E"/>
    <w:rsid w:val="00D25CB3"/>
    <w:rsid w:val="00D42A4F"/>
    <w:rsid w:val="00DD5450"/>
    <w:rsid w:val="00DE2F10"/>
    <w:rsid w:val="00E16307"/>
    <w:rsid w:val="00E96F94"/>
    <w:rsid w:val="00EA73BA"/>
    <w:rsid w:val="00EB5A5C"/>
    <w:rsid w:val="00F3016F"/>
    <w:rsid w:val="00F924E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DD5814-E950-4034-AFDE-2741F69B3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D00"/>
    <w:rPr>
      <w:rFonts w:ascii="Calibri" w:eastAsia="MS Mincho"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B44D00"/>
    <w:pPr>
      <w:spacing w:before="100" w:beforeAutospacing="1" w:after="100" w:afterAutospacing="1" w:line="240" w:lineRule="auto"/>
    </w:pPr>
    <w:rPr>
      <w:rFonts w:ascii="Times New Roman" w:eastAsia="Times New Roman" w:hAnsi="Times New Roman"/>
      <w:sz w:val="24"/>
      <w:szCs w:val="24"/>
      <w:lang w:eastAsia="es-ES"/>
    </w:rPr>
  </w:style>
  <w:style w:type="paragraph" w:styleId="Prrafodelista">
    <w:name w:val="List Paragraph"/>
    <w:basedOn w:val="Normal"/>
    <w:link w:val="PrrafodelistaCar"/>
    <w:uiPriority w:val="34"/>
    <w:qFormat/>
    <w:rsid w:val="00B44D00"/>
    <w:pPr>
      <w:ind w:left="708"/>
    </w:pPr>
  </w:style>
  <w:style w:type="character" w:customStyle="1" w:styleId="apple-converted-space">
    <w:name w:val="apple-converted-space"/>
    <w:rsid w:val="00B44D00"/>
  </w:style>
  <w:style w:type="character" w:styleId="Hipervnculo">
    <w:name w:val="Hyperlink"/>
    <w:uiPriority w:val="99"/>
    <w:unhideWhenUsed/>
    <w:rsid w:val="00B44D00"/>
    <w:rPr>
      <w:color w:val="0000FF"/>
      <w:u w:val="single"/>
    </w:rPr>
  </w:style>
  <w:style w:type="character" w:customStyle="1" w:styleId="PrrafodelistaCar">
    <w:name w:val="Párrafo de lista Car"/>
    <w:link w:val="Prrafodelista"/>
    <w:uiPriority w:val="34"/>
    <w:locked/>
    <w:rsid w:val="00B44D00"/>
    <w:rPr>
      <w:rFonts w:ascii="Calibri" w:eastAsia="MS Mincho" w:hAnsi="Calibri" w:cs="Times New Roman"/>
      <w:lang w:val="es-ES"/>
    </w:rPr>
  </w:style>
  <w:style w:type="character" w:styleId="Refdecomentario">
    <w:name w:val="annotation reference"/>
    <w:basedOn w:val="Fuentedeprrafopredeter"/>
    <w:uiPriority w:val="99"/>
    <w:semiHidden/>
    <w:unhideWhenUsed/>
    <w:rsid w:val="00B44D00"/>
    <w:rPr>
      <w:sz w:val="16"/>
      <w:szCs w:val="16"/>
    </w:rPr>
  </w:style>
  <w:style w:type="paragraph" w:styleId="Textocomentario">
    <w:name w:val="annotation text"/>
    <w:basedOn w:val="Normal"/>
    <w:link w:val="TextocomentarioCar"/>
    <w:uiPriority w:val="99"/>
    <w:unhideWhenUsed/>
    <w:rsid w:val="00B44D00"/>
    <w:pPr>
      <w:spacing w:line="240" w:lineRule="auto"/>
    </w:pPr>
    <w:rPr>
      <w:sz w:val="20"/>
      <w:szCs w:val="20"/>
    </w:rPr>
  </w:style>
  <w:style w:type="character" w:customStyle="1" w:styleId="TextocomentarioCar">
    <w:name w:val="Texto comentario Car"/>
    <w:basedOn w:val="Fuentedeprrafopredeter"/>
    <w:link w:val="Textocomentario"/>
    <w:uiPriority w:val="99"/>
    <w:rsid w:val="00B44D00"/>
    <w:rPr>
      <w:rFonts w:ascii="Calibri" w:eastAsia="MS Mincho" w:hAnsi="Calibri" w:cs="Times New Roman"/>
      <w:sz w:val="20"/>
      <w:szCs w:val="20"/>
      <w:lang w:val="es-ES"/>
    </w:rPr>
  </w:style>
  <w:style w:type="paragraph" w:styleId="Textodeglobo">
    <w:name w:val="Balloon Text"/>
    <w:basedOn w:val="Normal"/>
    <w:link w:val="TextodegloboCar"/>
    <w:uiPriority w:val="99"/>
    <w:semiHidden/>
    <w:unhideWhenUsed/>
    <w:rsid w:val="00B44D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4D00"/>
    <w:rPr>
      <w:rFonts w:ascii="Tahoma" w:eastAsia="MS Mincho"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unat.gob.pe"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2196</Words>
  <Characters>12080</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14248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SUNAT</dc:creator>
  <cp:lastModifiedBy>Soto Zevallos Luis Enrique</cp:lastModifiedBy>
  <cp:revision>2</cp:revision>
  <dcterms:created xsi:type="dcterms:W3CDTF">2017-12-13T22:13:00Z</dcterms:created>
  <dcterms:modified xsi:type="dcterms:W3CDTF">2017-12-13T22:13:00Z</dcterms:modified>
</cp:coreProperties>
</file>