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4E" w:rsidRPr="000379B9" w:rsidRDefault="006C0D4E" w:rsidP="006C0D4E">
      <w:pPr>
        <w:pStyle w:val="NormalArial"/>
        <w:rPr>
          <w:sz w:val="22"/>
          <w:szCs w:val="22"/>
        </w:rPr>
      </w:pPr>
      <w:r w:rsidRPr="000379B9">
        <w:rPr>
          <w:sz w:val="22"/>
          <w:szCs w:val="22"/>
        </w:rPr>
        <w:t>N.°                 -201</w:t>
      </w:r>
      <w:r w:rsidR="00BF7FE0">
        <w:rPr>
          <w:sz w:val="22"/>
          <w:szCs w:val="22"/>
        </w:rPr>
        <w:t>7</w:t>
      </w:r>
      <w:r w:rsidRPr="000379B9">
        <w:rPr>
          <w:sz w:val="22"/>
          <w:szCs w:val="22"/>
        </w:rPr>
        <w:t>/SUNAT</w:t>
      </w:r>
    </w:p>
    <w:p w:rsidR="006C0D4E" w:rsidRPr="000379B9" w:rsidRDefault="006C0D4E" w:rsidP="006C0D4E">
      <w:pPr>
        <w:pStyle w:val="NormalArial"/>
        <w:rPr>
          <w:sz w:val="22"/>
          <w:szCs w:val="22"/>
        </w:rPr>
      </w:pPr>
    </w:p>
    <w:p w:rsidR="00BF7FE0" w:rsidRPr="00BF7FE0" w:rsidRDefault="000E7138" w:rsidP="00BF7F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PROYECTO DE RESOLUCIÓN DE SUPERINTENDENCIA QUE </w:t>
      </w:r>
      <w:r w:rsidR="00BF7FE0" w:rsidRPr="00BF7FE0">
        <w:rPr>
          <w:rFonts w:ascii="Arial" w:eastAsia="Times New Roman" w:hAnsi="Arial" w:cs="Arial"/>
          <w:b/>
          <w:bCs/>
          <w:color w:val="000000"/>
          <w:lang w:val="es-ES" w:eastAsia="es-ES"/>
        </w:rPr>
        <w:t>MODIFICA</w:t>
      </w: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LA</w:t>
      </w:r>
      <w:r w:rsidR="00BF7FE0" w:rsidRPr="00BF7FE0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AUTORIZACIÓN PARA EL INGRESO</w:t>
      </w:r>
      <w:r w:rsidR="00F4020C"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 </w:t>
      </w:r>
      <w:r w:rsidR="00BF7FE0" w:rsidRPr="00BF7FE0">
        <w:rPr>
          <w:rFonts w:ascii="Arial" w:eastAsia="Times New Roman" w:hAnsi="Arial" w:cs="Arial"/>
          <w:b/>
          <w:bCs/>
          <w:color w:val="000000"/>
          <w:lang w:val="es-ES" w:eastAsia="es-ES"/>
        </w:rPr>
        <w:t>O SALIDA DE BIENES FISCALIZADOS</w:t>
      </w:r>
    </w:p>
    <w:p w:rsid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Lima,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CONSIDERANDO: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Que la Resolución de Superintendencia N.° 254-2013/SUNAT aprueba las normas relativas a la autorización para el ingreso o salida de bienes fiscalizados a que se refiere el artículo 17 d</w:t>
      </w:r>
      <w:r w:rsidR="00910AA0">
        <w:rPr>
          <w:rFonts w:ascii="Arial" w:eastAsia="Times New Roman" w:hAnsi="Arial" w:cs="Arial"/>
          <w:bCs/>
          <w:color w:val="000000"/>
          <w:lang w:val="es-ES" w:eastAsia="es-ES"/>
        </w:rPr>
        <w:t>el Decreto Legislativo N.° 1126;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Que el Decreto Legislativo N.° 1339 modifica el Decreto Legislativo N.° 1126, incorporando nuevas condiciones para el ingreso y salida del país de los bienes fiscalizados, nuevas causales para otorgar, denegar, cancelar y suspender la autorización, y permite un margen de tolerancia del peso total autorizado para mercancías envasadas;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Que resulta necesario adecuar las disposiciones de la Resolución de Superintendencia N.° 254-2013/SUNAT;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 xml:space="preserve">En uso de las facultades conferidas por el </w:t>
      </w:r>
      <w:r w:rsidR="00910AA0" w:rsidRPr="00BF7FE0">
        <w:rPr>
          <w:rFonts w:ascii="Arial" w:eastAsia="Times New Roman" w:hAnsi="Arial" w:cs="Arial"/>
          <w:bCs/>
          <w:color w:val="000000"/>
          <w:lang w:val="es-ES" w:eastAsia="es-ES"/>
        </w:rPr>
        <w:t>artículo 17 d</w:t>
      </w:r>
      <w:r w:rsidR="00910AA0">
        <w:rPr>
          <w:rFonts w:ascii="Arial" w:eastAsia="Times New Roman" w:hAnsi="Arial" w:cs="Arial"/>
          <w:bCs/>
          <w:color w:val="000000"/>
          <w:lang w:val="es-ES" w:eastAsia="es-ES"/>
        </w:rPr>
        <w:t xml:space="preserve">el Decreto Legislativo N.° 1126 y normas modificatorias, el </w:t>
      </w: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artículo 5 de la Ley N.° 29816, Ley de Fortalecimiento de la SUNAT y normas modificatorias; y el inciso o) del artículo 8 del Reglamento de Organización y Funciones de la SUNAT, aprobado por la Resolución de Superintendencia N.° 122-2014/SUNAT, y normas modificatorias;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BF7FE0">
        <w:rPr>
          <w:rFonts w:ascii="Arial" w:eastAsia="Times New Roman" w:hAnsi="Arial" w:cs="Arial"/>
          <w:bCs/>
          <w:color w:val="000000"/>
          <w:lang w:val="es-ES" w:eastAsia="es-ES"/>
        </w:rPr>
        <w:t>SE RESUELVE:</w:t>
      </w:r>
    </w:p>
    <w:p w:rsidR="000A6E4B" w:rsidRDefault="000A6E4B" w:rsidP="00FA19F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BF7FE0">
        <w:rPr>
          <w:rFonts w:ascii="Arial" w:hAnsi="Arial" w:cs="Arial"/>
          <w:b/>
          <w:color w:val="000000"/>
          <w:lang w:val="es-ES"/>
        </w:rPr>
        <w:t>Artículo único. Modifica artículos</w:t>
      </w:r>
    </w:p>
    <w:p w:rsidR="00BF7FE0" w:rsidRPr="00BF7FE0" w:rsidRDefault="00BF7FE0" w:rsidP="00BF7FE0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lang w:val="es-ES"/>
        </w:rPr>
      </w:pPr>
    </w:p>
    <w:p w:rsidR="00C75256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Modifícase </w:t>
      </w:r>
      <w:r w:rsidR="00F4020C">
        <w:rPr>
          <w:rFonts w:ascii="Arial" w:hAnsi="Arial" w:cs="Arial"/>
          <w:color w:val="000000"/>
          <w:lang w:val="es-ES"/>
        </w:rPr>
        <w:t xml:space="preserve">el encabezado del primer párrafo y </w:t>
      </w:r>
      <w:r w:rsidRPr="00BF7FE0">
        <w:rPr>
          <w:rFonts w:ascii="Arial" w:hAnsi="Arial" w:cs="Arial"/>
          <w:color w:val="000000"/>
          <w:lang w:val="es-ES"/>
        </w:rPr>
        <w:t xml:space="preserve">los incisos a), b) y c) del artículo 1, el primer párrafo del artículo 3, el numeral 5.2 del artículo 5, </w:t>
      </w:r>
      <w:r w:rsidR="00F4020C">
        <w:rPr>
          <w:rFonts w:ascii="Arial" w:hAnsi="Arial" w:cs="Arial"/>
          <w:color w:val="000000"/>
          <w:lang w:val="es-ES"/>
        </w:rPr>
        <w:t>el encabezado del primer párrafo</w:t>
      </w:r>
      <w:r w:rsidR="00F4020C" w:rsidRPr="00BF7FE0">
        <w:rPr>
          <w:rFonts w:ascii="Arial" w:hAnsi="Arial" w:cs="Arial"/>
          <w:color w:val="000000"/>
          <w:lang w:val="es-ES"/>
        </w:rPr>
        <w:t xml:space="preserve"> </w:t>
      </w:r>
      <w:r w:rsidR="00F4020C">
        <w:rPr>
          <w:rFonts w:ascii="Arial" w:hAnsi="Arial" w:cs="Arial"/>
          <w:color w:val="000000"/>
          <w:lang w:val="es-ES"/>
        </w:rPr>
        <w:t xml:space="preserve">y </w:t>
      </w:r>
      <w:r w:rsidRPr="00BF7FE0">
        <w:rPr>
          <w:rFonts w:ascii="Arial" w:hAnsi="Arial" w:cs="Arial"/>
          <w:color w:val="000000"/>
          <w:lang w:val="es-ES"/>
        </w:rPr>
        <w:t>el inciso a) del artículo 8</w:t>
      </w:r>
      <w:r w:rsidR="00F4020C">
        <w:rPr>
          <w:rFonts w:ascii="Arial" w:hAnsi="Arial" w:cs="Arial"/>
          <w:color w:val="000000"/>
          <w:lang w:val="es-ES"/>
        </w:rPr>
        <w:t xml:space="preserve">; el encabezado </w:t>
      </w:r>
      <w:r w:rsidRPr="00BF7FE0">
        <w:rPr>
          <w:rFonts w:ascii="Arial" w:hAnsi="Arial" w:cs="Arial"/>
          <w:color w:val="000000"/>
          <w:lang w:val="es-ES"/>
        </w:rPr>
        <w:t xml:space="preserve">y el inciso a) del artículo 9 </w:t>
      </w:r>
      <w:r w:rsidR="00F4020C" w:rsidRPr="00BF7FE0">
        <w:rPr>
          <w:rFonts w:ascii="Arial" w:hAnsi="Arial" w:cs="Arial"/>
          <w:color w:val="000000"/>
          <w:lang w:val="es-ES"/>
        </w:rPr>
        <w:t xml:space="preserve">y el artículo </w:t>
      </w:r>
      <w:r w:rsidR="00F4020C">
        <w:rPr>
          <w:rFonts w:ascii="Arial" w:hAnsi="Arial" w:cs="Arial"/>
          <w:color w:val="000000"/>
          <w:lang w:val="es-ES"/>
        </w:rPr>
        <w:t xml:space="preserve">11 </w:t>
      </w:r>
      <w:r w:rsidRPr="00BF7FE0">
        <w:rPr>
          <w:rFonts w:ascii="Arial" w:hAnsi="Arial" w:cs="Arial"/>
          <w:color w:val="000000"/>
          <w:lang w:val="es-ES"/>
        </w:rPr>
        <w:t>de la Resolución de Superintendencia N.° 254-2013/SUNAT, en los términos siguientes:</w:t>
      </w: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F4020C" w:rsidRDefault="00F4020C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F4020C" w:rsidRDefault="00F4020C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F4020C" w:rsidRPr="00BF7FE0" w:rsidRDefault="00F4020C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lastRenderedPageBreak/>
        <w:t>“Artículo 1. Definiciones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A la presente resolución se le aplican las definiciones previstas en el artículo 2 del Decreto Legislativo N.° 1126 que establece medidas de control en los insumos químicos y productos fiscalizados, maquinarias y equipos utilizados para la elaboración de drogas ilícitas y normas modificatorias y en el artículo 2 de su reglamento aprobado por el Decreto Supremo N.° 044-2013-EF y normas modificatorias así como las siguientes:</w:t>
      </w:r>
    </w:p>
    <w:p w:rsidR="00BF7FE0" w:rsidRPr="00F4020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Reglamento: Al reglamento de la ley, aprobado </w:t>
      </w:r>
      <w:r>
        <w:rPr>
          <w:rFonts w:ascii="Arial" w:hAnsi="Arial" w:cs="Arial"/>
          <w:color w:val="000000"/>
          <w:lang w:val="es-ES"/>
        </w:rPr>
        <w:t>p</w:t>
      </w:r>
      <w:r w:rsidRPr="00BF7FE0">
        <w:rPr>
          <w:rFonts w:ascii="Arial" w:hAnsi="Arial" w:cs="Arial"/>
          <w:color w:val="000000"/>
          <w:lang w:val="es-ES"/>
        </w:rPr>
        <w:t>or Decreto Supremo N.° 044-2013-EF y normas modificatorias.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ab/>
      </w:r>
      <w:r w:rsidRPr="00BF7FE0">
        <w:rPr>
          <w:rFonts w:ascii="Arial" w:hAnsi="Arial" w:cs="Arial"/>
          <w:color w:val="000000"/>
          <w:lang w:val="es-ES"/>
        </w:rPr>
        <w:tab/>
      </w:r>
    </w:p>
    <w:p w:rsidR="00BF7FE0" w:rsidRPr="00BF7FE0" w:rsidRDefault="00BF7FE0" w:rsidP="00BF7F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Bienes Fiscalizados: A los insumos químicos, productos y sus subproductos o derivados, que pueden ser utilizados, directamente o indirectamente, en la elaboración de drogas ilícitas, que están dentro de los alcances de la ley.</w:t>
      </w:r>
    </w:p>
    <w:p w:rsidR="00BF7FE0" w:rsidRPr="00BF7FE0" w:rsidRDefault="00BF7FE0" w:rsidP="00BF7FE0">
      <w:pPr>
        <w:spacing w:after="0" w:line="240" w:lineRule="auto"/>
        <w:ind w:left="360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ab/>
      </w:r>
      <w:r w:rsidRPr="00BF7FE0">
        <w:rPr>
          <w:rFonts w:ascii="Arial" w:hAnsi="Arial" w:cs="Arial"/>
          <w:color w:val="000000"/>
          <w:lang w:val="es-ES"/>
        </w:rPr>
        <w:tab/>
      </w:r>
    </w:p>
    <w:p w:rsidR="00BF7FE0" w:rsidRPr="00BF7FE0" w:rsidRDefault="00BF7FE0" w:rsidP="00BF7FE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Buzón SOL: A la sección ubicada dentro de SUNAT Operaciones en Línea, donde se depositan las copias de documentos y los ejemplares de los documentos electrónicos.</w:t>
      </w:r>
    </w:p>
    <w:p w:rsidR="00BF7FE0" w:rsidRPr="00F4020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(…)”</w:t>
      </w:r>
    </w:p>
    <w:p w:rsidR="00BF7FE0" w:rsidRPr="00F4020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“Artículo 3. Condiciones para generar la solicitud de autorización</w:t>
      </w:r>
    </w:p>
    <w:p w:rsidR="00BF7FE0" w:rsidRPr="00F4020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Para generar la solicitud de autorización de ingreso/salida de bienes fiscalizados, el usuario debe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F7FE0">
        <w:rPr>
          <w:rFonts w:ascii="Arial" w:hAnsi="Arial" w:cs="Arial"/>
          <w:color w:val="000000"/>
          <w:lang w:val="es-ES"/>
        </w:rPr>
        <w:t>cumplir con cada una de las condiciones siguientes:</w:t>
      </w:r>
    </w:p>
    <w:p w:rsidR="00BF7FE0" w:rsidRPr="00F4020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Tener inscripción vigente en el registro.</w:t>
      </w:r>
    </w:p>
    <w:p w:rsidR="00BF7FE0" w:rsidRPr="00F4020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Haber inscrito la importación o exportación de los bienes fiscalizados como actividades fiscalizadas en el registro.</w:t>
      </w:r>
    </w:p>
    <w:p w:rsidR="00BF7FE0" w:rsidRPr="00F4020C" w:rsidRDefault="00BF7FE0" w:rsidP="00BF7FE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No  tener bienes fiscalizados que </w:t>
      </w:r>
      <w:r>
        <w:rPr>
          <w:rFonts w:ascii="Arial" w:hAnsi="Arial" w:cs="Arial"/>
          <w:color w:val="000000"/>
          <w:lang w:val="es-ES"/>
        </w:rPr>
        <w:t>h</w:t>
      </w:r>
      <w:r w:rsidRPr="00BF7FE0">
        <w:rPr>
          <w:rFonts w:ascii="Arial" w:hAnsi="Arial" w:cs="Arial"/>
          <w:color w:val="000000"/>
          <w:lang w:val="es-ES"/>
        </w:rPr>
        <w:t xml:space="preserve">ubieran caído en abandono legal, conforme a lo establecido en la Ley General de Aduanas y su reglamento. </w:t>
      </w:r>
    </w:p>
    <w:p w:rsidR="00BF7FE0" w:rsidRPr="00F4020C" w:rsidRDefault="00BF7FE0" w:rsidP="00BF7FE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No tener declaraciones aduaneras de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F7FE0">
        <w:rPr>
          <w:rFonts w:ascii="Arial" w:hAnsi="Arial" w:cs="Arial"/>
          <w:color w:val="000000"/>
          <w:lang w:val="es-ES"/>
        </w:rPr>
        <w:t>exportación de bienes fiscalizados pendientes de regularización fuera del plazo previsto en la Ley General de Aduanas.</w:t>
      </w:r>
    </w:p>
    <w:p w:rsidR="00BF7FE0" w:rsidRPr="00F4020C" w:rsidRDefault="00BF7FE0" w:rsidP="00BF7FE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F4020C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N</w:t>
      </w:r>
      <w:r w:rsidRPr="00BF7FE0">
        <w:rPr>
          <w:rFonts w:ascii="Arial" w:hAnsi="Arial" w:cs="Arial"/>
          <w:color w:val="000000"/>
          <w:lang w:val="es-ES"/>
        </w:rPr>
        <w:t>o enc</w:t>
      </w:r>
      <w:r>
        <w:rPr>
          <w:rFonts w:ascii="Arial" w:hAnsi="Arial" w:cs="Arial"/>
          <w:color w:val="000000"/>
          <w:lang w:val="es-ES"/>
        </w:rPr>
        <w:t>o</w:t>
      </w:r>
      <w:r w:rsidRPr="00BF7FE0">
        <w:rPr>
          <w:rFonts w:ascii="Arial" w:hAnsi="Arial" w:cs="Arial"/>
          <w:color w:val="000000"/>
          <w:lang w:val="es-ES"/>
        </w:rPr>
        <w:t>ntr</w:t>
      </w:r>
      <w:r>
        <w:rPr>
          <w:rFonts w:ascii="Arial" w:hAnsi="Arial" w:cs="Arial"/>
          <w:color w:val="000000"/>
          <w:lang w:val="es-ES"/>
        </w:rPr>
        <w:t>arse</w:t>
      </w:r>
      <w:r w:rsidRPr="00BF7FE0">
        <w:rPr>
          <w:rFonts w:ascii="Arial" w:hAnsi="Arial" w:cs="Arial"/>
          <w:color w:val="000000"/>
          <w:lang w:val="es-ES"/>
        </w:rPr>
        <w:t xml:space="preserve"> sometido</w:t>
      </w:r>
      <w:r>
        <w:rPr>
          <w:rFonts w:ascii="Arial" w:hAnsi="Arial" w:cs="Arial"/>
          <w:color w:val="000000"/>
          <w:lang w:val="es-ES"/>
        </w:rPr>
        <w:t>,</w:t>
      </w:r>
      <w:r w:rsidRPr="00BF7FE0"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e</w:t>
      </w:r>
      <w:r w:rsidR="00BF7FE0" w:rsidRPr="00BF7FE0">
        <w:rPr>
          <w:rFonts w:ascii="Arial" w:hAnsi="Arial" w:cs="Arial"/>
          <w:color w:val="000000"/>
          <w:lang w:val="es-ES"/>
        </w:rPr>
        <w:t>l usuario o alguno de sus accionistas, representantes legales o directores y responsables del manejo de los bienes fiscalizados</w:t>
      </w:r>
      <w:r>
        <w:rPr>
          <w:rFonts w:ascii="Arial" w:hAnsi="Arial" w:cs="Arial"/>
          <w:color w:val="000000"/>
          <w:lang w:val="es-ES"/>
        </w:rPr>
        <w:t>,</w:t>
      </w:r>
      <w:r w:rsidR="00BF7FE0" w:rsidRPr="00BF7FE0">
        <w:rPr>
          <w:rFonts w:ascii="Arial" w:hAnsi="Arial" w:cs="Arial"/>
          <w:color w:val="000000"/>
          <w:lang w:val="es-ES"/>
        </w:rPr>
        <w:t xml:space="preserve"> a investigación fiscal o proceso judicial por tráfico ilícito de drogas o delitos conexos.</w:t>
      </w:r>
    </w:p>
    <w:p w:rsidR="00BF7FE0" w:rsidRPr="00F4020C" w:rsidRDefault="00BF7FE0" w:rsidP="00BF7FE0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lang w:val="es-ES"/>
        </w:rPr>
      </w:pPr>
    </w:p>
    <w:p w:rsidR="00BF7FE0" w:rsidRPr="00BF7FE0" w:rsidRDefault="00BF7FE0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lastRenderedPageBreak/>
        <w:t>Haber cumplido con presentar la información del registro de operaciones en la forma, plazos y demás condiciones establecidas en el artículo 12 de la ley.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F4020C" w:rsidP="00BF7FE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No solicitar, en la </w:t>
      </w:r>
      <w:r w:rsidR="00BF7FE0" w:rsidRPr="00BF7FE0">
        <w:rPr>
          <w:rFonts w:ascii="Arial" w:hAnsi="Arial" w:cs="Arial"/>
          <w:color w:val="000000"/>
          <w:lang w:val="es-ES"/>
        </w:rPr>
        <w:t xml:space="preserve">autorización de ingreso, </w:t>
      </w:r>
      <w:r>
        <w:rPr>
          <w:rFonts w:ascii="Arial" w:hAnsi="Arial" w:cs="Arial"/>
          <w:color w:val="000000"/>
          <w:lang w:val="es-ES"/>
        </w:rPr>
        <w:t xml:space="preserve">una </w:t>
      </w:r>
      <w:r w:rsidRPr="00BF7FE0">
        <w:rPr>
          <w:rFonts w:ascii="Arial" w:hAnsi="Arial" w:cs="Arial"/>
          <w:color w:val="000000"/>
          <w:lang w:val="es-ES"/>
        </w:rPr>
        <w:t xml:space="preserve">cantidad </w:t>
      </w:r>
      <w:r>
        <w:rPr>
          <w:rFonts w:ascii="Arial" w:hAnsi="Arial" w:cs="Arial"/>
          <w:color w:val="000000"/>
          <w:lang w:val="es-ES"/>
        </w:rPr>
        <w:t xml:space="preserve">que exceda </w:t>
      </w:r>
      <w:r w:rsidRPr="00BF7FE0">
        <w:rPr>
          <w:rFonts w:ascii="Arial" w:hAnsi="Arial" w:cs="Arial"/>
          <w:color w:val="000000"/>
          <w:lang w:val="es-ES"/>
        </w:rPr>
        <w:t>el saldo disponible para dicho bien fiscalizado</w:t>
      </w:r>
      <w:r>
        <w:rPr>
          <w:rFonts w:ascii="Arial" w:hAnsi="Arial" w:cs="Arial"/>
          <w:color w:val="000000"/>
          <w:lang w:val="es-ES"/>
        </w:rPr>
        <w:t>,</w:t>
      </w:r>
      <w:r w:rsidRPr="00BF7FE0">
        <w:rPr>
          <w:rFonts w:ascii="Arial" w:hAnsi="Arial" w:cs="Arial"/>
          <w:color w:val="000000"/>
          <w:lang w:val="es-ES"/>
        </w:rPr>
        <w:t xml:space="preserve"> </w:t>
      </w:r>
      <w:r w:rsidR="00BF7FE0" w:rsidRPr="00BF7FE0">
        <w:rPr>
          <w:rFonts w:ascii="Arial" w:hAnsi="Arial" w:cs="Arial"/>
          <w:color w:val="000000"/>
          <w:lang w:val="es-ES"/>
        </w:rPr>
        <w:t>considerando además las cantidades que se encuentran en autorizaciones pendientes de nacionalización.</w:t>
      </w:r>
      <w:r w:rsidRPr="00F4020C">
        <w:rPr>
          <w:rFonts w:ascii="Arial" w:hAnsi="Arial" w:cs="Arial"/>
          <w:color w:val="000000"/>
          <w:lang w:val="es-ES"/>
        </w:rPr>
        <w:t xml:space="preserve"> 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(…)”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“Artículo 5. Otorgamiento o denegatoria de la autorización de salida de bienes fiscalizados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(…)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5.2</w:t>
      </w:r>
      <w:r>
        <w:rPr>
          <w:rFonts w:ascii="Arial" w:hAnsi="Arial" w:cs="Arial"/>
          <w:color w:val="000000"/>
          <w:lang w:val="es-ES"/>
        </w:rPr>
        <w:t xml:space="preserve">. </w:t>
      </w:r>
      <w:r>
        <w:rPr>
          <w:rFonts w:ascii="Arial" w:hAnsi="Arial" w:cs="Arial"/>
          <w:color w:val="000000"/>
          <w:lang w:val="es-ES"/>
        </w:rPr>
        <w:tab/>
      </w:r>
      <w:r w:rsidRPr="00BF7FE0">
        <w:rPr>
          <w:rFonts w:ascii="Arial" w:hAnsi="Arial" w:cs="Arial"/>
          <w:color w:val="000000"/>
          <w:lang w:val="es-ES"/>
        </w:rPr>
        <w:t>La SUNAT deniega las autorizaciones de salida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F7FE0">
        <w:rPr>
          <w:rFonts w:ascii="Arial" w:hAnsi="Arial" w:cs="Arial"/>
          <w:color w:val="000000"/>
          <w:lang w:val="es-ES"/>
        </w:rPr>
        <w:t>de bienes fiscalizados en caso se presenten</w:t>
      </w:r>
      <w:r w:rsidR="00D7654D">
        <w:rPr>
          <w:rFonts w:ascii="Arial" w:hAnsi="Arial" w:cs="Arial"/>
          <w:color w:val="000000"/>
          <w:lang w:val="es-ES"/>
        </w:rPr>
        <w:t>,</w:t>
      </w:r>
      <w:r w:rsidRPr="00BF7FE0">
        <w:rPr>
          <w:rFonts w:ascii="Arial" w:hAnsi="Arial" w:cs="Arial"/>
          <w:color w:val="000000"/>
          <w:lang w:val="es-ES"/>
        </w:rPr>
        <w:t xml:space="preserve"> dentro del plazo señalado en el  numeral anterior, alguna de las siguientes situaciones: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El usuario haya sido suspendido o dado de baja de su inscripción en el registro.</w:t>
      </w:r>
    </w:p>
    <w:p w:rsidR="00BF7FE0" w:rsidRPr="00BF7FE0" w:rsidRDefault="00BF7FE0" w:rsidP="00BF7FE0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El usuario o alguno de sus accionistas, representantes legales o directores y responsables del manejo de los bienes fiscalizados se encuentre sometido a investigación fiscal o proceso judicial por tráfico ilícito de drogas o delitos conexos.</w:t>
      </w:r>
    </w:p>
    <w:p w:rsidR="00BF7FE0" w:rsidRPr="00BF7FE0" w:rsidRDefault="00BF7FE0" w:rsidP="00BF7FE0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Se encuentren indicios razonables del posible desvío de bienes fiscalizados.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Default="00BF7FE0" w:rsidP="00BF7FE0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La SUNAT notificará al </w:t>
      </w:r>
      <w:r w:rsidR="007B7CFC" w:rsidRPr="00BF7FE0">
        <w:rPr>
          <w:rFonts w:ascii="Arial" w:hAnsi="Arial" w:cs="Arial"/>
          <w:color w:val="000000"/>
          <w:lang w:val="es-ES"/>
        </w:rPr>
        <w:t>usuario la resolución denegando todas las autorizaciones de salida de bienes fis</w:t>
      </w:r>
      <w:r w:rsidRPr="00BF7FE0">
        <w:rPr>
          <w:rFonts w:ascii="Arial" w:hAnsi="Arial" w:cs="Arial"/>
          <w:color w:val="000000"/>
          <w:lang w:val="es-ES"/>
        </w:rPr>
        <w:t>calizados solicitadas.”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“Artículo 8. Suspensión de la autorización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La SUNAT suspende las </w:t>
      </w:r>
      <w:r w:rsidR="007B7CFC">
        <w:rPr>
          <w:rFonts w:ascii="Arial" w:hAnsi="Arial" w:cs="Arial"/>
          <w:color w:val="000000"/>
          <w:lang w:val="es-ES"/>
        </w:rPr>
        <w:t>a</w:t>
      </w:r>
      <w:r w:rsidRPr="00BF7FE0">
        <w:rPr>
          <w:rFonts w:ascii="Arial" w:hAnsi="Arial" w:cs="Arial"/>
          <w:color w:val="000000"/>
          <w:lang w:val="es-ES"/>
        </w:rPr>
        <w:t>utorizaciones otorgadas, cuando: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El usuario o alguno de sus accionistas, representantes legales o directores y responsables del manejo de los bienes fiscalizados se encuentre sometido a investigación fiscal o proceso judicial por tráfico ilícito de drogas o delitos conexos.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(…)”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lastRenderedPageBreak/>
        <w:t>“Artículo 9. Levantamiento de la suspensión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La SUNAT levanta la suspensión de las autorizaciones otorgadas, cuando:</w:t>
      </w:r>
    </w:p>
    <w:p w:rsidR="00BF7FE0" w:rsidRPr="00BF7FE0" w:rsidRDefault="00BF7FE0" w:rsidP="00BF7FE0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En el caso del literal a) del artículo 8, se archive la investigación, no se efectúe denuncia penal, o </w:t>
      </w:r>
      <w:r w:rsidR="00F4020C">
        <w:rPr>
          <w:rFonts w:ascii="Arial" w:hAnsi="Arial" w:cs="Arial"/>
          <w:color w:val="000000"/>
          <w:lang w:val="es-ES"/>
        </w:rPr>
        <w:t xml:space="preserve">exista </w:t>
      </w:r>
      <w:r w:rsidRPr="00BF7FE0">
        <w:rPr>
          <w:rFonts w:ascii="Arial" w:hAnsi="Arial" w:cs="Arial"/>
          <w:color w:val="000000"/>
          <w:lang w:val="es-ES"/>
        </w:rPr>
        <w:t>sentencia absolutoria firme.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(…)”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“Artículo 11. Margen de tolerancia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El margen de tolerancia a que se refiere el artículo 19 de la ley es permitido siempre que no supere la cantidad del saldo disponible para autorizaciones</w:t>
      </w:r>
      <w:r w:rsidR="00F4020C">
        <w:rPr>
          <w:rFonts w:ascii="Arial" w:hAnsi="Arial" w:cs="Arial"/>
          <w:color w:val="000000"/>
          <w:lang w:val="es-ES"/>
        </w:rPr>
        <w:t xml:space="preserve">; en </w:t>
      </w:r>
      <w:r w:rsidRPr="00BF7FE0">
        <w:rPr>
          <w:rFonts w:ascii="Arial" w:hAnsi="Arial" w:cs="Arial"/>
          <w:color w:val="000000"/>
          <w:lang w:val="es-ES"/>
        </w:rPr>
        <w:t>caso contrario se realiza una reducción sobre dicho margen.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Todo exceso sobre el margen de tolerancia o la cantidad del saldo disponible para autorizaciones tiene la condición de no autorizado.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>No se requiere documento adicional autorizante para el margen de tolerancia a que se refiere el presente artículo.”</w:t>
      </w: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center"/>
        <w:rPr>
          <w:rFonts w:ascii="Arial" w:hAnsi="Arial" w:cs="Arial"/>
          <w:b/>
          <w:color w:val="000000"/>
          <w:lang w:val="es-ES"/>
        </w:rPr>
      </w:pPr>
      <w:r w:rsidRPr="00BF7FE0">
        <w:rPr>
          <w:rFonts w:ascii="Arial" w:hAnsi="Arial" w:cs="Arial"/>
          <w:b/>
          <w:color w:val="000000"/>
          <w:lang w:val="es-ES"/>
        </w:rPr>
        <w:t>DISPOSICIÓN COMPLEMENTARIA FINAL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BF7FE0" w:rsidRPr="00BF7FE0" w:rsidRDefault="0075341A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>
        <w:rPr>
          <w:rFonts w:ascii="Arial" w:hAnsi="Arial" w:cs="Arial"/>
          <w:b/>
          <w:color w:val="000000"/>
          <w:lang w:val="es-ES"/>
        </w:rPr>
        <w:t>ÚNICA</w:t>
      </w:r>
      <w:r w:rsidR="00BF7FE0" w:rsidRPr="00BF7FE0">
        <w:rPr>
          <w:rFonts w:ascii="Arial" w:hAnsi="Arial" w:cs="Arial"/>
          <w:b/>
          <w:color w:val="000000"/>
          <w:lang w:val="es-ES"/>
        </w:rPr>
        <w:t>. Aprobación de formularios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Apruébase la versión </w:t>
      </w:r>
      <w:r w:rsidR="007B7CFC">
        <w:rPr>
          <w:rFonts w:ascii="Arial" w:hAnsi="Arial" w:cs="Arial"/>
          <w:color w:val="000000"/>
          <w:lang w:val="es-ES"/>
        </w:rPr>
        <w:t>2</w:t>
      </w:r>
      <w:r w:rsidRPr="00BF7FE0">
        <w:rPr>
          <w:rFonts w:ascii="Arial" w:hAnsi="Arial" w:cs="Arial"/>
          <w:color w:val="000000"/>
          <w:lang w:val="es-ES"/>
        </w:rPr>
        <w:t xml:space="preserve"> del Formulario Virtual N</w:t>
      </w:r>
      <w:r w:rsidR="007B7CFC">
        <w:rPr>
          <w:rFonts w:ascii="Arial" w:hAnsi="Arial" w:cs="Arial"/>
          <w:color w:val="000000"/>
          <w:lang w:val="es-ES"/>
        </w:rPr>
        <w:t>.°</w:t>
      </w:r>
      <w:r w:rsidRPr="00BF7FE0">
        <w:rPr>
          <w:rFonts w:ascii="Arial" w:hAnsi="Arial" w:cs="Arial"/>
          <w:color w:val="000000"/>
          <w:lang w:val="es-ES"/>
        </w:rPr>
        <w:t xml:space="preserve"> Q-201 “Solicitud de Autorización de Ingreso de Bienes Fiscalizados” y </w:t>
      </w:r>
      <w:r w:rsidR="00F4020C">
        <w:rPr>
          <w:rFonts w:ascii="Arial" w:hAnsi="Arial" w:cs="Arial"/>
          <w:color w:val="000000"/>
          <w:lang w:val="es-ES"/>
        </w:rPr>
        <w:t xml:space="preserve">la versión 2 </w:t>
      </w:r>
      <w:r w:rsidRPr="00BF7FE0">
        <w:rPr>
          <w:rFonts w:ascii="Arial" w:hAnsi="Arial" w:cs="Arial"/>
          <w:color w:val="000000"/>
          <w:lang w:val="es-ES"/>
        </w:rPr>
        <w:t>del Formulario Virtual N</w:t>
      </w:r>
      <w:r w:rsidR="007B7CFC">
        <w:rPr>
          <w:rFonts w:ascii="Arial" w:hAnsi="Arial" w:cs="Arial"/>
          <w:color w:val="000000"/>
          <w:lang w:val="es-ES"/>
        </w:rPr>
        <w:t>.°</w:t>
      </w:r>
      <w:r w:rsidRPr="00BF7FE0">
        <w:rPr>
          <w:rFonts w:ascii="Arial" w:hAnsi="Arial" w:cs="Arial"/>
          <w:color w:val="000000"/>
          <w:lang w:val="es-ES"/>
        </w:rPr>
        <w:t xml:space="preserve"> Q-202 “Solicitud de Autorización de Salida de Bienes Fiscalizados”, como anexo</w:t>
      </w:r>
      <w:r w:rsidR="00D7654D">
        <w:rPr>
          <w:rFonts w:ascii="Arial" w:hAnsi="Arial" w:cs="Arial"/>
          <w:color w:val="000000"/>
          <w:lang w:val="es-ES"/>
        </w:rPr>
        <w:t>s</w:t>
      </w:r>
      <w:r w:rsidRPr="00BF7FE0">
        <w:rPr>
          <w:rFonts w:ascii="Arial" w:hAnsi="Arial" w:cs="Arial"/>
          <w:color w:val="000000"/>
          <w:lang w:val="es-ES"/>
        </w:rPr>
        <w:t xml:space="preserve"> de la presente resolución.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F7FE0">
        <w:rPr>
          <w:rFonts w:ascii="Arial" w:hAnsi="Arial" w:cs="Arial"/>
          <w:color w:val="000000"/>
          <w:lang w:val="es-ES"/>
        </w:rPr>
        <w:t xml:space="preserve">Los referidos formularios están a disposición en SUNAT Virtual, a partir de la fecha de vigencia de la presente resolución. </w:t>
      </w:r>
    </w:p>
    <w:p w:rsidR="00BF7FE0" w:rsidRPr="00BF7FE0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BF7FE0" w:rsidRPr="007B7CF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7B7CFC">
        <w:rPr>
          <w:rFonts w:ascii="Arial" w:hAnsi="Arial" w:cs="Arial"/>
          <w:color w:val="000000"/>
          <w:lang w:val="es-ES"/>
        </w:rPr>
        <w:t>Regístrese, comuníquese y publíquese.</w:t>
      </w: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sectPr w:rsidR="00BF7FE0" w:rsidSect="00F97A36">
      <w:pgSz w:w="11907" w:h="16839" w:code="9"/>
      <w:pgMar w:top="4536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FB"/>
    <w:multiLevelType w:val="hybridMultilevel"/>
    <w:tmpl w:val="C9F2E1F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06907"/>
    <w:multiLevelType w:val="hybridMultilevel"/>
    <w:tmpl w:val="6BFADDD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45AF3"/>
    <w:multiLevelType w:val="hybridMultilevel"/>
    <w:tmpl w:val="03589E6A"/>
    <w:lvl w:ilvl="0" w:tplc="B994F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1CFB"/>
    <w:multiLevelType w:val="hybridMultilevel"/>
    <w:tmpl w:val="2FC28A38"/>
    <w:lvl w:ilvl="0" w:tplc="100E33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845CD"/>
    <w:multiLevelType w:val="hybridMultilevel"/>
    <w:tmpl w:val="8D8485C6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7246C7"/>
    <w:multiLevelType w:val="hybridMultilevel"/>
    <w:tmpl w:val="69B0F9C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A20B7"/>
    <w:multiLevelType w:val="hybridMultilevel"/>
    <w:tmpl w:val="0D04BFB4"/>
    <w:lvl w:ilvl="0" w:tplc="17BE4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7F49"/>
    <w:multiLevelType w:val="hybridMultilevel"/>
    <w:tmpl w:val="EE9A2AFA"/>
    <w:lvl w:ilvl="0" w:tplc="DA7C7068">
      <w:start w:val="1"/>
      <w:numFmt w:val="lowerRoman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FE08C8"/>
    <w:multiLevelType w:val="hybridMultilevel"/>
    <w:tmpl w:val="B7A6E142"/>
    <w:lvl w:ilvl="0" w:tplc="AB6CD062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F6B2D24"/>
    <w:multiLevelType w:val="hybridMultilevel"/>
    <w:tmpl w:val="2DF438DE"/>
    <w:lvl w:ilvl="0" w:tplc="F8AC6A9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4D21C8"/>
    <w:multiLevelType w:val="hybridMultilevel"/>
    <w:tmpl w:val="67720386"/>
    <w:lvl w:ilvl="0" w:tplc="E874385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FD6516"/>
    <w:multiLevelType w:val="hybridMultilevel"/>
    <w:tmpl w:val="F2E247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C04328"/>
    <w:multiLevelType w:val="hybridMultilevel"/>
    <w:tmpl w:val="4C467A9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E22803"/>
    <w:multiLevelType w:val="hybridMultilevel"/>
    <w:tmpl w:val="90BAC6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82054"/>
    <w:multiLevelType w:val="hybridMultilevel"/>
    <w:tmpl w:val="B80891C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6B5BDB"/>
    <w:multiLevelType w:val="hybridMultilevel"/>
    <w:tmpl w:val="D55A5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376EF"/>
    <w:multiLevelType w:val="multilevel"/>
    <w:tmpl w:val="E38067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486292"/>
    <w:multiLevelType w:val="hybridMultilevel"/>
    <w:tmpl w:val="699CE918"/>
    <w:lvl w:ilvl="0" w:tplc="7F4C1AE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082117"/>
    <w:multiLevelType w:val="hybridMultilevel"/>
    <w:tmpl w:val="BB0E93C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9E3DDB"/>
    <w:multiLevelType w:val="hybridMultilevel"/>
    <w:tmpl w:val="BB0E93C6"/>
    <w:lvl w:ilvl="0" w:tplc="280A0017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5" w:hanging="360"/>
      </w:pPr>
    </w:lvl>
    <w:lvl w:ilvl="2" w:tplc="280A001B" w:tentative="1">
      <w:start w:val="1"/>
      <w:numFmt w:val="lowerRoman"/>
      <w:lvlText w:val="%3."/>
      <w:lvlJc w:val="right"/>
      <w:pPr>
        <w:ind w:left="1375" w:hanging="180"/>
      </w:pPr>
    </w:lvl>
    <w:lvl w:ilvl="3" w:tplc="280A000F" w:tentative="1">
      <w:start w:val="1"/>
      <w:numFmt w:val="decimal"/>
      <w:lvlText w:val="%4."/>
      <w:lvlJc w:val="left"/>
      <w:pPr>
        <w:ind w:left="2095" w:hanging="360"/>
      </w:pPr>
    </w:lvl>
    <w:lvl w:ilvl="4" w:tplc="280A0019" w:tentative="1">
      <w:start w:val="1"/>
      <w:numFmt w:val="lowerLetter"/>
      <w:lvlText w:val="%5."/>
      <w:lvlJc w:val="left"/>
      <w:pPr>
        <w:ind w:left="2815" w:hanging="360"/>
      </w:pPr>
    </w:lvl>
    <w:lvl w:ilvl="5" w:tplc="280A001B" w:tentative="1">
      <w:start w:val="1"/>
      <w:numFmt w:val="lowerRoman"/>
      <w:lvlText w:val="%6."/>
      <w:lvlJc w:val="right"/>
      <w:pPr>
        <w:ind w:left="3535" w:hanging="180"/>
      </w:pPr>
    </w:lvl>
    <w:lvl w:ilvl="6" w:tplc="280A000F" w:tentative="1">
      <w:start w:val="1"/>
      <w:numFmt w:val="decimal"/>
      <w:lvlText w:val="%7."/>
      <w:lvlJc w:val="left"/>
      <w:pPr>
        <w:ind w:left="4255" w:hanging="360"/>
      </w:pPr>
    </w:lvl>
    <w:lvl w:ilvl="7" w:tplc="280A0019" w:tentative="1">
      <w:start w:val="1"/>
      <w:numFmt w:val="lowerLetter"/>
      <w:lvlText w:val="%8."/>
      <w:lvlJc w:val="left"/>
      <w:pPr>
        <w:ind w:left="4975" w:hanging="360"/>
      </w:pPr>
    </w:lvl>
    <w:lvl w:ilvl="8" w:tplc="28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>
    <w:nsid w:val="792C5F69"/>
    <w:multiLevelType w:val="hybridMultilevel"/>
    <w:tmpl w:val="671C086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C72C11"/>
    <w:multiLevelType w:val="hybridMultilevel"/>
    <w:tmpl w:val="7D4C6D90"/>
    <w:lvl w:ilvl="0" w:tplc="00FC1236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11"/>
  </w:num>
  <w:num w:numId="8">
    <w:abstractNumId w:val="4"/>
  </w:num>
  <w:num w:numId="9">
    <w:abstractNumId w:val="9"/>
  </w:num>
  <w:num w:numId="10">
    <w:abstractNumId w:val="17"/>
  </w:num>
  <w:num w:numId="11">
    <w:abstractNumId w:val="15"/>
  </w:num>
  <w:num w:numId="12">
    <w:abstractNumId w:val="12"/>
  </w:num>
  <w:num w:numId="13">
    <w:abstractNumId w:val="8"/>
  </w:num>
  <w:num w:numId="14">
    <w:abstractNumId w:val="10"/>
  </w:num>
  <w:num w:numId="15">
    <w:abstractNumId w:val="16"/>
  </w:num>
  <w:num w:numId="16">
    <w:abstractNumId w:val="20"/>
  </w:num>
  <w:num w:numId="17">
    <w:abstractNumId w:val="5"/>
  </w:num>
  <w:num w:numId="18">
    <w:abstractNumId w:val="3"/>
  </w:num>
  <w:num w:numId="19">
    <w:abstractNumId w:val="6"/>
  </w:num>
  <w:num w:numId="20">
    <w:abstractNumId w:val="1"/>
  </w:num>
  <w:num w:numId="21">
    <w:abstractNumId w:val="2"/>
  </w:num>
  <w:num w:numId="22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1480C"/>
    <w:rsid w:val="00006A7C"/>
    <w:rsid w:val="00006CBD"/>
    <w:rsid w:val="000122CC"/>
    <w:rsid w:val="00013C7B"/>
    <w:rsid w:val="00014E44"/>
    <w:rsid w:val="00016534"/>
    <w:rsid w:val="0002024F"/>
    <w:rsid w:val="00020C6B"/>
    <w:rsid w:val="0002335C"/>
    <w:rsid w:val="0002342A"/>
    <w:rsid w:val="00023B19"/>
    <w:rsid w:val="00030C09"/>
    <w:rsid w:val="00031D5E"/>
    <w:rsid w:val="00033466"/>
    <w:rsid w:val="0003392B"/>
    <w:rsid w:val="0003494D"/>
    <w:rsid w:val="000379B9"/>
    <w:rsid w:val="00041D5D"/>
    <w:rsid w:val="0004314F"/>
    <w:rsid w:val="00044C3C"/>
    <w:rsid w:val="00047727"/>
    <w:rsid w:val="00053069"/>
    <w:rsid w:val="0005324E"/>
    <w:rsid w:val="00053DEB"/>
    <w:rsid w:val="00057E0C"/>
    <w:rsid w:val="00065BB8"/>
    <w:rsid w:val="0007113C"/>
    <w:rsid w:val="00071DF5"/>
    <w:rsid w:val="000722D8"/>
    <w:rsid w:val="00082017"/>
    <w:rsid w:val="00092619"/>
    <w:rsid w:val="000A6E4B"/>
    <w:rsid w:val="000B132A"/>
    <w:rsid w:val="000B319A"/>
    <w:rsid w:val="000B39FB"/>
    <w:rsid w:val="000B451D"/>
    <w:rsid w:val="000B4875"/>
    <w:rsid w:val="000B5E49"/>
    <w:rsid w:val="000D03C6"/>
    <w:rsid w:val="000D11A1"/>
    <w:rsid w:val="000D20F6"/>
    <w:rsid w:val="000D6A59"/>
    <w:rsid w:val="000D7584"/>
    <w:rsid w:val="000D7D7C"/>
    <w:rsid w:val="000E215A"/>
    <w:rsid w:val="000E7099"/>
    <w:rsid w:val="000E7138"/>
    <w:rsid w:val="000F0625"/>
    <w:rsid w:val="000F1E95"/>
    <w:rsid w:val="000F2276"/>
    <w:rsid w:val="00114146"/>
    <w:rsid w:val="00116E96"/>
    <w:rsid w:val="00117DE2"/>
    <w:rsid w:val="001262E6"/>
    <w:rsid w:val="00126F13"/>
    <w:rsid w:val="00135E83"/>
    <w:rsid w:val="00135EF2"/>
    <w:rsid w:val="00136CC9"/>
    <w:rsid w:val="00137A5A"/>
    <w:rsid w:val="00140914"/>
    <w:rsid w:val="00143CD5"/>
    <w:rsid w:val="0014532D"/>
    <w:rsid w:val="0015712D"/>
    <w:rsid w:val="00157802"/>
    <w:rsid w:val="00161E5C"/>
    <w:rsid w:val="0016254D"/>
    <w:rsid w:val="0017205F"/>
    <w:rsid w:val="00173578"/>
    <w:rsid w:val="00176B5B"/>
    <w:rsid w:val="00181431"/>
    <w:rsid w:val="001836D4"/>
    <w:rsid w:val="001873B6"/>
    <w:rsid w:val="001939D2"/>
    <w:rsid w:val="001A54CB"/>
    <w:rsid w:val="001B1330"/>
    <w:rsid w:val="001C46AC"/>
    <w:rsid w:val="001D0B5F"/>
    <w:rsid w:val="001D1BD3"/>
    <w:rsid w:val="001D3354"/>
    <w:rsid w:val="001D3433"/>
    <w:rsid w:val="001E27A4"/>
    <w:rsid w:val="001E3E12"/>
    <w:rsid w:val="001F4A3B"/>
    <w:rsid w:val="001F6281"/>
    <w:rsid w:val="00203A1C"/>
    <w:rsid w:val="00207643"/>
    <w:rsid w:val="002079E4"/>
    <w:rsid w:val="002266F6"/>
    <w:rsid w:val="002337EE"/>
    <w:rsid w:val="0024038F"/>
    <w:rsid w:val="002469F4"/>
    <w:rsid w:val="0024702C"/>
    <w:rsid w:val="00247581"/>
    <w:rsid w:val="00250B98"/>
    <w:rsid w:val="0025393D"/>
    <w:rsid w:val="00266940"/>
    <w:rsid w:val="00271037"/>
    <w:rsid w:val="00272AD7"/>
    <w:rsid w:val="00282B9A"/>
    <w:rsid w:val="00283A6C"/>
    <w:rsid w:val="002860AE"/>
    <w:rsid w:val="00292423"/>
    <w:rsid w:val="0029295D"/>
    <w:rsid w:val="002A2FB8"/>
    <w:rsid w:val="002B2908"/>
    <w:rsid w:val="002B33A6"/>
    <w:rsid w:val="002B574A"/>
    <w:rsid w:val="002B710E"/>
    <w:rsid w:val="002D2B4C"/>
    <w:rsid w:val="002E0670"/>
    <w:rsid w:val="002F38E5"/>
    <w:rsid w:val="002F408A"/>
    <w:rsid w:val="002F66C7"/>
    <w:rsid w:val="00302747"/>
    <w:rsid w:val="00304526"/>
    <w:rsid w:val="00305526"/>
    <w:rsid w:val="00305FDB"/>
    <w:rsid w:val="00311692"/>
    <w:rsid w:val="003142EB"/>
    <w:rsid w:val="003157E2"/>
    <w:rsid w:val="00316B33"/>
    <w:rsid w:val="00317A73"/>
    <w:rsid w:val="00321E7D"/>
    <w:rsid w:val="00322BEF"/>
    <w:rsid w:val="00344706"/>
    <w:rsid w:val="00351A4C"/>
    <w:rsid w:val="00357697"/>
    <w:rsid w:val="00363A7A"/>
    <w:rsid w:val="00365647"/>
    <w:rsid w:val="003760AF"/>
    <w:rsid w:val="00381776"/>
    <w:rsid w:val="00382B1E"/>
    <w:rsid w:val="00383022"/>
    <w:rsid w:val="00387AD4"/>
    <w:rsid w:val="003915F6"/>
    <w:rsid w:val="00394FA2"/>
    <w:rsid w:val="0039772A"/>
    <w:rsid w:val="003A041D"/>
    <w:rsid w:val="003A438B"/>
    <w:rsid w:val="003A584F"/>
    <w:rsid w:val="003A5D78"/>
    <w:rsid w:val="003B2F85"/>
    <w:rsid w:val="003B3452"/>
    <w:rsid w:val="003B4F80"/>
    <w:rsid w:val="003B7726"/>
    <w:rsid w:val="003C3533"/>
    <w:rsid w:val="003C78C7"/>
    <w:rsid w:val="003D359E"/>
    <w:rsid w:val="003D4E38"/>
    <w:rsid w:val="003D538A"/>
    <w:rsid w:val="003D5D02"/>
    <w:rsid w:val="003D6696"/>
    <w:rsid w:val="003D7385"/>
    <w:rsid w:val="003E248A"/>
    <w:rsid w:val="003E650B"/>
    <w:rsid w:val="003E7800"/>
    <w:rsid w:val="003F1D0A"/>
    <w:rsid w:val="003F2FD9"/>
    <w:rsid w:val="0040236E"/>
    <w:rsid w:val="00402540"/>
    <w:rsid w:val="00402DBC"/>
    <w:rsid w:val="00406F62"/>
    <w:rsid w:val="00407E21"/>
    <w:rsid w:val="00421074"/>
    <w:rsid w:val="004217AC"/>
    <w:rsid w:val="0042222D"/>
    <w:rsid w:val="0042242D"/>
    <w:rsid w:val="00425C9B"/>
    <w:rsid w:val="00431507"/>
    <w:rsid w:val="00432017"/>
    <w:rsid w:val="00433FD4"/>
    <w:rsid w:val="00443038"/>
    <w:rsid w:val="004441DF"/>
    <w:rsid w:val="00452613"/>
    <w:rsid w:val="00452B12"/>
    <w:rsid w:val="00457056"/>
    <w:rsid w:val="00476321"/>
    <w:rsid w:val="004814A0"/>
    <w:rsid w:val="00482376"/>
    <w:rsid w:val="00484085"/>
    <w:rsid w:val="004861B2"/>
    <w:rsid w:val="00487925"/>
    <w:rsid w:val="00487D96"/>
    <w:rsid w:val="00491A8E"/>
    <w:rsid w:val="00494EAA"/>
    <w:rsid w:val="004A0230"/>
    <w:rsid w:val="004A1F30"/>
    <w:rsid w:val="004A391D"/>
    <w:rsid w:val="004A478E"/>
    <w:rsid w:val="004B47A8"/>
    <w:rsid w:val="004B6850"/>
    <w:rsid w:val="004C2225"/>
    <w:rsid w:val="004C4F98"/>
    <w:rsid w:val="004D00E7"/>
    <w:rsid w:val="004E24A9"/>
    <w:rsid w:val="004E7FDB"/>
    <w:rsid w:val="004F0F73"/>
    <w:rsid w:val="004F5E75"/>
    <w:rsid w:val="004F7CB1"/>
    <w:rsid w:val="00501272"/>
    <w:rsid w:val="00501672"/>
    <w:rsid w:val="00501ED0"/>
    <w:rsid w:val="0050619E"/>
    <w:rsid w:val="00511F52"/>
    <w:rsid w:val="005154AC"/>
    <w:rsid w:val="0051791B"/>
    <w:rsid w:val="00520DC5"/>
    <w:rsid w:val="00525CC4"/>
    <w:rsid w:val="005303D6"/>
    <w:rsid w:val="00531418"/>
    <w:rsid w:val="005329C3"/>
    <w:rsid w:val="005357B7"/>
    <w:rsid w:val="0053601E"/>
    <w:rsid w:val="00536369"/>
    <w:rsid w:val="00541399"/>
    <w:rsid w:val="0054621F"/>
    <w:rsid w:val="0055036A"/>
    <w:rsid w:val="005644C1"/>
    <w:rsid w:val="00564C0A"/>
    <w:rsid w:val="0056514E"/>
    <w:rsid w:val="00567CA1"/>
    <w:rsid w:val="00574640"/>
    <w:rsid w:val="005844C2"/>
    <w:rsid w:val="00594872"/>
    <w:rsid w:val="00594C5B"/>
    <w:rsid w:val="00597E20"/>
    <w:rsid w:val="005A01D3"/>
    <w:rsid w:val="005A44FE"/>
    <w:rsid w:val="005A56ED"/>
    <w:rsid w:val="005B7214"/>
    <w:rsid w:val="005C415D"/>
    <w:rsid w:val="005D138C"/>
    <w:rsid w:val="005D56E8"/>
    <w:rsid w:val="005D7B29"/>
    <w:rsid w:val="005E3158"/>
    <w:rsid w:val="005E47BA"/>
    <w:rsid w:val="005E4CF9"/>
    <w:rsid w:val="005E78F8"/>
    <w:rsid w:val="005F2F0E"/>
    <w:rsid w:val="005F6518"/>
    <w:rsid w:val="005F7F09"/>
    <w:rsid w:val="0060213F"/>
    <w:rsid w:val="006053EC"/>
    <w:rsid w:val="00607385"/>
    <w:rsid w:val="00610BD2"/>
    <w:rsid w:val="0061107D"/>
    <w:rsid w:val="00613293"/>
    <w:rsid w:val="00613A0A"/>
    <w:rsid w:val="00615B19"/>
    <w:rsid w:val="0061675F"/>
    <w:rsid w:val="006367D6"/>
    <w:rsid w:val="00637254"/>
    <w:rsid w:val="00645B6B"/>
    <w:rsid w:val="00646DAE"/>
    <w:rsid w:val="006550B4"/>
    <w:rsid w:val="00655400"/>
    <w:rsid w:val="00657C57"/>
    <w:rsid w:val="00663C9E"/>
    <w:rsid w:val="00670F03"/>
    <w:rsid w:val="0068034C"/>
    <w:rsid w:val="00684DE5"/>
    <w:rsid w:val="006A0711"/>
    <w:rsid w:val="006A168A"/>
    <w:rsid w:val="006A560F"/>
    <w:rsid w:val="006B0823"/>
    <w:rsid w:val="006B08A2"/>
    <w:rsid w:val="006B1D1A"/>
    <w:rsid w:val="006C0D4E"/>
    <w:rsid w:val="006C2B4D"/>
    <w:rsid w:val="006C302A"/>
    <w:rsid w:val="006C3F32"/>
    <w:rsid w:val="006C5081"/>
    <w:rsid w:val="006C6D0A"/>
    <w:rsid w:val="006D345D"/>
    <w:rsid w:val="006E0C10"/>
    <w:rsid w:val="006E363B"/>
    <w:rsid w:val="006E7CB1"/>
    <w:rsid w:val="006E7D5B"/>
    <w:rsid w:val="006F534E"/>
    <w:rsid w:val="006F5640"/>
    <w:rsid w:val="00702846"/>
    <w:rsid w:val="00703BA8"/>
    <w:rsid w:val="00703F15"/>
    <w:rsid w:val="00707ABD"/>
    <w:rsid w:val="007125B8"/>
    <w:rsid w:val="0071302F"/>
    <w:rsid w:val="00713A9B"/>
    <w:rsid w:val="00717109"/>
    <w:rsid w:val="0072622E"/>
    <w:rsid w:val="007312D0"/>
    <w:rsid w:val="007361D7"/>
    <w:rsid w:val="007415FD"/>
    <w:rsid w:val="0074617C"/>
    <w:rsid w:val="00751195"/>
    <w:rsid w:val="0075125A"/>
    <w:rsid w:val="0075341A"/>
    <w:rsid w:val="00753ADE"/>
    <w:rsid w:val="00754573"/>
    <w:rsid w:val="00754C7A"/>
    <w:rsid w:val="00756FB9"/>
    <w:rsid w:val="00760E9C"/>
    <w:rsid w:val="007632D8"/>
    <w:rsid w:val="00765D78"/>
    <w:rsid w:val="0077271E"/>
    <w:rsid w:val="00775E97"/>
    <w:rsid w:val="0077702B"/>
    <w:rsid w:val="007842CF"/>
    <w:rsid w:val="0078684B"/>
    <w:rsid w:val="00790D56"/>
    <w:rsid w:val="00791AE5"/>
    <w:rsid w:val="00791CA1"/>
    <w:rsid w:val="007A2121"/>
    <w:rsid w:val="007A2E1B"/>
    <w:rsid w:val="007B4F17"/>
    <w:rsid w:val="007B7CFC"/>
    <w:rsid w:val="007C2278"/>
    <w:rsid w:val="007D5E45"/>
    <w:rsid w:val="007D686A"/>
    <w:rsid w:val="007E6BBC"/>
    <w:rsid w:val="008073A1"/>
    <w:rsid w:val="00807631"/>
    <w:rsid w:val="00822834"/>
    <w:rsid w:val="00831654"/>
    <w:rsid w:val="00831DA7"/>
    <w:rsid w:val="00833A6B"/>
    <w:rsid w:val="008362C1"/>
    <w:rsid w:val="00841C97"/>
    <w:rsid w:val="0084368A"/>
    <w:rsid w:val="00845E04"/>
    <w:rsid w:val="0085130A"/>
    <w:rsid w:val="0086012C"/>
    <w:rsid w:val="008601B5"/>
    <w:rsid w:val="00862AE8"/>
    <w:rsid w:val="00862F3D"/>
    <w:rsid w:val="00873FCE"/>
    <w:rsid w:val="00874BAC"/>
    <w:rsid w:val="008831C6"/>
    <w:rsid w:val="00883E83"/>
    <w:rsid w:val="008866AE"/>
    <w:rsid w:val="00890210"/>
    <w:rsid w:val="00892095"/>
    <w:rsid w:val="0089388F"/>
    <w:rsid w:val="008939AE"/>
    <w:rsid w:val="00895F6C"/>
    <w:rsid w:val="008A2276"/>
    <w:rsid w:val="008A4C4A"/>
    <w:rsid w:val="008A764B"/>
    <w:rsid w:val="008B6EE9"/>
    <w:rsid w:val="008B6EEB"/>
    <w:rsid w:val="008C05A7"/>
    <w:rsid w:val="008C10F1"/>
    <w:rsid w:val="008C703A"/>
    <w:rsid w:val="008D1C8E"/>
    <w:rsid w:val="008D3251"/>
    <w:rsid w:val="008D5FD0"/>
    <w:rsid w:val="008E161D"/>
    <w:rsid w:val="008E59F2"/>
    <w:rsid w:val="008E7577"/>
    <w:rsid w:val="008E7CA9"/>
    <w:rsid w:val="008F11F2"/>
    <w:rsid w:val="008F5167"/>
    <w:rsid w:val="008F7712"/>
    <w:rsid w:val="0090620B"/>
    <w:rsid w:val="00910AA0"/>
    <w:rsid w:val="00915A41"/>
    <w:rsid w:val="00916C1E"/>
    <w:rsid w:val="00927E4A"/>
    <w:rsid w:val="00932EBC"/>
    <w:rsid w:val="0093317B"/>
    <w:rsid w:val="0093372B"/>
    <w:rsid w:val="009425C6"/>
    <w:rsid w:val="0094378A"/>
    <w:rsid w:val="00943C12"/>
    <w:rsid w:val="00950B6A"/>
    <w:rsid w:val="00951836"/>
    <w:rsid w:val="00954AFA"/>
    <w:rsid w:val="009556BC"/>
    <w:rsid w:val="00956611"/>
    <w:rsid w:val="00957071"/>
    <w:rsid w:val="0096081C"/>
    <w:rsid w:val="009752DC"/>
    <w:rsid w:val="00975E65"/>
    <w:rsid w:val="00975FB6"/>
    <w:rsid w:val="00976FC8"/>
    <w:rsid w:val="009778E6"/>
    <w:rsid w:val="009823C3"/>
    <w:rsid w:val="00992D66"/>
    <w:rsid w:val="009947CF"/>
    <w:rsid w:val="00996005"/>
    <w:rsid w:val="009A2579"/>
    <w:rsid w:val="009A2DA3"/>
    <w:rsid w:val="009A34BC"/>
    <w:rsid w:val="009A52BC"/>
    <w:rsid w:val="009B1030"/>
    <w:rsid w:val="009B1248"/>
    <w:rsid w:val="009B539D"/>
    <w:rsid w:val="009B560D"/>
    <w:rsid w:val="009B686D"/>
    <w:rsid w:val="009C0B72"/>
    <w:rsid w:val="009C280D"/>
    <w:rsid w:val="009C377D"/>
    <w:rsid w:val="009D129B"/>
    <w:rsid w:val="009D1D72"/>
    <w:rsid w:val="009D2B24"/>
    <w:rsid w:val="009D400D"/>
    <w:rsid w:val="009D4E6F"/>
    <w:rsid w:val="009D5515"/>
    <w:rsid w:val="009E1FCA"/>
    <w:rsid w:val="009E491F"/>
    <w:rsid w:val="009E613C"/>
    <w:rsid w:val="009F291C"/>
    <w:rsid w:val="009F700F"/>
    <w:rsid w:val="00A02A0E"/>
    <w:rsid w:val="00A02C0A"/>
    <w:rsid w:val="00A07D8D"/>
    <w:rsid w:val="00A11F25"/>
    <w:rsid w:val="00A13F92"/>
    <w:rsid w:val="00A16BFC"/>
    <w:rsid w:val="00A246AD"/>
    <w:rsid w:val="00A32EC3"/>
    <w:rsid w:val="00A35789"/>
    <w:rsid w:val="00A43CF5"/>
    <w:rsid w:val="00A43F42"/>
    <w:rsid w:val="00A46388"/>
    <w:rsid w:val="00A51070"/>
    <w:rsid w:val="00A5481C"/>
    <w:rsid w:val="00A64797"/>
    <w:rsid w:val="00A65BC7"/>
    <w:rsid w:val="00A65F6A"/>
    <w:rsid w:val="00A710B4"/>
    <w:rsid w:val="00A724C2"/>
    <w:rsid w:val="00A81F7B"/>
    <w:rsid w:val="00A820C6"/>
    <w:rsid w:val="00A82E42"/>
    <w:rsid w:val="00A8333C"/>
    <w:rsid w:val="00A90C56"/>
    <w:rsid w:val="00A91A92"/>
    <w:rsid w:val="00A94843"/>
    <w:rsid w:val="00AA04BF"/>
    <w:rsid w:val="00AA5233"/>
    <w:rsid w:val="00AA5757"/>
    <w:rsid w:val="00AC1F69"/>
    <w:rsid w:val="00AC49FD"/>
    <w:rsid w:val="00AC5121"/>
    <w:rsid w:val="00AC7EC4"/>
    <w:rsid w:val="00AD275F"/>
    <w:rsid w:val="00AD4F66"/>
    <w:rsid w:val="00AD58A6"/>
    <w:rsid w:val="00AE199E"/>
    <w:rsid w:val="00AE2916"/>
    <w:rsid w:val="00AE70C7"/>
    <w:rsid w:val="00AF646C"/>
    <w:rsid w:val="00AF6476"/>
    <w:rsid w:val="00AF7E3F"/>
    <w:rsid w:val="00B01D35"/>
    <w:rsid w:val="00B01F69"/>
    <w:rsid w:val="00B025F2"/>
    <w:rsid w:val="00B02B9B"/>
    <w:rsid w:val="00B035AB"/>
    <w:rsid w:val="00B070D8"/>
    <w:rsid w:val="00B145EE"/>
    <w:rsid w:val="00B15817"/>
    <w:rsid w:val="00B26C38"/>
    <w:rsid w:val="00B27FC5"/>
    <w:rsid w:val="00B31C66"/>
    <w:rsid w:val="00B335A1"/>
    <w:rsid w:val="00B33C09"/>
    <w:rsid w:val="00B33F02"/>
    <w:rsid w:val="00B35674"/>
    <w:rsid w:val="00B36A87"/>
    <w:rsid w:val="00B3725B"/>
    <w:rsid w:val="00B402BF"/>
    <w:rsid w:val="00B41185"/>
    <w:rsid w:val="00B4448D"/>
    <w:rsid w:val="00B46E64"/>
    <w:rsid w:val="00B47D7B"/>
    <w:rsid w:val="00B50E60"/>
    <w:rsid w:val="00B544A9"/>
    <w:rsid w:val="00B63018"/>
    <w:rsid w:val="00B743C0"/>
    <w:rsid w:val="00B75AFF"/>
    <w:rsid w:val="00B7711A"/>
    <w:rsid w:val="00B86AB7"/>
    <w:rsid w:val="00B90019"/>
    <w:rsid w:val="00B90072"/>
    <w:rsid w:val="00B90863"/>
    <w:rsid w:val="00B95963"/>
    <w:rsid w:val="00B95A69"/>
    <w:rsid w:val="00BA1E10"/>
    <w:rsid w:val="00BA210B"/>
    <w:rsid w:val="00BA53E4"/>
    <w:rsid w:val="00BA77F3"/>
    <w:rsid w:val="00BB106B"/>
    <w:rsid w:val="00BB3237"/>
    <w:rsid w:val="00BB3767"/>
    <w:rsid w:val="00BB63FE"/>
    <w:rsid w:val="00BB67DB"/>
    <w:rsid w:val="00BC264E"/>
    <w:rsid w:val="00BC4F6F"/>
    <w:rsid w:val="00BC6118"/>
    <w:rsid w:val="00BD0B0F"/>
    <w:rsid w:val="00BD5AB0"/>
    <w:rsid w:val="00BD61F9"/>
    <w:rsid w:val="00BD6B09"/>
    <w:rsid w:val="00BE254F"/>
    <w:rsid w:val="00BE717A"/>
    <w:rsid w:val="00BE79FD"/>
    <w:rsid w:val="00BF21AB"/>
    <w:rsid w:val="00BF7FE0"/>
    <w:rsid w:val="00C02B3F"/>
    <w:rsid w:val="00C02F65"/>
    <w:rsid w:val="00C10E5E"/>
    <w:rsid w:val="00C11BED"/>
    <w:rsid w:val="00C144FD"/>
    <w:rsid w:val="00C15312"/>
    <w:rsid w:val="00C154C2"/>
    <w:rsid w:val="00C16870"/>
    <w:rsid w:val="00C20323"/>
    <w:rsid w:val="00C22ACB"/>
    <w:rsid w:val="00C3180D"/>
    <w:rsid w:val="00C31AFA"/>
    <w:rsid w:val="00C42878"/>
    <w:rsid w:val="00C45FC0"/>
    <w:rsid w:val="00C50974"/>
    <w:rsid w:val="00C55974"/>
    <w:rsid w:val="00C55E46"/>
    <w:rsid w:val="00C635E9"/>
    <w:rsid w:val="00C713EB"/>
    <w:rsid w:val="00C75256"/>
    <w:rsid w:val="00C7658A"/>
    <w:rsid w:val="00C81D57"/>
    <w:rsid w:val="00C902E0"/>
    <w:rsid w:val="00C911FA"/>
    <w:rsid w:val="00C942F5"/>
    <w:rsid w:val="00CA0B41"/>
    <w:rsid w:val="00CA29C1"/>
    <w:rsid w:val="00CA64C0"/>
    <w:rsid w:val="00CB5CEB"/>
    <w:rsid w:val="00CB7140"/>
    <w:rsid w:val="00CD0D13"/>
    <w:rsid w:val="00CD4897"/>
    <w:rsid w:val="00CD4C72"/>
    <w:rsid w:val="00CE66C8"/>
    <w:rsid w:val="00CF3C9F"/>
    <w:rsid w:val="00CF4DBC"/>
    <w:rsid w:val="00CF782A"/>
    <w:rsid w:val="00D03E7C"/>
    <w:rsid w:val="00D0407C"/>
    <w:rsid w:val="00D0417D"/>
    <w:rsid w:val="00D04F92"/>
    <w:rsid w:val="00D12EB4"/>
    <w:rsid w:val="00D1384A"/>
    <w:rsid w:val="00D13F72"/>
    <w:rsid w:val="00D1480C"/>
    <w:rsid w:val="00D16CA5"/>
    <w:rsid w:val="00D16DF1"/>
    <w:rsid w:val="00D22780"/>
    <w:rsid w:val="00D341B3"/>
    <w:rsid w:val="00D51E57"/>
    <w:rsid w:val="00D622BA"/>
    <w:rsid w:val="00D6352D"/>
    <w:rsid w:val="00D66734"/>
    <w:rsid w:val="00D667CA"/>
    <w:rsid w:val="00D71F03"/>
    <w:rsid w:val="00D7654D"/>
    <w:rsid w:val="00D84AA4"/>
    <w:rsid w:val="00D85658"/>
    <w:rsid w:val="00D85D46"/>
    <w:rsid w:val="00D87822"/>
    <w:rsid w:val="00D91792"/>
    <w:rsid w:val="00D931C5"/>
    <w:rsid w:val="00DA686D"/>
    <w:rsid w:val="00DB2A14"/>
    <w:rsid w:val="00DB7D65"/>
    <w:rsid w:val="00DC0A02"/>
    <w:rsid w:val="00DC16F8"/>
    <w:rsid w:val="00DC4545"/>
    <w:rsid w:val="00DC4A6F"/>
    <w:rsid w:val="00DC5A9E"/>
    <w:rsid w:val="00DC65F1"/>
    <w:rsid w:val="00DD6305"/>
    <w:rsid w:val="00DD6605"/>
    <w:rsid w:val="00DE0581"/>
    <w:rsid w:val="00DE1A6D"/>
    <w:rsid w:val="00DE1B09"/>
    <w:rsid w:val="00DE480E"/>
    <w:rsid w:val="00DF6D78"/>
    <w:rsid w:val="00DF7664"/>
    <w:rsid w:val="00E1175F"/>
    <w:rsid w:val="00E1407B"/>
    <w:rsid w:val="00E165C2"/>
    <w:rsid w:val="00E201C5"/>
    <w:rsid w:val="00E20FF2"/>
    <w:rsid w:val="00E217BF"/>
    <w:rsid w:val="00E265D3"/>
    <w:rsid w:val="00E32989"/>
    <w:rsid w:val="00E32C6C"/>
    <w:rsid w:val="00E35301"/>
    <w:rsid w:val="00E376FD"/>
    <w:rsid w:val="00E42654"/>
    <w:rsid w:val="00E43B62"/>
    <w:rsid w:val="00E51756"/>
    <w:rsid w:val="00E53D55"/>
    <w:rsid w:val="00E57E20"/>
    <w:rsid w:val="00E6051D"/>
    <w:rsid w:val="00E606F1"/>
    <w:rsid w:val="00E654E7"/>
    <w:rsid w:val="00E65E09"/>
    <w:rsid w:val="00E713BD"/>
    <w:rsid w:val="00E82B42"/>
    <w:rsid w:val="00E866BD"/>
    <w:rsid w:val="00E93B40"/>
    <w:rsid w:val="00E953DC"/>
    <w:rsid w:val="00EA0D1A"/>
    <w:rsid w:val="00EA4212"/>
    <w:rsid w:val="00EA47EF"/>
    <w:rsid w:val="00EB0FA0"/>
    <w:rsid w:val="00EB14B7"/>
    <w:rsid w:val="00EB4344"/>
    <w:rsid w:val="00EC0712"/>
    <w:rsid w:val="00EC14F2"/>
    <w:rsid w:val="00EC31BA"/>
    <w:rsid w:val="00EC4804"/>
    <w:rsid w:val="00EC7ECA"/>
    <w:rsid w:val="00ED3563"/>
    <w:rsid w:val="00ED4166"/>
    <w:rsid w:val="00ED48DA"/>
    <w:rsid w:val="00ED6ED7"/>
    <w:rsid w:val="00ED77EE"/>
    <w:rsid w:val="00ED7D3F"/>
    <w:rsid w:val="00EE33A4"/>
    <w:rsid w:val="00EE464D"/>
    <w:rsid w:val="00EF1E8F"/>
    <w:rsid w:val="00EF2597"/>
    <w:rsid w:val="00EF5434"/>
    <w:rsid w:val="00F00BFA"/>
    <w:rsid w:val="00F034F3"/>
    <w:rsid w:val="00F036F6"/>
    <w:rsid w:val="00F0438B"/>
    <w:rsid w:val="00F12B87"/>
    <w:rsid w:val="00F12D67"/>
    <w:rsid w:val="00F144E1"/>
    <w:rsid w:val="00F17598"/>
    <w:rsid w:val="00F17E4A"/>
    <w:rsid w:val="00F20629"/>
    <w:rsid w:val="00F31EA8"/>
    <w:rsid w:val="00F33613"/>
    <w:rsid w:val="00F33FF7"/>
    <w:rsid w:val="00F345BD"/>
    <w:rsid w:val="00F356D3"/>
    <w:rsid w:val="00F356EB"/>
    <w:rsid w:val="00F400EE"/>
    <w:rsid w:val="00F4020C"/>
    <w:rsid w:val="00F415C5"/>
    <w:rsid w:val="00F43E63"/>
    <w:rsid w:val="00F44CC9"/>
    <w:rsid w:val="00F4567C"/>
    <w:rsid w:val="00F521A3"/>
    <w:rsid w:val="00F60842"/>
    <w:rsid w:val="00F62E31"/>
    <w:rsid w:val="00F71DA0"/>
    <w:rsid w:val="00F731AE"/>
    <w:rsid w:val="00F74969"/>
    <w:rsid w:val="00F77043"/>
    <w:rsid w:val="00F91D6B"/>
    <w:rsid w:val="00F97A36"/>
    <w:rsid w:val="00FA028A"/>
    <w:rsid w:val="00FA19F0"/>
    <w:rsid w:val="00FA632E"/>
    <w:rsid w:val="00FA64EC"/>
    <w:rsid w:val="00FA7A93"/>
    <w:rsid w:val="00FC0223"/>
    <w:rsid w:val="00FC344F"/>
    <w:rsid w:val="00FC6BAD"/>
    <w:rsid w:val="00FD3052"/>
    <w:rsid w:val="00FD508E"/>
    <w:rsid w:val="00FD574A"/>
    <w:rsid w:val="00FD6EF3"/>
    <w:rsid w:val="00FE4227"/>
    <w:rsid w:val="00FE6FCB"/>
    <w:rsid w:val="00FF0212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0C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qFormat/>
    <w:rsid w:val="000F1E95"/>
    <w:pPr>
      <w:tabs>
        <w:tab w:val="left" w:pos="680"/>
        <w:tab w:val="left" w:pos="907"/>
        <w:tab w:val="num" w:pos="7047"/>
      </w:tabs>
      <w:spacing w:before="240" w:after="60" w:line="240" w:lineRule="auto"/>
      <w:ind w:left="7047" w:hanging="180"/>
      <w:jc w:val="both"/>
      <w:outlineLvl w:val="8"/>
    </w:pPr>
    <w:rPr>
      <w:rFonts w:ascii="Arial" w:eastAsia="Times New Roman" w:hAnsi="Arial"/>
      <w:b/>
      <w:i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80C"/>
    <w:pPr>
      <w:ind w:left="720"/>
      <w:contextualSpacing/>
    </w:pPr>
  </w:style>
  <w:style w:type="character" w:styleId="Hipervnculo">
    <w:name w:val="Hyperlink"/>
    <w:uiPriority w:val="99"/>
    <w:unhideWhenUsed/>
    <w:rsid w:val="00D1480C"/>
    <w:rPr>
      <w:color w:val="0000FF"/>
      <w:u w:val="single"/>
    </w:rPr>
  </w:style>
  <w:style w:type="paragraph" w:customStyle="1" w:styleId="NormalArial">
    <w:name w:val="Normal +  Arial"/>
    <w:aliases w:val="11 pt,Negrita,Justificado,Primera línea:  1.25 cm"/>
    <w:basedOn w:val="Normal"/>
    <w:rsid w:val="00D1480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3"/>
      <w:szCs w:val="23"/>
      <w:lang w:val="es-ES" w:eastAsia="es-ES"/>
    </w:rPr>
  </w:style>
  <w:style w:type="paragraph" w:styleId="Sinespaciado">
    <w:name w:val="No Spacing"/>
    <w:link w:val="SinespaciadoCar"/>
    <w:uiPriority w:val="1"/>
    <w:qFormat/>
    <w:rsid w:val="00645B6B"/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D1D7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65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D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65D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D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5D78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locked/>
    <w:rsid w:val="000B4875"/>
    <w:rPr>
      <w:rFonts w:eastAsia="Times New Roman"/>
      <w:lang w:eastAsia="es-PE" w:bidi="ar-SA"/>
    </w:rPr>
  </w:style>
  <w:style w:type="table" w:styleId="Tablaconcuadrcula">
    <w:name w:val="Table Grid"/>
    <w:basedOn w:val="Tablanormal"/>
    <w:uiPriority w:val="59"/>
    <w:rsid w:val="00DE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rsid w:val="000F1E95"/>
    <w:rPr>
      <w:rFonts w:ascii="Arial" w:eastAsia="Times New Roman" w:hAnsi="Arial"/>
      <w:b/>
      <w:i/>
      <w:sz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F1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Sangra2detindependiente">
    <w:name w:val="Body Text Indent 2"/>
    <w:basedOn w:val="Normal"/>
    <w:link w:val="Sangra2detindependienteCar"/>
    <w:semiHidden/>
    <w:rsid w:val="000F1E95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0F1E95"/>
    <w:rPr>
      <w:rFonts w:ascii="Arial" w:eastAsia="Times New Roman" w:hAnsi="Arial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5029F-57C1-46FB-92C6-97397BF4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prueba</cp:lastModifiedBy>
  <cp:revision>2</cp:revision>
  <cp:lastPrinted>2017-03-15T14:43:00Z</cp:lastPrinted>
  <dcterms:created xsi:type="dcterms:W3CDTF">2017-07-07T21:09:00Z</dcterms:created>
  <dcterms:modified xsi:type="dcterms:W3CDTF">2017-07-07T21:09:00Z</dcterms:modified>
</cp:coreProperties>
</file>