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41C" w:rsidRPr="0051698C" w:rsidRDefault="0001741C" w:rsidP="001A4D12">
      <w:pPr>
        <w:pStyle w:val="Textoindependiente"/>
        <w:ind w:left="1416" w:hanging="1416"/>
        <w:jc w:val="center"/>
        <w:rPr>
          <w:rFonts w:ascii="Arial" w:hAnsi="Arial" w:cs="Arial"/>
          <w:b/>
        </w:rPr>
      </w:pPr>
      <w:r w:rsidRPr="0051698C">
        <w:rPr>
          <w:rFonts w:ascii="Arial" w:hAnsi="Arial" w:cs="Arial"/>
          <w:b/>
        </w:rPr>
        <w:t>N.°               -2019/SUNAT</w:t>
      </w:r>
    </w:p>
    <w:p w:rsidR="00B64941" w:rsidRPr="0051698C" w:rsidRDefault="00B64941" w:rsidP="00B64941">
      <w:pPr>
        <w:jc w:val="center"/>
        <w:rPr>
          <w:rFonts w:ascii="Arial" w:eastAsia="Times New Roman" w:hAnsi="Arial" w:cs="Arial"/>
          <w:b/>
          <w:bCs/>
          <w:color w:val="000000"/>
          <w:lang w:eastAsia="es-PE"/>
        </w:rPr>
      </w:pPr>
      <w:r w:rsidRPr="0051698C">
        <w:rPr>
          <w:rFonts w:ascii="Arial" w:eastAsia="Times New Roman" w:hAnsi="Arial" w:cs="Arial"/>
          <w:b/>
          <w:bCs/>
          <w:color w:val="000000"/>
          <w:lang w:eastAsia="es-PE"/>
        </w:rPr>
        <w:t xml:space="preserve">               </w:t>
      </w:r>
    </w:p>
    <w:p w:rsidR="00B64941" w:rsidRPr="0051698C" w:rsidRDefault="00851996" w:rsidP="00B64941">
      <w:pPr>
        <w:jc w:val="center"/>
        <w:rPr>
          <w:rFonts w:ascii="Arial" w:eastAsia="Times New Roman" w:hAnsi="Arial" w:cs="Arial"/>
          <w:b/>
          <w:bCs/>
          <w:color w:val="000000"/>
          <w:lang w:eastAsia="es-PE"/>
        </w:rPr>
      </w:pPr>
      <w:r w:rsidRPr="0051698C">
        <w:rPr>
          <w:rFonts w:ascii="Arial" w:eastAsia="Times New Roman" w:hAnsi="Arial" w:cs="Arial"/>
          <w:b/>
          <w:bCs/>
          <w:color w:val="000000"/>
          <w:lang w:eastAsia="es-PE"/>
        </w:rPr>
        <w:t>PROYECTO DE RESOLUCIÓN DE SUPERINTEN</w:t>
      </w:r>
      <w:r w:rsidR="00A8516C" w:rsidRPr="0051698C">
        <w:rPr>
          <w:rFonts w:ascii="Arial" w:eastAsia="Times New Roman" w:hAnsi="Arial" w:cs="Arial"/>
          <w:b/>
          <w:bCs/>
          <w:color w:val="000000"/>
          <w:lang w:eastAsia="es-PE"/>
        </w:rPr>
        <w:t>DEN</w:t>
      </w:r>
      <w:r w:rsidRPr="0051698C">
        <w:rPr>
          <w:rFonts w:ascii="Arial" w:eastAsia="Times New Roman" w:hAnsi="Arial" w:cs="Arial"/>
          <w:b/>
          <w:bCs/>
          <w:color w:val="000000"/>
          <w:lang w:eastAsia="es-PE"/>
        </w:rPr>
        <w:t xml:space="preserve">CIA QUE APRUEBA EL </w:t>
      </w:r>
      <w:r w:rsidR="00B64941" w:rsidRPr="0051698C">
        <w:rPr>
          <w:rFonts w:ascii="Arial" w:eastAsia="Times New Roman" w:hAnsi="Arial" w:cs="Arial"/>
          <w:b/>
          <w:bCs/>
          <w:color w:val="000000"/>
          <w:lang w:eastAsia="es-PE"/>
        </w:rPr>
        <w:t xml:space="preserve">NUEVO SISTEMA DE EMISIÓN ELECTRÓNICA </w:t>
      </w:r>
      <w:r w:rsidR="00536731" w:rsidRPr="0051698C">
        <w:rPr>
          <w:rFonts w:ascii="Arial" w:eastAsia="Times New Roman" w:hAnsi="Arial" w:cs="Arial"/>
          <w:b/>
          <w:bCs/>
          <w:color w:val="000000"/>
          <w:lang w:eastAsia="es-PE"/>
        </w:rPr>
        <w:t>PARA EMPRESAS SUPERVISADAS</w:t>
      </w:r>
      <w:r w:rsidR="00B64941" w:rsidRPr="0051698C">
        <w:rPr>
          <w:rFonts w:ascii="Arial" w:eastAsia="Times New Roman" w:hAnsi="Arial" w:cs="Arial"/>
          <w:b/>
          <w:bCs/>
          <w:color w:val="000000"/>
          <w:lang w:eastAsia="es-PE"/>
        </w:rPr>
        <w:t xml:space="preserve"> (</w:t>
      </w:r>
      <w:r w:rsidR="00533290" w:rsidRPr="0051698C">
        <w:rPr>
          <w:rFonts w:ascii="Arial" w:eastAsia="Times New Roman" w:hAnsi="Arial" w:cs="Arial"/>
          <w:b/>
          <w:bCs/>
          <w:color w:val="000000"/>
          <w:lang w:eastAsia="es-PE"/>
        </w:rPr>
        <w:t xml:space="preserve">SEE </w:t>
      </w:r>
      <w:r w:rsidR="00B219BC" w:rsidRPr="0051698C">
        <w:rPr>
          <w:rFonts w:ascii="Arial" w:eastAsia="Times New Roman" w:hAnsi="Arial" w:cs="Arial"/>
          <w:b/>
          <w:bCs/>
          <w:color w:val="000000"/>
          <w:lang w:eastAsia="es-PE"/>
        </w:rPr>
        <w:t>–</w:t>
      </w:r>
      <w:r w:rsidR="00533290" w:rsidRPr="0051698C">
        <w:rPr>
          <w:rFonts w:ascii="Arial" w:eastAsia="Times New Roman" w:hAnsi="Arial" w:cs="Arial"/>
          <w:b/>
          <w:bCs/>
          <w:color w:val="000000"/>
          <w:lang w:eastAsia="es-PE"/>
        </w:rPr>
        <w:t xml:space="preserve"> </w:t>
      </w:r>
      <w:r w:rsidR="00536731" w:rsidRPr="0051698C">
        <w:rPr>
          <w:rFonts w:ascii="Arial" w:eastAsia="Times New Roman" w:hAnsi="Arial" w:cs="Arial"/>
          <w:b/>
          <w:bCs/>
          <w:color w:val="000000"/>
          <w:lang w:eastAsia="es-PE"/>
        </w:rPr>
        <w:t>EMPRESAS SUPERVISADAS</w:t>
      </w:r>
      <w:r w:rsidR="00B64941" w:rsidRPr="0051698C">
        <w:rPr>
          <w:rFonts w:ascii="Arial" w:eastAsia="Times New Roman" w:hAnsi="Arial" w:cs="Arial"/>
          <w:b/>
          <w:bCs/>
          <w:color w:val="000000"/>
          <w:lang w:eastAsia="es-PE"/>
        </w:rPr>
        <w:t>)</w:t>
      </w:r>
      <w:r w:rsidR="00A53C27" w:rsidRPr="0051698C">
        <w:rPr>
          <w:rFonts w:ascii="Arial" w:eastAsia="Times New Roman" w:hAnsi="Arial" w:cs="Arial"/>
          <w:b/>
          <w:bCs/>
          <w:color w:val="000000"/>
          <w:lang w:eastAsia="es-PE"/>
        </w:rPr>
        <w:t>, MODIFICA LA NORMATIVA SOBRE EMISIÓN ELECTRÓNICA Y EL REGLAMENTO DE COMPROBANTES DE PAGO</w:t>
      </w:r>
    </w:p>
    <w:p w:rsidR="00B64941" w:rsidRPr="0051698C" w:rsidRDefault="00B64941" w:rsidP="00B64941">
      <w:pPr>
        <w:jc w:val="center"/>
        <w:rPr>
          <w:rFonts w:ascii="Arial" w:eastAsia="Times New Roman" w:hAnsi="Arial" w:cs="Arial"/>
          <w:b/>
          <w:bCs/>
          <w:color w:val="000000"/>
          <w:lang w:eastAsia="es-PE"/>
        </w:rPr>
      </w:pPr>
    </w:p>
    <w:p w:rsidR="00B64941" w:rsidRPr="0051698C" w:rsidRDefault="00B64941" w:rsidP="00B64941">
      <w:pPr>
        <w:jc w:val="both"/>
        <w:rPr>
          <w:rFonts w:ascii="Arial" w:hAnsi="Arial" w:cs="Arial"/>
          <w:color w:val="000000"/>
          <w:lang w:val="es-MX"/>
        </w:rPr>
      </w:pPr>
      <w:r w:rsidRPr="0051698C">
        <w:rPr>
          <w:rFonts w:ascii="Arial" w:hAnsi="Arial" w:cs="Arial"/>
          <w:color w:val="000000"/>
          <w:lang w:val="es-MX"/>
        </w:rPr>
        <w:t xml:space="preserve">Lima, </w:t>
      </w:r>
    </w:p>
    <w:p w:rsidR="00B64941" w:rsidRPr="0051698C" w:rsidRDefault="00B64941" w:rsidP="00B64941">
      <w:pPr>
        <w:jc w:val="both"/>
        <w:rPr>
          <w:rFonts w:ascii="Arial" w:hAnsi="Arial" w:cs="Arial"/>
          <w:color w:val="000000"/>
          <w:lang w:val="es-MX"/>
        </w:rPr>
      </w:pPr>
    </w:p>
    <w:p w:rsidR="00B64941" w:rsidRPr="0051698C" w:rsidRDefault="00B64941" w:rsidP="00B64941">
      <w:pPr>
        <w:jc w:val="both"/>
        <w:rPr>
          <w:rFonts w:ascii="Arial" w:hAnsi="Arial" w:cs="Arial"/>
          <w:b/>
          <w:color w:val="000000"/>
          <w:lang w:val="es-MX"/>
        </w:rPr>
      </w:pPr>
      <w:r w:rsidRPr="0051698C">
        <w:rPr>
          <w:rFonts w:ascii="Arial" w:hAnsi="Arial" w:cs="Arial"/>
          <w:b/>
          <w:color w:val="000000"/>
          <w:lang w:val="es-MX"/>
        </w:rPr>
        <w:t>CONSIDERANDO:</w:t>
      </w:r>
    </w:p>
    <w:p w:rsidR="00B64941" w:rsidRPr="0051698C" w:rsidRDefault="00B64941" w:rsidP="00B64941">
      <w:pPr>
        <w:jc w:val="both"/>
        <w:rPr>
          <w:rFonts w:ascii="Arial" w:hAnsi="Arial" w:cs="Arial"/>
          <w:color w:val="000000"/>
          <w:lang w:val="es-MX"/>
        </w:rPr>
      </w:pPr>
    </w:p>
    <w:p w:rsidR="00182046" w:rsidRPr="0051698C" w:rsidRDefault="00182046" w:rsidP="00182046">
      <w:pPr>
        <w:pStyle w:val="Sinespaciado"/>
        <w:jc w:val="both"/>
        <w:rPr>
          <w:rFonts w:ascii="Arial" w:hAnsi="Arial" w:cs="Arial"/>
        </w:rPr>
      </w:pPr>
      <w:bookmarkStart w:id="0" w:name="_Hlk16604720"/>
      <w:r w:rsidRPr="0051698C">
        <w:rPr>
          <w:rFonts w:ascii="Arial" w:hAnsi="Arial" w:cs="Arial"/>
        </w:rPr>
        <w:t>Que el inciso f) del artículo 2 del Reglamento de Comprobantes de Pago (RCP), aprobado por la Resolución de Superintendencia N.° 007-99/SUNAT y normas modificatorias, señala que solo se consideran comprobantes de pago, siempre que cumplan con lo en él requerido, entre otros, los documentos autorizados en el numeral 6 de su artículo 4;</w:t>
      </w:r>
    </w:p>
    <w:p w:rsidR="00182046" w:rsidRPr="0051698C" w:rsidRDefault="00182046" w:rsidP="00182046">
      <w:pPr>
        <w:pStyle w:val="Sinespaciado"/>
        <w:jc w:val="both"/>
        <w:rPr>
          <w:rFonts w:ascii="Arial" w:hAnsi="Arial" w:cs="Arial"/>
        </w:rPr>
      </w:pPr>
    </w:p>
    <w:p w:rsidR="00182046" w:rsidRPr="0051698C" w:rsidRDefault="00182046" w:rsidP="00182046">
      <w:pPr>
        <w:pStyle w:val="Sinespaciado"/>
        <w:jc w:val="both"/>
        <w:rPr>
          <w:rFonts w:ascii="Arial" w:hAnsi="Arial" w:cs="Arial"/>
        </w:rPr>
      </w:pPr>
      <w:r w:rsidRPr="0051698C">
        <w:rPr>
          <w:rFonts w:ascii="Arial" w:hAnsi="Arial" w:cs="Arial"/>
        </w:rPr>
        <w:t>Que el numeral 6 del artículo 4 del RCP señala como documentos autorizados, entre otros, a los recibos emitidos por los servicios públicos de suministro de energía eléctrica y agua, los servicios públicos de telecomunicaciones que se encuentren bajo el control del Ministerio de Transportes y Comunicaciones y del Organismo Supervisor de Inversión Privada en Telecomunicaciones (OSIPTEL) y el servicio público de distribución de gas natural por red de ductos, prestado por las empresas concesionarias de dicho servicio, a que se refiere el Reglamento de Distribución de Gas Natural por Red de Ductos, aprobado por Decreto Supremo N.° 042-99-EM y normas modificatorias;</w:t>
      </w:r>
    </w:p>
    <w:p w:rsidR="00182046" w:rsidRPr="0051698C" w:rsidRDefault="00182046" w:rsidP="00182046">
      <w:pPr>
        <w:pStyle w:val="Sinespaciado"/>
        <w:jc w:val="both"/>
        <w:rPr>
          <w:rFonts w:ascii="Arial" w:hAnsi="Arial" w:cs="Arial"/>
        </w:rPr>
      </w:pPr>
    </w:p>
    <w:p w:rsidR="00182046" w:rsidRPr="0051698C" w:rsidRDefault="00182046" w:rsidP="00182046">
      <w:pPr>
        <w:pStyle w:val="Sinespaciado"/>
        <w:jc w:val="both"/>
        <w:rPr>
          <w:rFonts w:ascii="Arial" w:hAnsi="Arial" w:cs="Arial"/>
        </w:rPr>
      </w:pPr>
      <w:r w:rsidRPr="0051698C">
        <w:rPr>
          <w:rFonts w:ascii="Arial" w:hAnsi="Arial" w:cs="Arial"/>
        </w:rPr>
        <w:t>Que la prestación de los servicios indicados en el considerando anterior es regulada por normativa especial y las empresas que los prestan están bajo la supervisión de organismos supervisores, siendo que dicha normativa establece información que debe ser consignada en los recibos mencionados (que se consideran documentos autorizados) y que no es relevante para fines tributarios. Además, en el caso de los servicios de telecomunicaciones, los recibos pueden incluir información que está bajo el ámbito de protección del secreto de las telecomunicaciones, por lo que las empresas que emiten esos recibos no pueden proporcionarlos, salvo que sean solicitados de conformidad con el artículo 62 del Código Tributario, cuyo último texto único ordenado fue aprobado por el Decreto Supremo N.° 133-2013-EF y normas modificatorias, o en los supuestos contemplados en la normativa especial;</w:t>
      </w:r>
    </w:p>
    <w:p w:rsidR="00182046" w:rsidRPr="0051698C" w:rsidRDefault="00182046" w:rsidP="00182046">
      <w:pPr>
        <w:pStyle w:val="Sinespaciado"/>
        <w:jc w:val="both"/>
        <w:rPr>
          <w:rFonts w:ascii="Arial" w:hAnsi="Arial" w:cs="Arial"/>
        </w:rPr>
      </w:pPr>
      <w:r w:rsidRPr="0051698C">
        <w:rPr>
          <w:rFonts w:ascii="Arial" w:hAnsi="Arial" w:cs="Arial"/>
        </w:rPr>
        <w:lastRenderedPageBreak/>
        <w:t>Que, como parte del proceso de implementación de mecanismos telemáticos para la emisión de comprobantes de pago, la Resolución de Superintendencia N.° 357-2015/SUNAT modificó la Resolución de Superintendencia N.° 300-2014/SUNAT y normas modificatorias, que crea el Sistema de Emisión Electrónica (SEE) y la Resolución de Superintendencia N.° 097-2012/SUNAT y normas modificatorias, que crea el Sistema de Emisión Electrónica desarrollado desde los sistemas del contribuyente (SEE – Del contribuyente) a efecto de regular el marco general para la emisión de los documentos autorizados electrónicos en el SEE y las normas específicas para la emisión en el SEE – Del contribuyente de los recibos por los servicios públicos de energía eléctrica, agua y telecomunicaciones antes aludidos, salvo cuando se trate del servicio telefónico, fijo o móvil o de servicios ofrecidos en forma empaquetada que consideren o no algún servicio telefónico en atención a la información protegida según el considerando anterior y toda vez que la emisión electrónica en el SEE – Del contribuyente de los citados recibos involucra su envío a la SUNAT;</w:t>
      </w:r>
    </w:p>
    <w:p w:rsidR="00182046" w:rsidRPr="0051698C" w:rsidRDefault="00182046" w:rsidP="00182046">
      <w:pPr>
        <w:pStyle w:val="Sinespaciado"/>
        <w:jc w:val="both"/>
        <w:rPr>
          <w:rFonts w:ascii="Arial" w:hAnsi="Arial" w:cs="Arial"/>
        </w:rPr>
      </w:pPr>
    </w:p>
    <w:p w:rsidR="00182046" w:rsidRPr="0051698C" w:rsidRDefault="00182046" w:rsidP="00182046">
      <w:pPr>
        <w:pStyle w:val="Sinespaciado"/>
        <w:jc w:val="both"/>
        <w:rPr>
          <w:rFonts w:ascii="Arial" w:hAnsi="Arial" w:cs="Arial"/>
        </w:rPr>
      </w:pPr>
      <w:r w:rsidRPr="0051698C">
        <w:rPr>
          <w:rFonts w:ascii="Arial" w:hAnsi="Arial" w:cs="Arial"/>
        </w:rPr>
        <w:t>Que, conforme a la normativa sobre emisión electrónica, las empresas que prestan los servicios públicos de energía eléctrica, agua y telecomunicaciones pueden incorporarse voluntariamente al SEE para emitir sus recibos por los citados servicios en los sistemas señalados en esa normativa;</w:t>
      </w:r>
    </w:p>
    <w:p w:rsidR="00182046" w:rsidRPr="0051698C" w:rsidRDefault="00182046" w:rsidP="00182046">
      <w:pPr>
        <w:pStyle w:val="Sinespaciado"/>
        <w:jc w:val="both"/>
        <w:rPr>
          <w:rFonts w:ascii="Arial" w:hAnsi="Arial" w:cs="Arial"/>
        </w:rPr>
      </w:pPr>
    </w:p>
    <w:p w:rsidR="00182046" w:rsidRPr="0051698C" w:rsidRDefault="00182046" w:rsidP="00182046">
      <w:pPr>
        <w:pStyle w:val="Sinespaciado"/>
        <w:jc w:val="both"/>
        <w:rPr>
          <w:rFonts w:ascii="Arial" w:hAnsi="Arial" w:cs="Arial"/>
        </w:rPr>
      </w:pPr>
      <w:r w:rsidRPr="0051698C">
        <w:rPr>
          <w:rFonts w:ascii="Arial" w:hAnsi="Arial" w:cs="Arial"/>
        </w:rPr>
        <w:t>Que, para continuar con la implementación de la emisión electrónica de comprobantes de pago, la Resolución de Superintendencia N.° 013-2019/SUNAT y normas modificatorias designa a partir del 1 de enero de 2020 como emisores electrónicos del SEE, entre otros, a las empresas concesionarias que prestan el servicio público de distribución de gas natural por red de ductos (indicado en el segundo considerando) y establece en qué sistemas -entre estos, el SEE – Del contribuyente- debe emitirse el documento autorizado electrónico por el citado servicio;</w:t>
      </w:r>
    </w:p>
    <w:p w:rsidR="00182046" w:rsidRPr="0051698C" w:rsidRDefault="00182046" w:rsidP="00182046">
      <w:pPr>
        <w:pStyle w:val="Sinespaciado"/>
        <w:jc w:val="both"/>
        <w:rPr>
          <w:rFonts w:ascii="Arial" w:hAnsi="Arial" w:cs="Arial"/>
        </w:rPr>
      </w:pPr>
    </w:p>
    <w:p w:rsidR="00182046" w:rsidRPr="0051698C" w:rsidRDefault="00182046" w:rsidP="00182046">
      <w:pPr>
        <w:pStyle w:val="Sinespaciado"/>
        <w:jc w:val="both"/>
        <w:rPr>
          <w:rFonts w:ascii="Arial" w:hAnsi="Arial" w:cs="Arial"/>
        </w:rPr>
      </w:pPr>
      <w:r w:rsidRPr="0051698C">
        <w:rPr>
          <w:rFonts w:ascii="Arial" w:hAnsi="Arial" w:cs="Arial"/>
        </w:rPr>
        <w:t>Que, como parte de la estrategia de masificación de la emisión de comprobantes de pago electrónicos y teniendo en cuenta que dicha forma de emisión permite obtener información para mejorar el control del incumplimiento tributario (por la vasta información que proporciona -prácticamente- en línea) se ha definido la necesidad de designar como emisores electrónicos en el SEE a las empresas que prestan los servicios públicos de energía eléctrica, agua y telecomunicaciones;</w:t>
      </w:r>
    </w:p>
    <w:p w:rsidR="00182046" w:rsidRPr="0051698C" w:rsidRDefault="00182046" w:rsidP="00182046">
      <w:pPr>
        <w:pStyle w:val="Sinespaciado"/>
        <w:jc w:val="both"/>
        <w:rPr>
          <w:rFonts w:ascii="Arial" w:hAnsi="Arial" w:cs="Arial"/>
        </w:rPr>
      </w:pPr>
    </w:p>
    <w:p w:rsidR="00182046" w:rsidRPr="0051698C" w:rsidRDefault="00182046" w:rsidP="00182046">
      <w:pPr>
        <w:pStyle w:val="Sinespaciado"/>
        <w:jc w:val="both"/>
        <w:rPr>
          <w:rFonts w:ascii="Arial" w:hAnsi="Arial" w:cs="Arial"/>
        </w:rPr>
      </w:pPr>
      <w:r w:rsidRPr="0051698C">
        <w:rPr>
          <w:rFonts w:ascii="Arial" w:hAnsi="Arial" w:cs="Arial"/>
        </w:rPr>
        <w:t xml:space="preserve">Que, en orden a lo indicado en el considerando anterior, también se ha evaluado la conveniencia de crear un nuevo comprobante de pago que se emita por los servicios públicos señalados y que solo contenga información relevante para fines tributarios, </w:t>
      </w:r>
      <w:r w:rsidRPr="0051698C">
        <w:rPr>
          <w:rFonts w:ascii="Arial" w:hAnsi="Arial" w:cs="Arial"/>
        </w:rPr>
        <w:lastRenderedPageBreak/>
        <w:t>que no incluye información bajo el ámbito de protección del secreto de las telecomunicaciones (por lo que no estaría limitado su envío a la SUNAT); así como aprobar un nuevo sistema de emisión electrónica a través del cual se emita ese nuevo comprobante de pago;</w:t>
      </w:r>
    </w:p>
    <w:p w:rsidR="00182046" w:rsidRPr="0051698C" w:rsidRDefault="00182046" w:rsidP="00182046">
      <w:pPr>
        <w:pStyle w:val="Sinespaciado"/>
        <w:jc w:val="both"/>
        <w:rPr>
          <w:rFonts w:ascii="Arial" w:hAnsi="Arial" w:cs="Arial"/>
        </w:rPr>
      </w:pPr>
    </w:p>
    <w:p w:rsidR="00182046" w:rsidRPr="0051698C" w:rsidRDefault="00182046" w:rsidP="00182046">
      <w:pPr>
        <w:pStyle w:val="Sinespaciado"/>
        <w:jc w:val="both"/>
        <w:rPr>
          <w:rFonts w:ascii="Arial" w:hAnsi="Arial" w:cs="Arial"/>
        </w:rPr>
      </w:pPr>
      <w:r w:rsidRPr="0051698C">
        <w:rPr>
          <w:rFonts w:ascii="Arial" w:hAnsi="Arial" w:cs="Arial"/>
        </w:rPr>
        <w:t>Que, además, se considera conveniente que dicho comprobante de pago también pueda emitirse a través del SEE – Del contribuyente para que las empresas puedan optar por el sistema al que mejor puedan adaptarse;</w:t>
      </w:r>
    </w:p>
    <w:p w:rsidR="00182046" w:rsidRPr="0051698C" w:rsidRDefault="00182046" w:rsidP="00182046">
      <w:pPr>
        <w:pStyle w:val="Sinespaciado"/>
        <w:jc w:val="both"/>
        <w:rPr>
          <w:rFonts w:ascii="Arial" w:hAnsi="Arial" w:cs="Arial"/>
        </w:rPr>
      </w:pPr>
    </w:p>
    <w:p w:rsidR="00B64941" w:rsidRPr="0051698C" w:rsidRDefault="00182046" w:rsidP="00182046">
      <w:pPr>
        <w:jc w:val="both"/>
        <w:rPr>
          <w:rFonts w:ascii="Arial" w:hAnsi="Arial" w:cs="Arial"/>
        </w:rPr>
      </w:pPr>
      <w:r w:rsidRPr="0051698C">
        <w:rPr>
          <w:rFonts w:ascii="Arial" w:hAnsi="Arial" w:cs="Arial"/>
        </w:rPr>
        <w:t xml:space="preserve">Que, en atención a lo indicado en los considerandos anteriores, debe modificarse el RCP y la normativa sobre emisión electrónica (Resoluciones de Superintendencia </w:t>
      </w:r>
      <w:proofErr w:type="spellStart"/>
      <w:r w:rsidRPr="0051698C">
        <w:rPr>
          <w:rFonts w:ascii="Arial" w:hAnsi="Arial" w:cs="Arial"/>
        </w:rPr>
        <w:t>N.</w:t>
      </w:r>
      <w:r w:rsidR="00E013EE" w:rsidRPr="0051698C">
        <w:rPr>
          <w:rFonts w:ascii="Arial" w:hAnsi="Arial" w:cs="Arial"/>
        </w:rPr>
        <w:t>°</w:t>
      </w:r>
      <w:r w:rsidR="00E013EE" w:rsidRPr="0051698C">
        <w:rPr>
          <w:rFonts w:ascii="Arial" w:hAnsi="Arial" w:cs="Arial"/>
          <w:vertAlign w:val="superscript"/>
        </w:rPr>
        <w:t>s</w:t>
      </w:r>
      <w:proofErr w:type="spellEnd"/>
      <w:r w:rsidRPr="0051698C">
        <w:rPr>
          <w:rFonts w:ascii="Arial" w:hAnsi="Arial" w:cs="Arial"/>
        </w:rPr>
        <w:t xml:space="preserve"> 097-2012/SUNAT, 300-2014/SUNAT, 117-2017/SUNAT, 013-2019/SUNAT y 114-2019/SUNAT);</w:t>
      </w:r>
    </w:p>
    <w:p w:rsidR="00182046" w:rsidRPr="0051698C" w:rsidRDefault="00182046" w:rsidP="00182046">
      <w:pPr>
        <w:jc w:val="both"/>
        <w:rPr>
          <w:rFonts w:ascii="Arial" w:hAnsi="Arial" w:cs="Arial"/>
          <w:i/>
          <w:color w:val="000000"/>
        </w:rPr>
      </w:pPr>
    </w:p>
    <w:p w:rsidR="00B64941" w:rsidRPr="0051698C" w:rsidRDefault="00B64941" w:rsidP="00B64941">
      <w:pPr>
        <w:jc w:val="both"/>
        <w:rPr>
          <w:rFonts w:ascii="Arial" w:hAnsi="Arial" w:cs="Arial"/>
          <w:color w:val="000000"/>
          <w:lang w:val="es-MX"/>
        </w:rPr>
      </w:pPr>
      <w:r w:rsidRPr="0051698C">
        <w:rPr>
          <w:rFonts w:ascii="Arial" w:hAnsi="Arial" w:cs="Arial"/>
          <w:color w:val="000000"/>
          <w:lang w:val="es-MX"/>
        </w:rPr>
        <w:t>En uso de las facultades conferidas por los artículos 2 y 3 del Decreto Ley N.° 25632 y normas modificatorias; el artículo 11 del Decreto Legislativo N.° 501, Ley General de la SUNAT</w:t>
      </w:r>
      <w:r w:rsidRPr="0051698C">
        <w:rPr>
          <w:rFonts w:ascii="Arial" w:hAnsi="Arial" w:cs="Arial"/>
        </w:rPr>
        <w:t xml:space="preserve"> </w:t>
      </w:r>
      <w:r w:rsidRPr="0051698C">
        <w:rPr>
          <w:rFonts w:ascii="Arial" w:hAnsi="Arial" w:cs="Arial"/>
          <w:color w:val="000000"/>
          <w:lang w:val="es-MX"/>
        </w:rPr>
        <w:t xml:space="preserve">y normas modificatorias; el artículo 5 de la Ley N.° 29816, </w:t>
      </w:r>
      <w:r w:rsidRPr="0051698C">
        <w:rPr>
          <w:rFonts w:ascii="Arial" w:hAnsi="Arial" w:cs="Arial"/>
          <w:lang w:val="es-MX"/>
        </w:rPr>
        <w:t>Ley de Fortalecimiento de la SUNAT</w:t>
      </w:r>
      <w:r w:rsidRPr="0051698C">
        <w:rPr>
          <w:rFonts w:ascii="Arial" w:hAnsi="Arial" w:cs="Arial"/>
          <w:color w:val="000000"/>
          <w:lang w:val="es-MX"/>
        </w:rPr>
        <w:t xml:space="preserve"> y normas modificatorias y el inciso o) del artículo 8 del Reglamento de Organización y Funciones de la SUNAT, aprobado por la Resolución de Superintendencia N.° 122-2014/SUNAT y normas modificatorias;</w:t>
      </w:r>
    </w:p>
    <w:bookmarkEnd w:id="0"/>
    <w:p w:rsidR="00B64941" w:rsidRPr="0051698C" w:rsidRDefault="00B64941" w:rsidP="00B64941">
      <w:pPr>
        <w:jc w:val="both"/>
        <w:rPr>
          <w:rFonts w:ascii="Arial" w:eastAsia="Times New Roman" w:hAnsi="Arial" w:cs="Arial"/>
          <w:b/>
          <w:bCs/>
          <w:color w:val="000000"/>
          <w:lang w:val="es-MX" w:eastAsia="es-PE"/>
        </w:rPr>
      </w:pPr>
    </w:p>
    <w:p w:rsidR="00B64941" w:rsidRPr="0051698C" w:rsidRDefault="00B64941" w:rsidP="00B64941">
      <w:pPr>
        <w:jc w:val="both"/>
        <w:rPr>
          <w:rFonts w:ascii="Arial" w:eastAsia="Times New Roman" w:hAnsi="Arial" w:cs="Arial"/>
          <w:b/>
          <w:bCs/>
          <w:color w:val="000000"/>
          <w:lang w:val="es-MX" w:eastAsia="es-PE"/>
        </w:rPr>
      </w:pPr>
      <w:r w:rsidRPr="0051698C">
        <w:rPr>
          <w:rFonts w:ascii="Arial" w:eastAsia="Times New Roman" w:hAnsi="Arial" w:cs="Arial"/>
          <w:b/>
          <w:bCs/>
          <w:color w:val="000000"/>
          <w:lang w:val="es-MX" w:eastAsia="es-PE"/>
        </w:rPr>
        <w:t>SE RESUELVE:</w:t>
      </w:r>
    </w:p>
    <w:p w:rsidR="00743CD6" w:rsidRPr="0051698C" w:rsidRDefault="00743CD6" w:rsidP="00B64941">
      <w:pPr>
        <w:jc w:val="center"/>
        <w:rPr>
          <w:rFonts w:ascii="Arial" w:eastAsia="Times New Roman" w:hAnsi="Arial" w:cs="Arial"/>
          <w:b/>
          <w:bCs/>
          <w:color w:val="000000"/>
          <w:lang w:eastAsia="es-PE"/>
        </w:rPr>
      </w:pPr>
    </w:p>
    <w:p w:rsidR="00BD67C3" w:rsidRPr="0051698C" w:rsidRDefault="00B64941" w:rsidP="00B64941">
      <w:pPr>
        <w:jc w:val="center"/>
        <w:rPr>
          <w:rFonts w:ascii="Arial" w:eastAsia="Times New Roman" w:hAnsi="Arial" w:cs="Arial"/>
          <w:b/>
          <w:bCs/>
          <w:color w:val="000000"/>
          <w:lang w:eastAsia="es-PE"/>
        </w:rPr>
      </w:pPr>
      <w:r w:rsidRPr="0051698C">
        <w:rPr>
          <w:rFonts w:ascii="Arial" w:eastAsia="Times New Roman" w:hAnsi="Arial" w:cs="Arial"/>
          <w:b/>
          <w:bCs/>
          <w:color w:val="000000"/>
          <w:lang w:eastAsia="es-PE"/>
        </w:rPr>
        <w:t>TÍTULO I</w:t>
      </w:r>
    </w:p>
    <w:p w:rsidR="00B64941" w:rsidRPr="0051698C" w:rsidRDefault="00B64941" w:rsidP="00B64941">
      <w:pPr>
        <w:jc w:val="center"/>
        <w:rPr>
          <w:rFonts w:ascii="Arial" w:eastAsia="Times New Roman" w:hAnsi="Arial" w:cs="Arial"/>
          <w:b/>
          <w:bCs/>
          <w:color w:val="000000"/>
          <w:lang w:eastAsia="es-PE"/>
        </w:rPr>
      </w:pPr>
      <w:r w:rsidRPr="0051698C">
        <w:rPr>
          <w:rFonts w:ascii="Arial" w:eastAsia="Times New Roman" w:hAnsi="Arial" w:cs="Arial"/>
          <w:b/>
          <w:bCs/>
          <w:color w:val="000000"/>
          <w:lang w:eastAsia="es-PE"/>
        </w:rPr>
        <w:t>DISPOSICIONES PRELIMINARES</w:t>
      </w:r>
    </w:p>
    <w:p w:rsidR="00B64941" w:rsidRPr="0051698C" w:rsidRDefault="00B64941" w:rsidP="00B64941">
      <w:pPr>
        <w:jc w:val="both"/>
        <w:rPr>
          <w:rFonts w:ascii="Arial" w:eastAsia="Times New Roman" w:hAnsi="Arial" w:cs="Arial"/>
          <w:b/>
          <w:bCs/>
          <w:color w:val="000000"/>
          <w:lang w:eastAsia="es-PE"/>
        </w:rPr>
      </w:pPr>
    </w:p>
    <w:p w:rsidR="00B64941" w:rsidRPr="0051698C" w:rsidRDefault="00B64941" w:rsidP="00B64941">
      <w:pPr>
        <w:jc w:val="both"/>
        <w:rPr>
          <w:rFonts w:ascii="Arial" w:eastAsia="Times New Roman" w:hAnsi="Arial" w:cs="Arial"/>
          <w:b/>
          <w:bCs/>
          <w:color w:val="000000"/>
          <w:lang w:eastAsia="es-PE"/>
        </w:rPr>
      </w:pPr>
      <w:r w:rsidRPr="0051698C">
        <w:rPr>
          <w:rFonts w:ascii="Arial" w:eastAsia="Times New Roman" w:hAnsi="Arial" w:cs="Arial"/>
          <w:b/>
          <w:bCs/>
          <w:color w:val="000000"/>
          <w:lang w:eastAsia="es-PE"/>
        </w:rPr>
        <w:t>Artículo 1. Definiciones</w:t>
      </w:r>
    </w:p>
    <w:p w:rsidR="00B64941" w:rsidRPr="0051698C" w:rsidRDefault="00B64941" w:rsidP="00B64941">
      <w:pPr>
        <w:jc w:val="both"/>
        <w:rPr>
          <w:rFonts w:ascii="Arial" w:eastAsia="Times New Roman" w:hAnsi="Arial" w:cs="Arial"/>
          <w:color w:val="000000"/>
          <w:lang w:eastAsia="es-PE"/>
        </w:rPr>
      </w:pPr>
    </w:p>
    <w:p w:rsidR="00B64941" w:rsidRPr="0051698C" w:rsidRDefault="00B64941" w:rsidP="00B64941">
      <w:pPr>
        <w:jc w:val="both"/>
        <w:rPr>
          <w:rFonts w:ascii="Arial" w:eastAsia="Times New Roman" w:hAnsi="Arial" w:cs="Arial"/>
          <w:color w:val="000000"/>
          <w:lang w:eastAsia="es-PE"/>
        </w:rPr>
      </w:pPr>
      <w:r w:rsidRPr="0051698C">
        <w:rPr>
          <w:rFonts w:ascii="Arial" w:eastAsia="Times New Roman" w:hAnsi="Arial" w:cs="Arial"/>
          <w:color w:val="000000"/>
          <w:lang w:eastAsia="es-PE"/>
        </w:rPr>
        <w:t>Para efecto de la presente resolución se entiende por:</w:t>
      </w:r>
    </w:p>
    <w:p w:rsidR="00E02B12" w:rsidRPr="0051698C" w:rsidRDefault="00E02B12" w:rsidP="00B64941">
      <w:pPr>
        <w:jc w:val="both"/>
        <w:rPr>
          <w:rFonts w:ascii="Arial" w:eastAsia="Times New Roman" w:hAnsi="Arial" w:cs="Arial"/>
          <w:color w:val="000000"/>
          <w:lang w:eastAsia="es-PE"/>
        </w:rPr>
      </w:pPr>
    </w:p>
    <w:tbl>
      <w:tblPr>
        <w:tblW w:w="8611" w:type="dxa"/>
        <w:tblCellSpacing w:w="0" w:type="dxa"/>
        <w:tblCellMar>
          <w:top w:w="15" w:type="dxa"/>
          <w:left w:w="15" w:type="dxa"/>
          <w:bottom w:w="15" w:type="dxa"/>
          <w:right w:w="15" w:type="dxa"/>
        </w:tblCellMar>
        <w:tblLook w:val="04A0" w:firstRow="1" w:lastRow="0" w:firstColumn="1" w:lastColumn="0" w:noHBand="0" w:noVBand="1"/>
      </w:tblPr>
      <w:tblGrid>
        <w:gridCol w:w="14"/>
        <w:gridCol w:w="555"/>
        <w:gridCol w:w="52"/>
        <w:gridCol w:w="2513"/>
        <w:gridCol w:w="283"/>
        <w:gridCol w:w="5194"/>
      </w:tblGrid>
      <w:tr w:rsidR="00B64941" w:rsidRPr="0051698C" w:rsidTr="006B662F">
        <w:trPr>
          <w:gridBefore w:val="1"/>
          <w:wBefore w:w="14" w:type="dxa"/>
          <w:trHeight w:val="1682"/>
          <w:tblCellSpacing w:w="0" w:type="dxa"/>
        </w:trPr>
        <w:tc>
          <w:tcPr>
            <w:tcW w:w="555" w:type="dxa"/>
            <w:hideMark/>
          </w:tcPr>
          <w:p w:rsidR="00B64941" w:rsidRPr="0051698C" w:rsidRDefault="00B64941" w:rsidP="00B40E8D">
            <w:pPr>
              <w:jc w:val="both"/>
              <w:rPr>
                <w:rFonts w:ascii="Arial" w:eastAsia="Times New Roman" w:hAnsi="Arial" w:cs="Arial"/>
                <w:color w:val="000000"/>
                <w:lang w:eastAsia="es-PE"/>
              </w:rPr>
            </w:pPr>
            <w:r w:rsidRPr="0051698C">
              <w:rPr>
                <w:rFonts w:ascii="Arial" w:eastAsia="Times New Roman" w:hAnsi="Arial" w:cs="Arial"/>
                <w:color w:val="000000"/>
                <w:lang w:eastAsia="es-PE"/>
              </w:rPr>
              <w:t>1.1</w:t>
            </w:r>
          </w:p>
        </w:tc>
        <w:tc>
          <w:tcPr>
            <w:tcW w:w="2565" w:type="dxa"/>
            <w:gridSpan w:val="2"/>
            <w:hideMark/>
          </w:tcPr>
          <w:p w:rsidR="00B64941" w:rsidRPr="0051698C" w:rsidRDefault="008A0548" w:rsidP="004E79FF">
            <w:pPr>
              <w:jc w:val="both"/>
              <w:rPr>
                <w:rFonts w:ascii="Arial" w:eastAsia="Times New Roman" w:hAnsi="Arial" w:cs="Arial"/>
                <w:color w:val="000000"/>
                <w:lang w:eastAsia="es-PE"/>
              </w:rPr>
            </w:pPr>
            <w:r w:rsidRPr="0051698C">
              <w:rPr>
                <w:rFonts w:ascii="Arial" w:eastAsia="Times New Roman" w:hAnsi="Arial" w:cs="Arial"/>
                <w:color w:val="000000"/>
                <w:lang w:eastAsia="es-PE"/>
              </w:rPr>
              <w:t xml:space="preserve">Aplicación </w:t>
            </w:r>
            <w:r w:rsidR="00533290" w:rsidRPr="0051698C">
              <w:rPr>
                <w:rFonts w:ascii="Arial" w:eastAsia="Times New Roman" w:hAnsi="Arial" w:cs="Arial"/>
                <w:color w:val="000000"/>
                <w:lang w:eastAsia="es-PE"/>
              </w:rPr>
              <w:t xml:space="preserve">SEE </w:t>
            </w:r>
            <w:r w:rsidR="004E79FF" w:rsidRPr="0051698C">
              <w:rPr>
                <w:rFonts w:ascii="Arial" w:eastAsia="Times New Roman" w:hAnsi="Arial" w:cs="Arial"/>
                <w:color w:val="000000"/>
                <w:lang w:eastAsia="es-PE"/>
              </w:rPr>
              <w:t>–</w:t>
            </w:r>
            <w:r w:rsidR="00533290" w:rsidRPr="0051698C">
              <w:rPr>
                <w:rFonts w:ascii="Arial" w:eastAsia="Times New Roman" w:hAnsi="Arial" w:cs="Arial"/>
                <w:color w:val="000000"/>
                <w:lang w:eastAsia="es-PE"/>
              </w:rPr>
              <w:t xml:space="preserve"> </w:t>
            </w:r>
            <w:r w:rsidR="00220AB1" w:rsidRPr="0051698C">
              <w:rPr>
                <w:rFonts w:ascii="Arial" w:eastAsia="Times New Roman" w:hAnsi="Arial" w:cs="Arial"/>
                <w:color w:val="000000"/>
                <w:lang w:eastAsia="es-PE"/>
              </w:rPr>
              <w:t>Empresas Supervisadas</w:t>
            </w:r>
          </w:p>
        </w:tc>
        <w:tc>
          <w:tcPr>
            <w:tcW w:w="283" w:type="dxa"/>
            <w:hideMark/>
          </w:tcPr>
          <w:p w:rsidR="00B64941" w:rsidRPr="0051698C" w:rsidRDefault="00B64941"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310250" w:rsidRPr="0051698C" w:rsidRDefault="008A0548" w:rsidP="00E013EE">
            <w:pPr>
              <w:jc w:val="both"/>
              <w:rPr>
                <w:rFonts w:ascii="Arial" w:eastAsia="Times New Roman" w:hAnsi="Arial" w:cs="Arial"/>
                <w:color w:val="000000"/>
                <w:lang w:eastAsia="es-PE"/>
              </w:rPr>
            </w:pPr>
            <w:r w:rsidRPr="0051698C">
              <w:rPr>
                <w:rFonts w:ascii="Arial" w:hAnsi="Arial" w:cs="Arial"/>
              </w:rPr>
              <w:t xml:space="preserve">A la aplicación informática que </w:t>
            </w:r>
            <w:r w:rsidR="00984A1E" w:rsidRPr="0051698C">
              <w:rPr>
                <w:rFonts w:ascii="Arial" w:hAnsi="Arial" w:cs="Arial"/>
              </w:rPr>
              <w:t xml:space="preserve">se </w:t>
            </w:r>
            <w:r w:rsidR="007A7EA9" w:rsidRPr="0051698C">
              <w:rPr>
                <w:rFonts w:ascii="Arial" w:hAnsi="Arial" w:cs="Arial"/>
              </w:rPr>
              <w:t xml:space="preserve">descarga de </w:t>
            </w:r>
            <w:r w:rsidR="001F7364" w:rsidRPr="0051698C">
              <w:rPr>
                <w:rFonts w:ascii="Arial" w:hAnsi="Arial" w:cs="Arial"/>
              </w:rPr>
              <w:t>SUNAT Virtual</w:t>
            </w:r>
            <w:r w:rsidR="007A7EA9" w:rsidRPr="0051698C">
              <w:rPr>
                <w:rFonts w:ascii="Arial" w:hAnsi="Arial" w:cs="Arial"/>
                <w:color w:val="000000"/>
                <w:shd w:val="clear" w:color="auto" w:fill="FFFFFF"/>
              </w:rPr>
              <w:t>, a través de la cual</w:t>
            </w:r>
            <w:r w:rsidRPr="0051698C">
              <w:rPr>
                <w:rFonts w:ascii="Arial" w:hAnsi="Arial" w:cs="Arial"/>
              </w:rPr>
              <w:t xml:space="preserve"> se remite</w:t>
            </w:r>
            <w:r w:rsidR="007A7EA9" w:rsidRPr="0051698C">
              <w:rPr>
                <w:rFonts w:ascii="Arial" w:hAnsi="Arial" w:cs="Arial"/>
              </w:rPr>
              <w:t xml:space="preserve"> a la SUNAT los </w:t>
            </w:r>
            <w:r w:rsidR="00C63335" w:rsidRPr="0051698C">
              <w:rPr>
                <w:rFonts w:ascii="Arial" w:hAnsi="Arial" w:cs="Arial"/>
              </w:rPr>
              <w:t xml:space="preserve">comprobantes de </w:t>
            </w:r>
            <w:proofErr w:type="gramStart"/>
            <w:r w:rsidR="00C63335" w:rsidRPr="0051698C">
              <w:rPr>
                <w:rFonts w:ascii="Arial" w:hAnsi="Arial" w:cs="Arial"/>
              </w:rPr>
              <w:t>pago electrónicos</w:t>
            </w:r>
            <w:r w:rsidR="00C603B3" w:rsidRPr="0051698C">
              <w:rPr>
                <w:rFonts w:ascii="Arial" w:hAnsi="Arial" w:cs="Arial"/>
              </w:rPr>
              <w:t xml:space="preserve"> y</w:t>
            </w:r>
            <w:r w:rsidR="00123478" w:rsidRPr="0051698C">
              <w:rPr>
                <w:rFonts w:ascii="Arial" w:hAnsi="Arial" w:cs="Arial"/>
              </w:rPr>
              <w:t xml:space="preserve"> las</w:t>
            </w:r>
            <w:r w:rsidR="007A7EA9" w:rsidRPr="0051698C">
              <w:rPr>
                <w:rFonts w:ascii="Arial" w:hAnsi="Arial" w:cs="Arial"/>
              </w:rPr>
              <w:t xml:space="preserve"> notas </w:t>
            </w:r>
            <w:r w:rsidR="00984A1E" w:rsidRPr="0051698C">
              <w:rPr>
                <w:rFonts w:ascii="Arial" w:hAnsi="Arial" w:cs="Arial"/>
              </w:rPr>
              <w:t>electrónicas</w:t>
            </w:r>
            <w:proofErr w:type="gramEnd"/>
            <w:r w:rsidR="00984A1E" w:rsidRPr="0051698C">
              <w:rPr>
                <w:rFonts w:ascii="Arial" w:hAnsi="Arial" w:cs="Arial"/>
              </w:rPr>
              <w:t xml:space="preserve"> </w:t>
            </w:r>
            <w:r w:rsidR="00787279" w:rsidRPr="0051698C">
              <w:rPr>
                <w:rFonts w:ascii="Arial" w:hAnsi="Arial" w:cs="Arial"/>
              </w:rPr>
              <w:t>emitidos</w:t>
            </w:r>
            <w:r w:rsidR="007A7EA9" w:rsidRPr="0051698C">
              <w:rPr>
                <w:rFonts w:ascii="Arial" w:hAnsi="Arial" w:cs="Arial"/>
              </w:rPr>
              <w:t xml:space="preserve"> </w:t>
            </w:r>
            <w:r w:rsidR="00310250" w:rsidRPr="0051698C">
              <w:rPr>
                <w:rFonts w:ascii="Arial" w:hAnsi="Arial" w:cs="Arial"/>
              </w:rPr>
              <w:t>según la presente resolución</w:t>
            </w:r>
            <w:r w:rsidRPr="0051698C">
              <w:rPr>
                <w:rFonts w:ascii="Arial" w:hAnsi="Arial" w:cs="Arial"/>
              </w:rPr>
              <w:t xml:space="preserve"> </w:t>
            </w:r>
            <w:r w:rsidR="007A7EA9" w:rsidRPr="0051698C">
              <w:rPr>
                <w:rFonts w:ascii="Arial" w:hAnsi="Arial" w:cs="Arial"/>
              </w:rPr>
              <w:t xml:space="preserve">y se </w:t>
            </w:r>
            <w:r w:rsidR="002267BA" w:rsidRPr="0051698C">
              <w:rPr>
                <w:rFonts w:ascii="Arial" w:hAnsi="Arial" w:cs="Arial"/>
              </w:rPr>
              <w:t>presenta</w:t>
            </w:r>
            <w:r w:rsidR="00310250" w:rsidRPr="0051698C">
              <w:rPr>
                <w:rFonts w:ascii="Arial" w:hAnsi="Arial" w:cs="Arial"/>
              </w:rPr>
              <w:t xml:space="preserve"> la comunicación de baja.</w:t>
            </w:r>
          </w:p>
        </w:tc>
      </w:tr>
      <w:tr w:rsidR="00CD4ECC" w:rsidRPr="0051698C" w:rsidTr="009A4FC4">
        <w:trPr>
          <w:gridBefore w:val="1"/>
          <w:wBefore w:w="14" w:type="dxa"/>
          <w:tblCellSpacing w:w="0" w:type="dxa"/>
        </w:trPr>
        <w:tc>
          <w:tcPr>
            <w:tcW w:w="555" w:type="dxa"/>
            <w:hideMark/>
          </w:tcPr>
          <w:p w:rsidR="00CD4ECC" w:rsidRPr="0051698C" w:rsidRDefault="001B3BDD" w:rsidP="00D3176A">
            <w:pPr>
              <w:jc w:val="both"/>
              <w:rPr>
                <w:rFonts w:ascii="Arial" w:eastAsia="Times New Roman" w:hAnsi="Arial" w:cs="Arial"/>
                <w:color w:val="000000"/>
                <w:lang w:eastAsia="es-PE"/>
              </w:rPr>
            </w:pPr>
            <w:r w:rsidRPr="0051698C">
              <w:rPr>
                <w:rFonts w:ascii="Arial" w:eastAsia="Times New Roman" w:hAnsi="Arial" w:cs="Arial"/>
                <w:color w:val="000000"/>
                <w:lang w:eastAsia="es-PE"/>
              </w:rPr>
              <w:t>1.2</w:t>
            </w:r>
          </w:p>
        </w:tc>
        <w:tc>
          <w:tcPr>
            <w:tcW w:w="2565" w:type="dxa"/>
            <w:gridSpan w:val="2"/>
            <w:hideMark/>
          </w:tcPr>
          <w:p w:rsidR="00CD4ECC" w:rsidRPr="0051698C" w:rsidRDefault="00CD4ECC" w:rsidP="00242885">
            <w:pPr>
              <w:jc w:val="both"/>
              <w:rPr>
                <w:rFonts w:ascii="Arial" w:eastAsia="Times New Roman" w:hAnsi="Arial" w:cs="Arial"/>
                <w:color w:val="000000"/>
                <w:lang w:eastAsia="es-PE"/>
              </w:rPr>
            </w:pPr>
            <w:r w:rsidRPr="0051698C">
              <w:rPr>
                <w:rFonts w:ascii="Arial" w:eastAsia="Times New Roman" w:hAnsi="Arial" w:cs="Arial"/>
                <w:color w:val="000000"/>
                <w:lang w:eastAsia="es-PE"/>
              </w:rPr>
              <w:t>Clave SOL</w:t>
            </w:r>
          </w:p>
        </w:tc>
        <w:tc>
          <w:tcPr>
            <w:tcW w:w="283" w:type="dxa"/>
            <w:hideMark/>
          </w:tcPr>
          <w:p w:rsidR="00CD4ECC" w:rsidRPr="0051698C" w:rsidRDefault="00CD4ECC" w:rsidP="00824486">
            <w:pPr>
              <w:jc w:val="center"/>
              <w:rPr>
                <w:rFonts w:ascii="Arial" w:eastAsia="Times New Roman" w:hAnsi="Arial" w:cs="Arial"/>
                <w:lang w:eastAsia="es-PE"/>
              </w:rPr>
            </w:pPr>
            <w:r w:rsidRPr="0051698C">
              <w:rPr>
                <w:rFonts w:ascii="Arial" w:eastAsia="Times New Roman" w:hAnsi="Arial" w:cs="Arial"/>
                <w:lang w:eastAsia="es-PE"/>
              </w:rPr>
              <w:t>:</w:t>
            </w:r>
          </w:p>
        </w:tc>
        <w:tc>
          <w:tcPr>
            <w:tcW w:w="5194" w:type="dxa"/>
            <w:hideMark/>
          </w:tcPr>
          <w:p w:rsidR="00F54774" w:rsidRPr="0051698C" w:rsidRDefault="00F54774" w:rsidP="005E0060">
            <w:pPr>
              <w:jc w:val="both"/>
              <w:rPr>
                <w:rFonts w:ascii="Arial" w:hAnsi="Arial" w:cs="Arial"/>
                <w:color w:val="000000"/>
              </w:rPr>
            </w:pPr>
            <w:r w:rsidRPr="0051698C">
              <w:rPr>
                <w:rFonts w:ascii="Arial" w:hAnsi="Arial" w:cs="Arial"/>
              </w:rPr>
              <w:t>Al texto de conocimiento exclusivo del usuario de SUNAT Operaciones en Línea que asociado al código de usuario</w:t>
            </w:r>
            <w:r w:rsidR="00917803" w:rsidRPr="0051698C">
              <w:rPr>
                <w:rFonts w:ascii="Arial" w:hAnsi="Arial" w:cs="Arial"/>
              </w:rPr>
              <w:t xml:space="preserve"> o al número de DNI</w:t>
            </w:r>
            <w:r w:rsidRPr="0051698C">
              <w:rPr>
                <w:rFonts w:ascii="Arial" w:hAnsi="Arial" w:cs="Arial"/>
              </w:rPr>
              <w:t xml:space="preserve"> otorga </w:t>
            </w:r>
            <w:r w:rsidRPr="0051698C">
              <w:rPr>
                <w:rFonts w:ascii="Arial" w:hAnsi="Arial" w:cs="Arial"/>
              </w:rPr>
              <w:lastRenderedPageBreak/>
              <w:t>privacidad en el acceso a ese sistema, definido en la Resolución de Superintendencia N.° 109-2000/SUNAT y normas modificatorias.</w:t>
            </w:r>
          </w:p>
          <w:p w:rsidR="00CD4ECC" w:rsidRPr="0051698C" w:rsidRDefault="00CD4ECC" w:rsidP="00242885">
            <w:pPr>
              <w:jc w:val="both"/>
              <w:rPr>
                <w:rFonts w:ascii="Arial" w:eastAsia="Times New Roman" w:hAnsi="Arial" w:cs="Arial"/>
                <w:color w:val="000000"/>
                <w:lang w:val="es-ES" w:eastAsia="es-PE"/>
              </w:rPr>
            </w:pPr>
          </w:p>
        </w:tc>
      </w:tr>
      <w:tr w:rsidR="000C758B" w:rsidRPr="0051698C" w:rsidTr="009A4FC4">
        <w:trPr>
          <w:gridBefore w:val="1"/>
          <w:wBefore w:w="14" w:type="dxa"/>
          <w:tblCellSpacing w:w="0" w:type="dxa"/>
        </w:trPr>
        <w:tc>
          <w:tcPr>
            <w:tcW w:w="555" w:type="dxa"/>
            <w:hideMark/>
          </w:tcPr>
          <w:p w:rsidR="000C758B" w:rsidRPr="0051698C" w:rsidRDefault="000C758B" w:rsidP="00F54774">
            <w:pPr>
              <w:jc w:val="both"/>
              <w:rPr>
                <w:rFonts w:ascii="Arial" w:eastAsia="Times New Roman" w:hAnsi="Arial" w:cs="Arial"/>
                <w:color w:val="000000"/>
                <w:lang w:eastAsia="es-PE"/>
              </w:rPr>
            </w:pPr>
            <w:r w:rsidRPr="0051698C">
              <w:rPr>
                <w:rFonts w:ascii="Arial" w:eastAsia="Times New Roman" w:hAnsi="Arial" w:cs="Arial"/>
                <w:color w:val="000000"/>
                <w:lang w:eastAsia="es-PE"/>
              </w:rPr>
              <w:lastRenderedPageBreak/>
              <w:t>1.</w:t>
            </w:r>
            <w:r w:rsidR="00F54774" w:rsidRPr="0051698C">
              <w:rPr>
                <w:rFonts w:ascii="Arial" w:eastAsia="Times New Roman" w:hAnsi="Arial" w:cs="Arial"/>
                <w:color w:val="000000"/>
                <w:lang w:eastAsia="es-PE"/>
              </w:rPr>
              <w:t>3</w:t>
            </w:r>
          </w:p>
        </w:tc>
        <w:tc>
          <w:tcPr>
            <w:tcW w:w="2565" w:type="dxa"/>
            <w:gridSpan w:val="2"/>
            <w:hideMark/>
          </w:tcPr>
          <w:p w:rsidR="000C758B" w:rsidRPr="0051698C" w:rsidRDefault="000C758B" w:rsidP="00D3176A">
            <w:pPr>
              <w:jc w:val="both"/>
              <w:rPr>
                <w:rFonts w:ascii="Arial" w:eastAsia="Times New Roman" w:hAnsi="Arial" w:cs="Arial"/>
                <w:color w:val="000000"/>
                <w:lang w:eastAsia="es-PE"/>
              </w:rPr>
            </w:pPr>
            <w:r w:rsidRPr="0051698C">
              <w:rPr>
                <w:rFonts w:ascii="Arial" w:eastAsia="Times New Roman" w:hAnsi="Arial" w:cs="Arial"/>
                <w:color w:val="000000"/>
                <w:lang w:eastAsia="es-PE"/>
              </w:rPr>
              <w:t>Documento autorizado</w:t>
            </w:r>
          </w:p>
        </w:tc>
        <w:tc>
          <w:tcPr>
            <w:tcW w:w="283" w:type="dxa"/>
            <w:hideMark/>
          </w:tcPr>
          <w:p w:rsidR="000C758B" w:rsidRPr="0051698C" w:rsidRDefault="000C758B"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0C758B" w:rsidRPr="0051698C" w:rsidRDefault="007000BC" w:rsidP="00116F5F">
            <w:pPr>
              <w:jc w:val="both"/>
              <w:rPr>
                <w:rFonts w:ascii="Arial" w:hAnsi="Arial" w:cs="Arial"/>
              </w:rPr>
            </w:pPr>
            <w:r w:rsidRPr="0051698C">
              <w:rPr>
                <w:rFonts w:ascii="Arial" w:hAnsi="Arial" w:cs="Arial"/>
              </w:rPr>
              <w:t>A</w:t>
            </w:r>
            <w:r w:rsidR="002A23C3" w:rsidRPr="0051698C">
              <w:rPr>
                <w:rFonts w:ascii="Arial" w:hAnsi="Arial" w:cs="Arial"/>
              </w:rPr>
              <w:t>l</w:t>
            </w:r>
            <w:r w:rsidRPr="0051698C">
              <w:rPr>
                <w:rFonts w:ascii="Arial" w:hAnsi="Arial" w:cs="Arial"/>
              </w:rPr>
              <w:t xml:space="preserve"> </w:t>
            </w:r>
            <w:r w:rsidR="00F54774" w:rsidRPr="0051698C">
              <w:rPr>
                <w:rFonts w:ascii="Arial" w:hAnsi="Arial" w:cs="Arial"/>
              </w:rPr>
              <w:t>comprobante de pago a que se refiere</w:t>
            </w:r>
            <w:r w:rsidR="00917803" w:rsidRPr="0051698C">
              <w:rPr>
                <w:rFonts w:ascii="Arial" w:hAnsi="Arial" w:cs="Arial"/>
              </w:rPr>
              <w:t>n los literales d) y o) del inciso 6.1 del</w:t>
            </w:r>
            <w:r w:rsidR="00F54774" w:rsidRPr="0051698C">
              <w:rPr>
                <w:rFonts w:ascii="Arial" w:hAnsi="Arial" w:cs="Arial"/>
              </w:rPr>
              <w:t xml:space="preserve"> numeral 6 del artículo 4 del RCP </w:t>
            </w:r>
            <w:r w:rsidR="002A23C3" w:rsidRPr="0051698C">
              <w:rPr>
                <w:rFonts w:ascii="Arial" w:hAnsi="Arial" w:cs="Arial"/>
              </w:rPr>
              <w:t>que permite</w:t>
            </w:r>
            <w:r w:rsidRPr="0051698C">
              <w:rPr>
                <w:rFonts w:ascii="Arial" w:hAnsi="Arial" w:cs="Arial"/>
              </w:rPr>
              <w:t xml:space="preserve"> sustentar gasto</w:t>
            </w:r>
            <w:r w:rsidR="00F54774" w:rsidRPr="0051698C">
              <w:rPr>
                <w:rFonts w:ascii="Arial" w:hAnsi="Arial" w:cs="Arial"/>
              </w:rPr>
              <w:t xml:space="preserve"> o</w:t>
            </w:r>
            <w:r w:rsidRPr="0051698C">
              <w:rPr>
                <w:rFonts w:ascii="Arial" w:hAnsi="Arial" w:cs="Arial"/>
              </w:rPr>
              <w:t xml:space="preserve"> costo</w:t>
            </w:r>
            <w:r w:rsidR="00917803" w:rsidRPr="0051698C">
              <w:rPr>
                <w:rFonts w:ascii="Arial" w:hAnsi="Arial" w:cs="Arial"/>
              </w:rPr>
              <w:t xml:space="preserve"> para efecto tributario</w:t>
            </w:r>
            <w:r w:rsidRPr="0051698C">
              <w:rPr>
                <w:rFonts w:ascii="Arial" w:hAnsi="Arial" w:cs="Arial"/>
              </w:rPr>
              <w:t xml:space="preserve"> y/o</w:t>
            </w:r>
            <w:r w:rsidR="00F54774" w:rsidRPr="0051698C">
              <w:rPr>
                <w:rFonts w:ascii="Arial" w:hAnsi="Arial" w:cs="Arial"/>
              </w:rPr>
              <w:t xml:space="preserve"> ejercer el derecho al</w:t>
            </w:r>
            <w:r w:rsidRPr="0051698C">
              <w:rPr>
                <w:rFonts w:ascii="Arial" w:hAnsi="Arial" w:cs="Arial"/>
              </w:rPr>
              <w:t xml:space="preserve"> crédito fiscal</w:t>
            </w:r>
            <w:r w:rsidR="00F54774" w:rsidRPr="0051698C">
              <w:rPr>
                <w:rFonts w:ascii="Arial" w:hAnsi="Arial" w:cs="Arial"/>
              </w:rPr>
              <w:t>.</w:t>
            </w:r>
          </w:p>
          <w:p w:rsidR="007000BC" w:rsidRPr="0051698C" w:rsidRDefault="007000BC" w:rsidP="00116F5F">
            <w:pPr>
              <w:jc w:val="both"/>
              <w:rPr>
                <w:rFonts w:ascii="Arial" w:hAnsi="Arial" w:cs="Arial"/>
              </w:rPr>
            </w:pPr>
          </w:p>
        </w:tc>
      </w:tr>
      <w:tr w:rsidR="000C758B" w:rsidRPr="0051698C" w:rsidTr="009A4FC4">
        <w:trPr>
          <w:gridBefore w:val="1"/>
          <w:wBefore w:w="14" w:type="dxa"/>
          <w:tblCellSpacing w:w="0" w:type="dxa"/>
        </w:trPr>
        <w:tc>
          <w:tcPr>
            <w:tcW w:w="555" w:type="dxa"/>
            <w:hideMark/>
          </w:tcPr>
          <w:p w:rsidR="000C758B" w:rsidRPr="0051698C" w:rsidRDefault="000C758B" w:rsidP="001B3BDD">
            <w:pPr>
              <w:jc w:val="both"/>
              <w:rPr>
                <w:rFonts w:ascii="Arial" w:eastAsia="Times New Roman" w:hAnsi="Arial" w:cs="Arial"/>
                <w:color w:val="000000"/>
                <w:lang w:eastAsia="es-PE"/>
              </w:rPr>
            </w:pPr>
          </w:p>
        </w:tc>
        <w:tc>
          <w:tcPr>
            <w:tcW w:w="2565" w:type="dxa"/>
            <w:gridSpan w:val="2"/>
            <w:hideMark/>
          </w:tcPr>
          <w:p w:rsidR="000C758B" w:rsidRPr="0051698C" w:rsidRDefault="000C758B" w:rsidP="00D3176A">
            <w:pPr>
              <w:jc w:val="both"/>
              <w:rPr>
                <w:rFonts w:ascii="Arial" w:eastAsia="Times New Roman" w:hAnsi="Arial" w:cs="Arial"/>
                <w:color w:val="000000"/>
                <w:lang w:eastAsia="es-PE"/>
              </w:rPr>
            </w:pPr>
          </w:p>
        </w:tc>
        <w:tc>
          <w:tcPr>
            <w:tcW w:w="283" w:type="dxa"/>
            <w:hideMark/>
          </w:tcPr>
          <w:p w:rsidR="000C758B" w:rsidRPr="0051698C" w:rsidRDefault="000C758B" w:rsidP="00824486">
            <w:pPr>
              <w:jc w:val="center"/>
              <w:rPr>
                <w:rFonts w:ascii="Arial" w:eastAsia="Times New Roman" w:hAnsi="Arial" w:cs="Arial"/>
                <w:color w:val="000000"/>
                <w:lang w:eastAsia="es-PE"/>
              </w:rPr>
            </w:pPr>
          </w:p>
        </w:tc>
        <w:tc>
          <w:tcPr>
            <w:tcW w:w="5194" w:type="dxa"/>
            <w:hideMark/>
          </w:tcPr>
          <w:p w:rsidR="000C758B" w:rsidRPr="0051698C" w:rsidRDefault="000C758B" w:rsidP="00116F5F">
            <w:pPr>
              <w:jc w:val="both"/>
              <w:rPr>
                <w:rFonts w:ascii="Arial" w:hAnsi="Arial" w:cs="Arial"/>
              </w:rPr>
            </w:pPr>
          </w:p>
        </w:tc>
      </w:tr>
      <w:tr w:rsidR="000C758B" w:rsidRPr="0051698C" w:rsidTr="009A4FC4">
        <w:trPr>
          <w:gridBefore w:val="1"/>
          <w:wBefore w:w="14" w:type="dxa"/>
          <w:tblCellSpacing w:w="0" w:type="dxa"/>
        </w:trPr>
        <w:tc>
          <w:tcPr>
            <w:tcW w:w="555" w:type="dxa"/>
            <w:hideMark/>
          </w:tcPr>
          <w:p w:rsidR="000C758B" w:rsidRPr="0051698C" w:rsidRDefault="000C758B" w:rsidP="001B3BDD">
            <w:pPr>
              <w:jc w:val="both"/>
              <w:rPr>
                <w:rFonts w:ascii="Arial" w:eastAsia="Times New Roman" w:hAnsi="Arial" w:cs="Arial"/>
                <w:color w:val="000000"/>
                <w:lang w:eastAsia="es-PE"/>
              </w:rPr>
            </w:pPr>
          </w:p>
        </w:tc>
        <w:tc>
          <w:tcPr>
            <w:tcW w:w="2565" w:type="dxa"/>
            <w:gridSpan w:val="2"/>
            <w:hideMark/>
          </w:tcPr>
          <w:p w:rsidR="000C758B" w:rsidRPr="0051698C" w:rsidRDefault="000C758B" w:rsidP="00D3176A">
            <w:pPr>
              <w:jc w:val="both"/>
              <w:rPr>
                <w:rFonts w:ascii="Arial" w:eastAsia="Times New Roman" w:hAnsi="Arial" w:cs="Arial"/>
                <w:color w:val="000000"/>
                <w:lang w:eastAsia="es-PE"/>
              </w:rPr>
            </w:pPr>
          </w:p>
        </w:tc>
        <w:tc>
          <w:tcPr>
            <w:tcW w:w="283" w:type="dxa"/>
            <w:hideMark/>
          </w:tcPr>
          <w:p w:rsidR="000C758B" w:rsidRPr="0051698C" w:rsidRDefault="000C758B" w:rsidP="00824486">
            <w:pPr>
              <w:jc w:val="center"/>
              <w:rPr>
                <w:rFonts w:ascii="Arial" w:eastAsia="Times New Roman" w:hAnsi="Arial" w:cs="Arial"/>
                <w:color w:val="000000"/>
                <w:lang w:eastAsia="es-PE"/>
              </w:rPr>
            </w:pPr>
          </w:p>
        </w:tc>
        <w:tc>
          <w:tcPr>
            <w:tcW w:w="5194" w:type="dxa"/>
            <w:hideMark/>
          </w:tcPr>
          <w:p w:rsidR="000C758B" w:rsidRPr="0051698C" w:rsidRDefault="000C758B" w:rsidP="00116F5F">
            <w:pPr>
              <w:jc w:val="both"/>
              <w:rPr>
                <w:rFonts w:ascii="Arial" w:hAnsi="Arial" w:cs="Arial"/>
              </w:rPr>
            </w:pPr>
          </w:p>
        </w:tc>
      </w:tr>
      <w:tr w:rsidR="00CD4ECC" w:rsidRPr="0051698C" w:rsidTr="009A4FC4">
        <w:trPr>
          <w:gridBefore w:val="1"/>
          <w:wBefore w:w="14" w:type="dxa"/>
          <w:tblCellSpacing w:w="0" w:type="dxa"/>
        </w:trPr>
        <w:tc>
          <w:tcPr>
            <w:tcW w:w="555" w:type="dxa"/>
            <w:hideMark/>
          </w:tcPr>
          <w:p w:rsidR="00CD4ECC" w:rsidRPr="0051698C" w:rsidRDefault="00CD4ECC" w:rsidP="002267BA">
            <w:pPr>
              <w:jc w:val="both"/>
              <w:rPr>
                <w:rFonts w:ascii="Arial" w:eastAsia="Times New Roman" w:hAnsi="Arial" w:cs="Arial"/>
                <w:color w:val="000000"/>
                <w:lang w:eastAsia="es-PE"/>
              </w:rPr>
            </w:pPr>
            <w:r w:rsidRPr="0051698C">
              <w:rPr>
                <w:rFonts w:ascii="Arial" w:eastAsia="Times New Roman" w:hAnsi="Arial" w:cs="Arial"/>
                <w:color w:val="000000"/>
                <w:lang w:eastAsia="es-PE"/>
              </w:rPr>
              <w:t>1.</w:t>
            </w:r>
            <w:r w:rsidR="002267BA" w:rsidRPr="0051698C">
              <w:rPr>
                <w:rFonts w:ascii="Arial" w:eastAsia="Times New Roman" w:hAnsi="Arial" w:cs="Arial"/>
                <w:color w:val="000000"/>
                <w:lang w:eastAsia="es-PE"/>
              </w:rPr>
              <w:t>4</w:t>
            </w:r>
          </w:p>
        </w:tc>
        <w:tc>
          <w:tcPr>
            <w:tcW w:w="2565" w:type="dxa"/>
            <w:gridSpan w:val="2"/>
            <w:hideMark/>
          </w:tcPr>
          <w:p w:rsidR="00CD4ECC" w:rsidRPr="0051698C" w:rsidRDefault="00CD4ECC" w:rsidP="00D3176A">
            <w:pPr>
              <w:jc w:val="both"/>
              <w:rPr>
                <w:rFonts w:ascii="Arial" w:eastAsia="Times New Roman" w:hAnsi="Arial" w:cs="Arial"/>
                <w:color w:val="000000"/>
                <w:lang w:eastAsia="es-PE"/>
              </w:rPr>
            </w:pPr>
            <w:r w:rsidRPr="0051698C">
              <w:rPr>
                <w:rFonts w:ascii="Arial" w:eastAsia="Times New Roman" w:hAnsi="Arial" w:cs="Arial"/>
                <w:color w:val="000000"/>
                <w:lang w:eastAsia="es-PE"/>
              </w:rPr>
              <w:t>Documento electrónico</w:t>
            </w:r>
          </w:p>
        </w:tc>
        <w:tc>
          <w:tcPr>
            <w:tcW w:w="283" w:type="dxa"/>
            <w:hideMark/>
          </w:tcPr>
          <w:p w:rsidR="00CD4ECC" w:rsidRPr="0051698C" w:rsidRDefault="00CD4ECC"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CD4ECC" w:rsidRPr="0051698C" w:rsidRDefault="00380FB3" w:rsidP="007A7EA9">
            <w:pPr>
              <w:jc w:val="both"/>
              <w:rPr>
                <w:rFonts w:ascii="Arial" w:hAnsi="Arial" w:cs="Arial"/>
              </w:rPr>
            </w:pPr>
            <w:r w:rsidRPr="0051698C">
              <w:rPr>
                <w:rFonts w:ascii="Arial" w:hAnsi="Arial" w:cs="Arial"/>
              </w:rPr>
              <w:t xml:space="preserve">Al </w:t>
            </w:r>
            <w:r w:rsidR="00917803" w:rsidRPr="0051698C">
              <w:rPr>
                <w:rFonts w:ascii="Arial" w:hAnsi="Arial" w:cs="Arial"/>
              </w:rPr>
              <w:t xml:space="preserve">archivo con información expresada en bits </w:t>
            </w:r>
            <w:r w:rsidRPr="0051698C">
              <w:rPr>
                <w:rFonts w:ascii="Arial" w:hAnsi="Arial" w:cs="Arial"/>
              </w:rPr>
              <w:t xml:space="preserve">que cumple con las condiciones señaladas en el artículo </w:t>
            </w:r>
            <w:r w:rsidR="00917803" w:rsidRPr="0051698C">
              <w:rPr>
                <w:rFonts w:ascii="Arial" w:hAnsi="Arial" w:cs="Arial"/>
              </w:rPr>
              <w:t>6</w:t>
            </w:r>
            <w:r w:rsidRPr="0051698C">
              <w:rPr>
                <w:rFonts w:ascii="Arial" w:hAnsi="Arial" w:cs="Arial"/>
              </w:rPr>
              <w:t>. El incumplimiento de esas condiciones origina que no se haya emitido ni, de corresponder, otorgado un documento electrónico.</w:t>
            </w:r>
          </w:p>
          <w:p w:rsidR="00380FB3" w:rsidRPr="0051698C" w:rsidRDefault="00380FB3" w:rsidP="007A7EA9">
            <w:pPr>
              <w:jc w:val="both"/>
              <w:rPr>
                <w:rFonts w:ascii="Arial" w:eastAsia="Times New Roman" w:hAnsi="Arial" w:cs="Arial"/>
                <w:color w:val="000000"/>
                <w:lang w:eastAsia="es-PE"/>
              </w:rPr>
            </w:pPr>
          </w:p>
        </w:tc>
      </w:tr>
      <w:tr w:rsidR="008D58BB" w:rsidRPr="0051698C" w:rsidTr="009A4FC4">
        <w:trPr>
          <w:gridBefore w:val="1"/>
          <w:wBefore w:w="14" w:type="dxa"/>
          <w:tblCellSpacing w:w="0" w:type="dxa"/>
        </w:trPr>
        <w:tc>
          <w:tcPr>
            <w:tcW w:w="555" w:type="dxa"/>
            <w:hideMark/>
          </w:tcPr>
          <w:p w:rsidR="008D58BB" w:rsidRPr="0051698C" w:rsidRDefault="008D58BB" w:rsidP="008D58BB">
            <w:pPr>
              <w:jc w:val="both"/>
              <w:rPr>
                <w:rFonts w:ascii="Arial" w:eastAsia="Times New Roman" w:hAnsi="Arial" w:cs="Arial"/>
                <w:color w:val="000000"/>
                <w:lang w:eastAsia="es-PE"/>
              </w:rPr>
            </w:pPr>
            <w:r w:rsidRPr="0051698C">
              <w:rPr>
                <w:rFonts w:ascii="Arial" w:eastAsia="Times New Roman" w:hAnsi="Arial" w:cs="Arial"/>
                <w:color w:val="000000"/>
                <w:lang w:eastAsia="es-PE"/>
              </w:rPr>
              <w:t>1.5</w:t>
            </w:r>
          </w:p>
        </w:tc>
        <w:tc>
          <w:tcPr>
            <w:tcW w:w="2565" w:type="dxa"/>
            <w:gridSpan w:val="2"/>
            <w:hideMark/>
          </w:tcPr>
          <w:p w:rsidR="008D58BB" w:rsidRPr="0051698C" w:rsidRDefault="008D58BB" w:rsidP="008D58BB">
            <w:pPr>
              <w:jc w:val="both"/>
              <w:rPr>
                <w:rFonts w:ascii="Arial" w:eastAsia="Times New Roman" w:hAnsi="Arial" w:cs="Arial"/>
                <w:color w:val="000000"/>
                <w:lang w:eastAsia="es-PE"/>
              </w:rPr>
            </w:pPr>
            <w:r w:rsidRPr="0051698C">
              <w:rPr>
                <w:rFonts w:ascii="Arial" w:eastAsia="Times New Roman" w:hAnsi="Arial" w:cs="Arial"/>
                <w:color w:val="000000"/>
                <w:lang w:eastAsia="es-PE"/>
              </w:rPr>
              <w:t>Mecanismo de seguridad</w:t>
            </w:r>
          </w:p>
        </w:tc>
        <w:tc>
          <w:tcPr>
            <w:tcW w:w="283" w:type="dxa"/>
            <w:hideMark/>
          </w:tcPr>
          <w:p w:rsidR="008D58BB" w:rsidRPr="0051698C" w:rsidRDefault="008D58BB" w:rsidP="008D58BB">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D27F43" w:rsidRPr="0051698C" w:rsidRDefault="00D27F43" w:rsidP="00D27F43">
            <w:pPr>
              <w:jc w:val="both"/>
              <w:rPr>
                <w:rFonts w:ascii="Arial" w:hAnsi="Arial" w:cs="Arial"/>
              </w:rPr>
            </w:pPr>
            <w:r w:rsidRPr="0051698C">
              <w:rPr>
                <w:rFonts w:ascii="Arial" w:hAnsi="Arial" w:cs="Arial"/>
              </w:rPr>
              <w:t xml:space="preserve">A la secuencia de bits de longitud fija obtenida como resultado de procesar un documento electrónico con un algoritmo, de tal manera que: </w:t>
            </w:r>
          </w:p>
          <w:p w:rsidR="00D27F43" w:rsidRPr="0051698C" w:rsidRDefault="00D27F43" w:rsidP="00D27F43">
            <w:pPr>
              <w:jc w:val="both"/>
              <w:rPr>
                <w:rFonts w:ascii="Arial" w:hAnsi="Arial" w:cs="Arial"/>
              </w:rPr>
            </w:pPr>
          </w:p>
          <w:p w:rsidR="00D27F43" w:rsidRPr="0051698C" w:rsidRDefault="005644F1" w:rsidP="00D27F43">
            <w:pPr>
              <w:jc w:val="both"/>
              <w:rPr>
                <w:rFonts w:ascii="Arial" w:hAnsi="Arial" w:cs="Arial"/>
              </w:rPr>
            </w:pPr>
            <w:r w:rsidRPr="0051698C">
              <w:rPr>
                <w:rFonts w:ascii="Arial" w:hAnsi="Arial" w:cs="Arial"/>
              </w:rPr>
              <w:t>a</w:t>
            </w:r>
            <w:r w:rsidR="00D27F43" w:rsidRPr="0051698C">
              <w:rPr>
                <w:rFonts w:ascii="Arial" w:hAnsi="Arial" w:cs="Arial"/>
              </w:rPr>
              <w:t xml:space="preserve">) El documento electrónico produzca siempre el mismo código de verificación cada vez que se le aplique dicho algoritmo. </w:t>
            </w:r>
          </w:p>
          <w:p w:rsidR="00D27F43" w:rsidRPr="0051698C" w:rsidRDefault="005644F1" w:rsidP="00D27F43">
            <w:pPr>
              <w:jc w:val="both"/>
              <w:rPr>
                <w:rFonts w:ascii="Arial" w:hAnsi="Arial" w:cs="Arial"/>
              </w:rPr>
            </w:pPr>
            <w:r w:rsidRPr="0051698C">
              <w:rPr>
                <w:rFonts w:ascii="Arial" w:hAnsi="Arial" w:cs="Arial"/>
              </w:rPr>
              <w:t>b</w:t>
            </w:r>
            <w:r w:rsidR="00D27F43" w:rsidRPr="0051698C">
              <w:rPr>
                <w:rFonts w:ascii="Arial" w:hAnsi="Arial" w:cs="Arial"/>
              </w:rPr>
              <w:t>) Sea improba</w:t>
            </w:r>
            <w:r w:rsidRPr="0051698C">
              <w:rPr>
                <w:rFonts w:ascii="Arial" w:hAnsi="Arial" w:cs="Arial"/>
              </w:rPr>
              <w:t>ble que, a través de medios técnicos,</w:t>
            </w:r>
            <w:r w:rsidR="00D27F43" w:rsidRPr="0051698C">
              <w:rPr>
                <w:rFonts w:ascii="Arial" w:hAnsi="Arial" w:cs="Arial"/>
              </w:rPr>
              <w:t xml:space="preserve">  el documento electrónico pueda ser derivado o reconstruido a partir del código de verificación producido por el algoritmo. </w:t>
            </w:r>
          </w:p>
          <w:p w:rsidR="00D27F43" w:rsidRPr="0051698C" w:rsidRDefault="005644F1" w:rsidP="00D27F43">
            <w:pPr>
              <w:jc w:val="both"/>
              <w:rPr>
                <w:rFonts w:ascii="Arial" w:hAnsi="Arial" w:cs="Arial"/>
              </w:rPr>
            </w:pPr>
            <w:r w:rsidRPr="0051698C">
              <w:rPr>
                <w:rFonts w:ascii="Arial" w:hAnsi="Arial" w:cs="Arial"/>
              </w:rPr>
              <w:t>c</w:t>
            </w:r>
            <w:r w:rsidR="00D27F43" w:rsidRPr="0051698C">
              <w:rPr>
                <w:rFonts w:ascii="Arial" w:hAnsi="Arial" w:cs="Arial"/>
              </w:rPr>
              <w:t>) Sea improbable que</w:t>
            </w:r>
            <w:r w:rsidRPr="0051698C">
              <w:rPr>
                <w:rFonts w:ascii="Arial" w:hAnsi="Arial" w:cs="Arial"/>
              </w:rPr>
              <w:t>, a través de</w:t>
            </w:r>
            <w:r w:rsidR="00D27F43" w:rsidRPr="0051698C">
              <w:rPr>
                <w:rFonts w:ascii="Arial" w:hAnsi="Arial" w:cs="Arial"/>
              </w:rPr>
              <w:t xml:space="preserve"> medios técnicos</w:t>
            </w:r>
            <w:r w:rsidRPr="0051698C">
              <w:rPr>
                <w:rFonts w:ascii="Arial" w:hAnsi="Arial" w:cs="Arial"/>
              </w:rPr>
              <w:t>,</w:t>
            </w:r>
            <w:r w:rsidR="00D27F43" w:rsidRPr="0051698C">
              <w:rPr>
                <w:rFonts w:ascii="Arial" w:hAnsi="Arial" w:cs="Arial"/>
              </w:rPr>
              <w:t xml:space="preserve"> se pueda encontrar dos documentos electrónicos que produzcan el mismo código de verificación al usar el mismo algoritmo</w:t>
            </w:r>
            <w:r w:rsidRPr="0051698C">
              <w:rPr>
                <w:rFonts w:ascii="Arial" w:hAnsi="Arial" w:cs="Arial"/>
              </w:rPr>
              <w:t>.</w:t>
            </w:r>
          </w:p>
          <w:p w:rsidR="00D27F43" w:rsidRPr="0051698C" w:rsidRDefault="00D27F43" w:rsidP="002C6F9D">
            <w:pPr>
              <w:pStyle w:val="Textocomentario"/>
              <w:jc w:val="both"/>
              <w:rPr>
                <w:rFonts w:ascii="Arial" w:hAnsi="Arial"/>
                <w:sz w:val="22"/>
                <w:szCs w:val="22"/>
                <w:lang w:val="es-PE"/>
              </w:rPr>
            </w:pPr>
          </w:p>
          <w:p w:rsidR="00D27F43" w:rsidRPr="0051698C" w:rsidRDefault="00D27F43" w:rsidP="00D27F43">
            <w:pPr>
              <w:pStyle w:val="Textocomentario"/>
              <w:jc w:val="both"/>
              <w:rPr>
                <w:rFonts w:ascii="Arial" w:hAnsi="Arial"/>
                <w:sz w:val="22"/>
                <w:szCs w:val="22"/>
              </w:rPr>
            </w:pPr>
            <w:r w:rsidRPr="0051698C">
              <w:rPr>
                <w:rFonts w:ascii="Arial" w:hAnsi="Arial"/>
                <w:sz w:val="22"/>
                <w:szCs w:val="22"/>
              </w:rPr>
              <w:t xml:space="preserve">Dicho </w:t>
            </w:r>
            <w:r w:rsidR="0065231C" w:rsidRPr="0051698C">
              <w:rPr>
                <w:rFonts w:ascii="Arial" w:hAnsi="Arial"/>
                <w:sz w:val="22"/>
                <w:szCs w:val="22"/>
              </w:rPr>
              <w:t xml:space="preserve">mecanismo de seguiridad </w:t>
            </w:r>
            <w:r w:rsidRPr="0051698C">
              <w:rPr>
                <w:rFonts w:ascii="Arial" w:hAnsi="Arial"/>
                <w:sz w:val="22"/>
                <w:szCs w:val="22"/>
              </w:rPr>
              <w:t xml:space="preserve">es generado por </w:t>
            </w:r>
            <w:r w:rsidR="002C6F9D" w:rsidRPr="0051698C">
              <w:rPr>
                <w:rFonts w:ascii="Arial" w:hAnsi="Arial"/>
                <w:sz w:val="22"/>
                <w:szCs w:val="22"/>
              </w:rPr>
              <w:t xml:space="preserve">el aplicativo </w:t>
            </w:r>
            <w:r w:rsidR="00533290" w:rsidRPr="0051698C">
              <w:rPr>
                <w:rFonts w:ascii="Arial" w:hAnsi="Arial"/>
                <w:sz w:val="22"/>
                <w:szCs w:val="22"/>
              </w:rPr>
              <w:t xml:space="preserve">SEE </w:t>
            </w:r>
            <w:r w:rsidR="004E79FF" w:rsidRPr="0051698C">
              <w:rPr>
                <w:rFonts w:ascii="Arial" w:hAnsi="Arial"/>
                <w:sz w:val="22"/>
                <w:szCs w:val="22"/>
              </w:rPr>
              <w:t>–</w:t>
            </w:r>
            <w:r w:rsidR="00533290" w:rsidRPr="0051698C">
              <w:rPr>
                <w:rFonts w:ascii="Arial" w:hAnsi="Arial"/>
                <w:sz w:val="22"/>
                <w:szCs w:val="22"/>
              </w:rPr>
              <w:t xml:space="preserve"> </w:t>
            </w:r>
            <w:r w:rsidR="00220AB1" w:rsidRPr="0051698C">
              <w:rPr>
                <w:rFonts w:ascii="Arial" w:hAnsi="Arial"/>
                <w:sz w:val="22"/>
                <w:szCs w:val="22"/>
              </w:rPr>
              <w:t>Empresas Supervisadas</w:t>
            </w:r>
            <w:r w:rsidRPr="0051698C">
              <w:rPr>
                <w:rFonts w:ascii="Arial" w:hAnsi="Arial"/>
                <w:sz w:val="22"/>
                <w:szCs w:val="22"/>
              </w:rPr>
              <w:t>.</w:t>
            </w:r>
          </w:p>
          <w:p w:rsidR="005B2A33" w:rsidRPr="0051698C" w:rsidRDefault="00D27F43" w:rsidP="00D27F43">
            <w:pPr>
              <w:pStyle w:val="Textocomentario"/>
              <w:jc w:val="both"/>
              <w:rPr>
                <w:rFonts w:ascii="Arial" w:hAnsi="Arial"/>
                <w:sz w:val="22"/>
                <w:szCs w:val="22"/>
              </w:rPr>
            </w:pPr>
            <w:r w:rsidRPr="0051698C">
              <w:rPr>
                <w:rFonts w:ascii="Arial" w:hAnsi="Arial"/>
                <w:sz w:val="22"/>
                <w:szCs w:val="22"/>
              </w:rPr>
              <w:t xml:space="preserve"> </w:t>
            </w:r>
          </w:p>
        </w:tc>
      </w:tr>
      <w:tr w:rsidR="00CD4ECC" w:rsidRPr="0051698C" w:rsidTr="009A4FC4">
        <w:trPr>
          <w:gridBefore w:val="1"/>
          <w:wBefore w:w="14" w:type="dxa"/>
          <w:tblCellSpacing w:w="0" w:type="dxa"/>
        </w:trPr>
        <w:tc>
          <w:tcPr>
            <w:tcW w:w="555" w:type="dxa"/>
            <w:hideMark/>
          </w:tcPr>
          <w:p w:rsidR="00CD4ECC" w:rsidRPr="0051698C" w:rsidRDefault="00CD4ECC" w:rsidP="00311B7A">
            <w:pPr>
              <w:jc w:val="both"/>
              <w:rPr>
                <w:rFonts w:ascii="Arial" w:eastAsia="Times New Roman" w:hAnsi="Arial" w:cs="Arial"/>
                <w:color w:val="000000"/>
                <w:lang w:eastAsia="es-PE"/>
              </w:rPr>
            </w:pPr>
            <w:bookmarkStart w:id="1" w:name="JD_Comprobant"/>
            <w:bookmarkStart w:id="2" w:name="JD_2.9."/>
            <w:bookmarkStart w:id="3" w:name="JD_300-2014-SUNAT-2.10"/>
            <w:bookmarkStart w:id="4" w:name="JD_300-2014-SUNAT-2.28"/>
            <w:bookmarkEnd w:id="1"/>
            <w:bookmarkEnd w:id="2"/>
            <w:bookmarkEnd w:id="3"/>
            <w:bookmarkEnd w:id="4"/>
            <w:r w:rsidRPr="0051698C">
              <w:rPr>
                <w:rFonts w:ascii="Arial" w:eastAsia="Times New Roman" w:hAnsi="Arial" w:cs="Arial"/>
                <w:color w:val="000000"/>
                <w:lang w:eastAsia="es-PE"/>
              </w:rPr>
              <w:t>1.</w:t>
            </w:r>
            <w:r w:rsidR="00311B7A" w:rsidRPr="0051698C">
              <w:rPr>
                <w:rFonts w:ascii="Arial" w:eastAsia="Times New Roman" w:hAnsi="Arial" w:cs="Arial"/>
                <w:color w:val="000000"/>
                <w:lang w:eastAsia="es-PE"/>
              </w:rPr>
              <w:t>6</w:t>
            </w:r>
          </w:p>
        </w:tc>
        <w:tc>
          <w:tcPr>
            <w:tcW w:w="2565" w:type="dxa"/>
            <w:gridSpan w:val="2"/>
            <w:hideMark/>
          </w:tcPr>
          <w:p w:rsidR="00CD4ECC" w:rsidRPr="0051698C" w:rsidRDefault="00CD4ECC" w:rsidP="00C1648C">
            <w:pPr>
              <w:jc w:val="both"/>
              <w:rPr>
                <w:rFonts w:ascii="Arial" w:eastAsia="Times New Roman" w:hAnsi="Arial" w:cs="Arial"/>
                <w:color w:val="000000"/>
                <w:lang w:eastAsia="es-PE"/>
              </w:rPr>
            </w:pPr>
            <w:r w:rsidRPr="0051698C">
              <w:rPr>
                <w:rFonts w:ascii="Arial" w:eastAsia="Times New Roman" w:hAnsi="Arial" w:cs="Arial"/>
                <w:color w:val="000000"/>
                <w:lang w:eastAsia="es-PE"/>
              </w:rPr>
              <w:t>Nota</w:t>
            </w:r>
            <w:r w:rsidR="00BE1580" w:rsidRPr="0051698C">
              <w:rPr>
                <w:rFonts w:ascii="Arial" w:eastAsia="Times New Roman" w:hAnsi="Arial" w:cs="Arial"/>
                <w:color w:val="000000"/>
                <w:lang w:eastAsia="es-PE"/>
              </w:rPr>
              <w:t>s</w:t>
            </w:r>
            <w:r w:rsidRPr="0051698C">
              <w:rPr>
                <w:rFonts w:ascii="Arial" w:eastAsia="Times New Roman" w:hAnsi="Arial" w:cs="Arial"/>
                <w:color w:val="000000"/>
                <w:lang w:eastAsia="es-PE"/>
              </w:rPr>
              <w:t xml:space="preserve"> electrónica</w:t>
            </w:r>
            <w:r w:rsidR="00BE1580" w:rsidRPr="0051698C">
              <w:rPr>
                <w:rFonts w:ascii="Arial" w:eastAsia="Times New Roman" w:hAnsi="Arial" w:cs="Arial"/>
                <w:color w:val="000000"/>
                <w:lang w:eastAsia="es-PE"/>
              </w:rPr>
              <w:t>s</w:t>
            </w:r>
          </w:p>
        </w:tc>
        <w:tc>
          <w:tcPr>
            <w:tcW w:w="283" w:type="dxa"/>
            <w:hideMark/>
          </w:tcPr>
          <w:p w:rsidR="00CD4ECC" w:rsidRPr="0051698C" w:rsidRDefault="00CD4ECC"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E936C1" w:rsidRPr="0051698C" w:rsidRDefault="00CD4ECC" w:rsidP="00BF1110">
            <w:pPr>
              <w:jc w:val="both"/>
              <w:rPr>
                <w:rFonts w:ascii="Arial" w:hAnsi="Arial" w:cs="Arial"/>
              </w:rPr>
            </w:pPr>
            <w:r w:rsidRPr="0051698C">
              <w:rPr>
                <w:rFonts w:ascii="Arial" w:hAnsi="Arial" w:cs="Arial"/>
              </w:rPr>
              <w:t xml:space="preserve">A la nota de </w:t>
            </w:r>
            <w:r w:rsidRPr="0051698C">
              <w:rPr>
                <w:rFonts w:ascii="Arial" w:eastAsia="Times New Roman" w:hAnsi="Arial" w:cs="Arial"/>
                <w:color w:val="000000"/>
                <w:lang w:eastAsia="es-PE"/>
              </w:rPr>
              <w:t>crédito</w:t>
            </w:r>
            <w:r w:rsidRPr="0051698C">
              <w:rPr>
                <w:rFonts w:ascii="Arial" w:hAnsi="Arial" w:cs="Arial"/>
              </w:rPr>
              <w:t xml:space="preserve"> electrónica y</w:t>
            </w:r>
            <w:r w:rsidR="00865788" w:rsidRPr="0051698C">
              <w:rPr>
                <w:rFonts w:ascii="Arial" w:hAnsi="Arial" w:cs="Arial"/>
              </w:rPr>
              <w:t xml:space="preserve"> a la</w:t>
            </w:r>
            <w:r w:rsidRPr="0051698C">
              <w:rPr>
                <w:rFonts w:ascii="Arial" w:hAnsi="Arial" w:cs="Arial"/>
              </w:rPr>
              <w:t xml:space="preserve"> nota de débito  electrónica</w:t>
            </w:r>
            <w:r w:rsidR="00BE1580" w:rsidRPr="0051698C">
              <w:rPr>
                <w:rFonts w:ascii="Arial" w:hAnsi="Arial" w:cs="Arial"/>
              </w:rPr>
              <w:t>.</w:t>
            </w:r>
          </w:p>
          <w:p w:rsidR="00E2083E" w:rsidRPr="0051698C" w:rsidRDefault="00075022" w:rsidP="00BF1110">
            <w:pPr>
              <w:jc w:val="both"/>
              <w:rPr>
                <w:rFonts w:ascii="Arial" w:eastAsia="Times New Roman" w:hAnsi="Arial" w:cs="Arial"/>
                <w:color w:val="000000"/>
                <w:lang w:eastAsia="es-PE"/>
              </w:rPr>
            </w:pPr>
            <w:r w:rsidRPr="0051698C">
              <w:rPr>
                <w:rFonts w:ascii="Arial" w:hAnsi="Arial" w:cs="Arial"/>
              </w:rPr>
              <w:t xml:space="preserve"> </w:t>
            </w:r>
          </w:p>
        </w:tc>
      </w:tr>
      <w:tr w:rsidR="00B27759" w:rsidRPr="0051698C" w:rsidTr="009A4FC4">
        <w:trPr>
          <w:trHeight w:val="840"/>
          <w:tblCellSpacing w:w="0" w:type="dxa"/>
        </w:trPr>
        <w:tc>
          <w:tcPr>
            <w:tcW w:w="621" w:type="dxa"/>
            <w:gridSpan w:val="3"/>
            <w:hideMark/>
          </w:tcPr>
          <w:p w:rsidR="00B27759" w:rsidRPr="0051698C" w:rsidRDefault="00B27759" w:rsidP="00311B7A">
            <w:pPr>
              <w:jc w:val="both"/>
              <w:rPr>
                <w:rFonts w:ascii="Arial" w:eastAsia="Times New Roman" w:hAnsi="Arial" w:cs="Arial"/>
                <w:color w:val="000000"/>
                <w:lang w:eastAsia="es-PE"/>
              </w:rPr>
            </w:pPr>
            <w:r w:rsidRPr="0051698C">
              <w:rPr>
                <w:rFonts w:ascii="Arial" w:eastAsia="Times New Roman" w:hAnsi="Arial" w:cs="Arial"/>
                <w:color w:val="000000"/>
                <w:lang w:eastAsia="es-PE"/>
              </w:rPr>
              <w:t>1.</w:t>
            </w:r>
            <w:r w:rsidR="00311B7A" w:rsidRPr="0051698C">
              <w:rPr>
                <w:rFonts w:ascii="Arial" w:eastAsia="Times New Roman" w:hAnsi="Arial" w:cs="Arial"/>
                <w:color w:val="000000"/>
                <w:lang w:eastAsia="es-PE"/>
              </w:rPr>
              <w:t>7</w:t>
            </w:r>
          </w:p>
        </w:tc>
        <w:tc>
          <w:tcPr>
            <w:tcW w:w="2513" w:type="dxa"/>
            <w:hideMark/>
          </w:tcPr>
          <w:p w:rsidR="00B27759" w:rsidRPr="0051698C" w:rsidRDefault="00B27759" w:rsidP="00D2287D">
            <w:pPr>
              <w:jc w:val="both"/>
              <w:rPr>
                <w:rFonts w:ascii="Arial" w:eastAsia="Times New Roman" w:hAnsi="Arial" w:cs="Arial"/>
                <w:lang w:eastAsia="es-PE"/>
              </w:rPr>
            </w:pPr>
            <w:r w:rsidRPr="0051698C">
              <w:rPr>
                <w:rFonts w:ascii="Arial" w:eastAsia="Times New Roman" w:hAnsi="Arial" w:cs="Arial"/>
                <w:lang w:eastAsia="es-PE"/>
              </w:rPr>
              <w:t>Nota de débito electrónica</w:t>
            </w:r>
          </w:p>
        </w:tc>
        <w:tc>
          <w:tcPr>
            <w:tcW w:w="283" w:type="dxa"/>
            <w:hideMark/>
          </w:tcPr>
          <w:p w:rsidR="00B27759" w:rsidRPr="0051698C" w:rsidRDefault="00B27759" w:rsidP="00B27759">
            <w:pPr>
              <w:jc w:val="center"/>
              <w:rPr>
                <w:rFonts w:ascii="Arial" w:eastAsia="Times New Roman" w:hAnsi="Arial" w:cs="Arial"/>
                <w:lang w:eastAsia="es-PE"/>
              </w:rPr>
            </w:pPr>
            <w:r w:rsidRPr="0051698C">
              <w:rPr>
                <w:rFonts w:ascii="Arial" w:eastAsia="Times New Roman" w:hAnsi="Arial" w:cs="Arial"/>
                <w:lang w:eastAsia="es-PE"/>
              </w:rPr>
              <w:t>:</w:t>
            </w:r>
          </w:p>
        </w:tc>
        <w:tc>
          <w:tcPr>
            <w:tcW w:w="5194" w:type="dxa"/>
            <w:hideMark/>
          </w:tcPr>
          <w:p w:rsidR="00E07EEB" w:rsidRPr="0051698C" w:rsidRDefault="00AF2CCE" w:rsidP="00E2083E">
            <w:pPr>
              <w:jc w:val="both"/>
              <w:rPr>
                <w:rFonts w:ascii="Arial" w:hAnsi="Arial" w:cs="Arial"/>
              </w:rPr>
            </w:pPr>
            <w:r w:rsidRPr="0051698C">
              <w:rPr>
                <w:rFonts w:ascii="Arial" w:hAnsi="Arial" w:cs="Arial"/>
              </w:rPr>
              <w:t xml:space="preserve">A la nota de débito regulada </w:t>
            </w:r>
            <w:r w:rsidR="0072612D" w:rsidRPr="0051698C">
              <w:rPr>
                <w:rFonts w:ascii="Arial" w:hAnsi="Arial" w:cs="Arial"/>
              </w:rPr>
              <w:t xml:space="preserve">en </w:t>
            </w:r>
            <w:r w:rsidR="00880A6D" w:rsidRPr="0051698C">
              <w:rPr>
                <w:rFonts w:ascii="Arial" w:hAnsi="Arial" w:cs="Arial"/>
              </w:rPr>
              <w:t>los</w:t>
            </w:r>
            <w:r w:rsidR="0072612D" w:rsidRPr="0051698C">
              <w:rPr>
                <w:rFonts w:ascii="Arial" w:hAnsi="Arial" w:cs="Arial"/>
              </w:rPr>
              <w:t xml:space="preserve"> artículo</w:t>
            </w:r>
            <w:r w:rsidR="00880A6D" w:rsidRPr="0051698C">
              <w:rPr>
                <w:rFonts w:ascii="Arial" w:hAnsi="Arial" w:cs="Arial"/>
              </w:rPr>
              <w:t>s</w:t>
            </w:r>
            <w:r w:rsidR="0072612D" w:rsidRPr="0051698C">
              <w:rPr>
                <w:rFonts w:ascii="Arial" w:hAnsi="Arial" w:cs="Arial"/>
              </w:rPr>
              <w:t xml:space="preserve"> 13</w:t>
            </w:r>
            <w:r w:rsidR="00880A6D" w:rsidRPr="0051698C">
              <w:rPr>
                <w:rFonts w:ascii="Arial" w:hAnsi="Arial" w:cs="Arial"/>
              </w:rPr>
              <w:t xml:space="preserve"> y 14</w:t>
            </w:r>
            <w:r w:rsidRPr="0051698C">
              <w:rPr>
                <w:rFonts w:ascii="Arial" w:hAnsi="Arial" w:cs="Arial"/>
              </w:rPr>
              <w:t>, siempre que el documento electrónico que la soporte cuente</w:t>
            </w:r>
            <w:r w:rsidR="00763743" w:rsidRPr="0051698C">
              <w:rPr>
                <w:rFonts w:ascii="Arial" w:hAnsi="Arial" w:cs="Arial"/>
              </w:rPr>
              <w:t xml:space="preserve"> con</w:t>
            </w:r>
            <w:r w:rsidR="00917803" w:rsidRPr="0051698C">
              <w:rPr>
                <w:rFonts w:ascii="Arial" w:hAnsi="Arial" w:cs="Arial"/>
              </w:rPr>
              <w:t xml:space="preserve"> los requisitos mínimos que se indican en el anexo I</w:t>
            </w:r>
            <w:r w:rsidR="00E52498" w:rsidRPr="0051698C">
              <w:rPr>
                <w:rFonts w:ascii="Arial" w:hAnsi="Arial" w:cs="Arial"/>
              </w:rPr>
              <w:t xml:space="preserve"> </w:t>
            </w:r>
            <w:r w:rsidR="005B2A33" w:rsidRPr="0051698C">
              <w:rPr>
                <w:rFonts w:ascii="Arial" w:hAnsi="Arial" w:cs="Arial"/>
              </w:rPr>
              <w:t>que tenga asociado</w:t>
            </w:r>
            <w:r w:rsidR="00763743" w:rsidRPr="0051698C">
              <w:rPr>
                <w:rFonts w:ascii="Arial" w:hAnsi="Arial" w:cs="Arial"/>
              </w:rPr>
              <w:t xml:space="preserve"> el </w:t>
            </w:r>
            <w:r w:rsidR="00763743" w:rsidRPr="0051698C">
              <w:rPr>
                <w:rFonts w:ascii="Arial" w:hAnsi="Arial" w:cs="Arial"/>
              </w:rPr>
              <w:lastRenderedPageBreak/>
              <w:t>mecanismo de seguridad</w:t>
            </w:r>
            <w:r w:rsidR="00E52498" w:rsidRPr="0051698C">
              <w:rPr>
                <w:rFonts w:ascii="Arial" w:hAnsi="Arial" w:cs="Arial"/>
              </w:rPr>
              <w:t>, la cual se r</w:t>
            </w:r>
            <w:r w:rsidR="00570A23" w:rsidRPr="0051698C">
              <w:rPr>
                <w:rFonts w:ascii="Arial" w:hAnsi="Arial" w:cs="Arial"/>
              </w:rPr>
              <w:t>ige</w:t>
            </w:r>
            <w:r w:rsidR="00E52498" w:rsidRPr="0051698C">
              <w:rPr>
                <w:rFonts w:ascii="Arial" w:hAnsi="Arial" w:cs="Arial"/>
              </w:rPr>
              <w:t xml:space="preserve"> por lo dispuesto en la presente resolución.</w:t>
            </w:r>
            <w:r w:rsidRPr="0051698C">
              <w:rPr>
                <w:rFonts w:ascii="Arial" w:hAnsi="Arial" w:cs="Arial"/>
              </w:rPr>
              <w:t xml:space="preserve"> </w:t>
            </w:r>
          </w:p>
          <w:p w:rsidR="00AF2CCE" w:rsidRPr="0051698C" w:rsidRDefault="00AF2CCE" w:rsidP="00E2083E">
            <w:pPr>
              <w:jc w:val="both"/>
              <w:rPr>
                <w:rFonts w:ascii="Arial" w:hAnsi="Arial" w:cs="Arial"/>
              </w:rPr>
            </w:pPr>
          </w:p>
        </w:tc>
      </w:tr>
      <w:tr w:rsidR="00AF2CCE" w:rsidRPr="0051698C" w:rsidTr="006B662F">
        <w:trPr>
          <w:trHeight w:val="483"/>
          <w:tblCellSpacing w:w="0" w:type="dxa"/>
        </w:trPr>
        <w:tc>
          <w:tcPr>
            <w:tcW w:w="621" w:type="dxa"/>
            <w:gridSpan w:val="3"/>
            <w:hideMark/>
          </w:tcPr>
          <w:p w:rsidR="00AF2CCE" w:rsidRPr="0051698C" w:rsidRDefault="00AF2CCE" w:rsidP="00311B7A">
            <w:pPr>
              <w:jc w:val="both"/>
              <w:rPr>
                <w:rFonts w:ascii="Arial" w:eastAsia="Times New Roman" w:hAnsi="Arial" w:cs="Arial"/>
                <w:color w:val="000000"/>
                <w:lang w:eastAsia="es-PE"/>
              </w:rPr>
            </w:pPr>
            <w:r w:rsidRPr="0051698C">
              <w:rPr>
                <w:rFonts w:ascii="Arial" w:eastAsia="Times New Roman" w:hAnsi="Arial" w:cs="Arial"/>
                <w:color w:val="000000"/>
                <w:lang w:eastAsia="es-PE"/>
              </w:rPr>
              <w:lastRenderedPageBreak/>
              <w:t>1.</w:t>
            </w:r>
            <w:r w:rsidR="00311B7A" w:rsidRPr="0051698C">
              <w:rPr>
                <w:rFonts w:ascii="Arial" w:eastAsia="Times New Roman" w:hAnsi="Arial" w:cs="Arial"/>
                <w:color w:val="000000"/>
                <w:lang w:eastAsia="es-PE"/>
              </w:rPr>
              <w:t>8</w:t>
            </w:r>
          </w:p>
        </w:tc>
        <w:tc>
          <w:tcPr>
            <w:tcW w:w="2513" w:type="dxa"/>
            <w:hideMark/>
          </w:tcPr>
          <w:p w:rsidR="00AF2CCE" w:rsidRPr="0051698C" w:rsidRDefault="00AF2CCE" w:rsidP="00D2287D">
            <w:pPr>
              <w:jc w:val="both"/>
              <w:rPr>
                <w:rFonts w:ascii="Arial" w:eastAsia="Times New Roman" w:hAnsi="Arial" w:cs="Arial"/>
                <w:lang w:eastAsia="es-PE"/>
              </w:rPr>
            </w:pPr>
            <w:r w:rsidRPr="0051698C">
              <w:rPr>
                <w:rFonts w:ascii="Arial" w:eastAsia="Times New Roman" w:hAnsi="Arial" w:cs="Arial"/>
                <w:lang w:eastAsia="es-PE"/>
              </w:rPr>
              <w:t>Nota de crédito electrónica</w:t>
            </w:r>
          </w:p>
        </w:tc>
        <w:tc>
          <w:tcPr>
            <w:tcW w:w="283" w:type="dxa"/>
            <w:hideMark/>
          </w:tcPr>
          <w:p w:rsidR="00AF2CCE" w:rsidRPr="0051698C" w:rsidRDefault="00AF2CCE" w:rsidP="00B27759">
            <w:pPr>
              <w:jc w:val="center"/>
              <w:rPr>
                <w:rFonts w:ascii="Arial" w:eastAsia="Times New Roman" w:hAnsi="Arial" w:cs="Arial"/>
                <w:lang w:eastAsia="es-PE"/>
              </w:rPr>
            </w:pPr>
            <w:r w:rsidRPr="0051698C">
              <w:rPr>
                <w:rFonts w:ascii="Arial" w:eastAsia="Times New Roman" w:hAnsi="Arial" w:cs="Arial"/>
                <w:lang w:eastAsia="es-PE"/>
              </w:rPr>
              <w:t>:</w:t>
            </w:r>
          </w:p>
        </w:tc>
        <w:tc>
          <w:tcPr>
            <w:tcW w:w="5194" w:type="dxa"/>
            <w:hideMark/>
          </w:tcPr>
          <w:p w:rsidR="00AF2CCE" w:rsidRPr="0051698C" w:rsidRDefault="00AF2CCE" w:rsidP="006B662F">
            <w:pPr>
              <w:jc w:val="both"/>
              <w:rPr>
                <w:rFonts w:ascii="Arial" w:hAnsi="Arial" w:cs="Arial"/>
              </w:rPr>
            </w:pPr>
            <w:r w:rsidRPr="0051698C">
              <w:rPr>
                <w:rFonts w:ascii="Arial" w:hAnsi="Arial" w:cs="Arial"/>
              </w:rPr>
              <w:t xml:space="preserve">A la nota de crédito regulada en </w:t>
            </w:r>
            <w:r w:rsidR="00880A6D" w:rsidRPr="0051698C">
              <w:rPr>
                <w:rFonts w:ascii="Arial" w:hAnsi="Arial" w:cs="Arial"/>
              </w:rPr>
              <w:t>los</w:t>
            </w:r>
            <w:r w:rsidR="000A0BD0" w:rsidRPr="0051698C">
              <w:rPr>
                <w:rFonts w:ascii="Arial" w:hAnsi="Arial" w:cs="Arial"/>
              </w:rPr>
              <w:t xml:space="preserve"> artículo</w:t>
            </w:r>
            <w:r w:rsidR="00880A6D" w:rsidRPr="0051698C">
              <w:rPr>
                <w:rFonts w:ascii="Arial" w:hAnsi="Arial" w:cs="Arial"/>
              </w:rPr>
              <w:t>s</w:t>
            </w:r>
            <w:r w:rsidR="000A0BD0" w:rsidRPr="0051698C">
              <w:rPr>
                <w:rFonts w:ascii="Arial" w:hAnsi="Arial" w:cs="Arial"/>
              </w:rPr>
              <w:t xml:space="preserve"> 12</w:t>
            </w:r>
            <w:r w:rsidR="00880A6D" w:rsidRPr="0051698C">
              <w:rPr>
                <w:rFonts w:ascii="Arial" w:hAnsi="Arial" w:cs="Arial"/>
              </w:rPr>
              <w:t xml:space="preserve"> y 14</w:t>
            </w:r>
            <w:r w:rsidRPr="0051698C">
              <w:rPr>
                <w:rFonts w:ascii="Arial" w:hAnsi="Arial" w:cs="Arial"/>
              </w:rPr>
              <w:t xml:space="preserve">, siempre que el documento electrónico que la soporte cuente </w:t>
            </w:r>
            <w:r w:rsidR="00E52498" w:rsidRPr="0051698C">
              <w:rPr>
                <w:rFonts w:ascii="Arial" w:hAnsi="Arial" w:cs="Arial"/>
              </w:rPr>
              <w:t xml:space="preserve">con los requisitos mínimos que se indican en el anexo I </w:t>
            </w:r>
            <w:r w:rsidR="005B2A33" w:rsidRPr="0051698C">
              <w:rPr>
                <w:rFonts w:ascii="Arial" w:hAnsi="Arial" w:cs="Arial"/>
              </w:rPr>
              <w:t>que tenga asociado</w:t>
            </w:r>
            <w:r w:rsidR="00E52498" w:rsidRPr="0051698C">
              <w:rPr>
                <w:rFonts w:ascii="Arial" w:hAnsi="Arial" w:cs="Arial"/>
              </w:rPr>
              <w:t xml:space="preserve"> el mecanismo de seguridad, la cual se r</w:t>
            </w:r>
            <w:r w:rsidR="00570A23" w:rsidRPr="0051698C">
              <w:rPr>
                <w:rFonts w:ascii="Arial" w:hAnsi="Arial" w:cs="Arial"/>
              </w:rPr>
              <w:t>ige</w:t>
            </w:r>
            <w:r w:rsidR="00E52498" w:rsidRPr="0051698C">
              <w:rPr>
                <w:rFonts w:ascii="Arial" w:hAnsi="Arial" w:cs="Arial"/>
              </w:rPr>
              <w:t xml:space="preserve"> por lo dispuesto en la presente resolución.</w:t>
            </w:r>
            <w:r w:rsidR="00763743" w:rsidRPr="0051698C">
              <w:rPr>
                <w:rFonts w:ascii="Arial" w:hAnsi="Arial" w:cs="Arial"/>
              </w:rPr>
              <w:t xml:space="preserve"> </w:t>
            </w:r>
          </w:p>
          <w:p w:rsidR="00976A7A" w:rsidRPr="0051698C" w:rsidRDefault="00976A7A" w:rsidP="006B662F">
            <w:pPr>
              <w:jc w:val="both"/>
              <w:rPr>
                <w:rFonts w:ascii="Arial" w:hAnsi="Arial" w:cs="Arial"/>
              </w:rPr>
            </w:pPr>
          </w:p>
        </w:tc>
      </w:tr>
      <w:tr w:rsidR="00000E21" w:rsidRPr="0051698C" w:rsidTr="009A4FC4">
        <w:trPr>
          <w:trHeight w:val="840"/>
          <w:tblCellSpacing w:w="0" w:type="dxa"/>
        </w:trPr>
        <w:tc>
          <w:tcPr>
            <w:tcW w:w="621" w:type="dxa"/>
            <w:gridSpan w:val="3"/>
            <w:hideMark/>
          </w:tcPr>
          <w:p w:rsidR="00000E21" w:rsidRPr="0051698C" w:rsidRDefault="00000E21" w:rsidP="00311B7A">
            <w:pPr>
              <w:jc w:val="both"/>
              <w:rPr>
                <w:rFonts w:ascii="Arial" w:eastAsia="Times New Roman" w:hAnsi="Arial" w:cs="Arial"/>
                <w:color w:val="000000"/>
                <w:lang w:eastAsia="es-PE"/>
              </w:rPr>
            </w:pPr>
            <w:r w:rsidRPr="0051698C">
              <w:rPr>
                <w:rFonts w:ascii="Arial" w:eastAsia="Times New Roman" w:hAnsi="Arial" w:cs="Arial"/>
                <w:color w:val="000000"/>
                <w:lang w:eastAsia="es-PE"/>
              </w:rPr>
              <w:t>1.</w:t>
            </w:r>
            <w:r w:rsidR="00311B7A" w:rsidRPr="0051698C">
              <w:rPr>
                <w:rFonts w:ascii="Arial" w:eastAsia="Times New Roman" w:hAnsi="Arial" w:cs="Arial"/>
                <w:color w:val="000000"/>
                <w:lang w:eastAsia="es-PE"/>
              </w:rPr>
              <w:t>9</w:t>
            </w:r>
          </w:p>
        </w:tc>
        <w:tc>
          <w:tcPr>
            <w:tcW w:w="2513" w:type="dxa"/>
            <w:hideMark/>
          </w:tcPr>
          <w:p w:rsidR="00000E21" w:rsidRPr="0051698C" w:rsidRDefault="00000E21" w:rsidP="00D2287D">
            <w:pPr>
              <w:jc w:val="both"/>
              <w:rPr>
                <w:rFonts w:ascii="Arial" w:eastAsia="Times New Roman" w:hAnsi="Arial" w:cs="Arial"/>
                <w:lang w:eastAsia="es-PE"/>
              </w:rPr>
            </w:pPr>
            <w:r w:rsidRPr="0051698C">
              <w:rPr>
                <w:rFonts w:ascii="Arial" w:eastAsia="Times New Roman" w:hAnsi="Arial" w:cs="Arial"/>
                <w:lang w:eastAsia="es-PE"/>
              </w:rPr>
              <w:t>Recibo electrónico por servicios públicos (recibo electrónico SP)</w:t>
            </w:r>
          </w:p>
          <w:p w:rsidR="00000E21" w:rsidRPr="0051698C" w:rsidRDefault="00000E21" w:rsidP="00D2287D">
            <w:pPr>
              <w:jc w:val="both"/>
              <w:rPr>
                <w:rFonts w:ascii="Arial" w:eastAsia="Times New Roman" w:hAnsi="Arial" w:cs="Arial"/>
                <w:lang w:eastAsia="es-PE"/>
              </w:rPr>
            </w:pPr>
          </w:p>
        </w:tc>
        <w:tc>
          <w:tcPr>
            <w:tcW w:w="283" w:type="dxa"/>
            <w:hideMark/>
          </w:tcPr>
          <w:p w:rsidR="00000E21" w:rsidRPr="0051698C" w:rsidRDefault="00000E21" w:rsidP="00A0173D">
            <w:pPr>
              <w:jc w:val="center"/>
              <w:rPr>
                <w:rFonts w:ascii="Arial" w:eastAsia="Times New Roman" w:hAnsi="Arial" w:cs="Arial"/>
                <w:lang w:eastAsia="es-PE"/>
              </w:rPr>
            </w:pPr>
            <w:r w:rsidRPr="0051698C">
              <w:rPr>
                <w:rFonts w:ascii="Arial" w:eastAsia="Times New Roman" w:hAnsi="Arial" w:cs="Arial"/>
                <w:lang w:eastAsia="es-PE"/>
              </w:rPr>
              <w:t>:</w:t>
            </w:r>
          </w:p>
        </w:tc>
        <w:tc>
          <w:tcPr>
            <w:tcW w:w="5194" w:type="dxa"/>
            <w:hideMark/>
          </w:tcPr>
          <w:p w:rsidR="00000E21" w:rsidRPr="0051698C" w:rsidRDefault="00000E21" w:rsidP="00E2083E">
            <w:pPr>
              <w:jc w:val="both"/>
              <w:rPr>
                <w:rFonts w:ascii="Arial" w:hAnsi="Arial" w:cs="Arial"/>
              </w:rPr>
            </w:pPr>
            <w:r w:rsidRPr="0051698C">
              <w:rPr>
                <w:rFonts w:ascii="Arial" w:hAnsi="Arial" w:cs="Arial"/>
              </w:rPr>
              <w:t xml:space="preserve">Al </w:t>
            </w:r>
            <w:r w:rsidRPr="0051698C">
              <w:rPr>
                <w:rFonts w:ascii="Arial" w:eastAsia="Times New Roman" w:hAnsi="Arial" w:cs="Arial"/>
                <w:lang w:eastAsia="es-PE"/>
              </w:rPr>
              <w:t>comprobante</w:t>
            </w:r>
            <w:r w:rsidRPr="0051698C">
              <w:rPr>
                <w:rFonts w:ascii="Arial" w:hAnsi="Arial" w:cs="Arial"/>
              </w:rPr>
              <w:t xml:space="preserve"> de pago electrónico emitido por </w:t>
            </w:r>
            <w:r w:rsidR="00793180" w:rsidRPr="0051698C">
              <w:rPr>
                <w:rFonts w:ascii="Arial" w:hAnsi="Arial" w:cs="Arial"/>
              </w:rPr>
              <w:t>la prestación de</w:t>
            </w:r>
            <w:r w:rsidR="00E52498" w:rsidRPr="0051698C">
              <w:rPr>
                <w:rFonts w:ascii="Arial" w:hAnsi="Arial" w:cs="Arial"/>
              </w:rPr>
              <w:t xml:space="preserve"> los</w:t>
            </w:r>
            <w:r w:rsidR="00793180" w:rsidRPr="0051698C">
              <w:rPr>
                <w:rFonts w:ascii="Arial" w:hAnsi="Arial" w:cs="Arial"/>
              </w:rPr>
              <w:t xml:space="preserve"> </w:t>
            </w:r>
            <w:r w:rsidRPr="0051698C">
              <w:rPr>
                <w:rFonts w:ascii="Arial" w:hAnsi="Arial" w:cs="Arial"/>
              </w:rPr>
              <w:t xml:space="preserve">servicios </w:t>
            </w:r>
            <w:r w:rsidR="00856E8D" w:rsidRPr="0051698C">
              <w:rPr>
                <w:rFonts w:ascii="Arial" w:hAnsi="Arial" w:cs="Arial"/>
              </w:rPr>
              <w:t>públicos</w:t>
            </w:r>
            <w:r w:rsidRPr="0051698C">
              <w:rPr>
                <w:rFonts w:ascii="Arial" w:hAnsi="Arial" w:cs="Arial"/>
              </w:rPr>
              <w:t>, siempre que el documento electrónico que lo soporte cuente</w:t>
            </w:r>
            <w:r w:rsidR="00763743" w:rsidRPr="0051698C">
              <w:rPr>
                <w:rFonts w:ascii="Arial" w:hAnsi="Arial" w:cs="Arial"/>
              </w:rPr>
              <w:t xml:space="preserve"> </w:t>
            </w:r>
            <w:r w:rsidR="00E52498" w:rsidRPr="0051698C">
              <w:rPr>
                <w:rFonts w:ascii="Arial" w:hAnsi="Arial" w:cs="Arial"/>
              </w:rPr>
              <w:t xml:space="preserve">con los requisitos mínimos que se indican en el anexo I </w:t>
            </w:r>
            <w:r w:rsidR="005B2A33" w:rsidRPr="0051698C">
              <w:rPr>
                <w:rFonts w:ascii="Arial" w:hAnsi="Arial" w:cs="Arial"/>
              </w:rPr>
              <w:t>que tenga asociado</w:t>
            </w:r>
            <w:r w:rsidR="00E52498" w:rsidRPr="0051698C">
              <w:rPr>
                <w:rFonts w:ascii="Arial" w:hAnsi="Arial" w:cs="Arial"/>
              </w:rPr>
              <w:t xml:space="preserve"> el mecanismo de seguridad, el cual se </w:t>
            </w:r>
            <w:r w:rsidR="00570A23" w:rsidRPr="0051698C">
              <w:rPr>
                <w:rFonts w:ascii="Arial" w:hAnsi="Arial" w:cs="Arial"/>
              </w:rPr>
              <w:t>rige</w:t>
            </w:r>
            <w:r w:rsidR="00E52498" w:rsidRPr="0051698C">
              <w:rPr>
                <w:rFonts w:ascii="Arial" w:hAnsi="Arial" w:cs="Arial"/>
              </w:rPr>
              <w:t xml:space="preserve"> por lo dispuesto en la presente resolución.</w:t>
            </w:r>
            <w:r w:rsidRPr="0051698C">
              <w:rPr>
                <w:rFonts w:ascii="Arial" w:hAnsi="Arial" w:cs="Arial"/>
              </w:rPr>
              <w:t xml:space="preserve"> </w:t>
            </w:r>
          </w:p>
          <w:p w:rsidR="00000E21" w:rsidRPr="0051698C" w:rsidRDefault="00000E21" w:rsidP="00BA0551">
            <w:pPr>
              <w:jc w:val="both"/>
              <w:rPr>
                <w:rFonts w:ascii="Arial" w:eastAsia="Times New Roman" w:hAnsi="Arial" w:cs="Arial"/>
                <w:lang w:eastAsia="es-PE"/>
              </w:rPr>
            </w:pPr>
          </w:p>
        </w:tc>
      </w:tr>
      <w:tr w:rsidR="00000E21" w:rsidRPr="0051698C" w:rsidTr="009A4FC4">
        <w:trPr>
          <w:trHeight w:val="840"/>
          <w:tblCellSpacing w:w="0" w:type="dxa"/>
        </w:trPr>
        <w:tc>
          <w:tcPr>
            <w:tcW w:w="621" w:type="dxa"/>
            <w:gridSpan w:val="3"/>
            <w:hideMark/>
          </w:tcPr>
          <w:p w:rsidR="00000E21" w:rsidRPr="0051698C" w:rsidRDefault="00000E21" w:rsidP="00311B7A">
            <w:pPr>
              <w:jc w:val="both"/>
              <w:rPr>
                <w:rFonts w:ascii="Arial" w:eastAsia="Times New Roman" w:hAnsi="Arial" w:cs="Arial"/>
                <w:color w:val="000000"/>
                <w:lang w:eastAsia="es-PE"/>
              </w:rPr>
            </w:pPr>
            <w:r w:rsidRPr="0051698C">
              <w:rPr>
                <w:rFonts w:ascii="Arial" w:eastAsia="Times New Roman" w:hAnsi="Arial" w:cs="Arial"/>
                <w:color w:val="000000"/>
                <w:lang w:eastAsia="es-PE"/>
              </w:rPr>
              <w:t>1.</w:t>
            </w:r>
            <w:r w:rsidR="00311B7A" w:rsidRPr="0051698C">
              <w:rPr>
                <w:rFonts w:ascii="Arial" w:eastAsia="Times New Roman" w:hAnsi="Arial" w:cs="Arial"/>
                <w:color w:val="000000"/>
                <w:lang w:eastAsia="es-PE"/>
              </w:rPr>
              <w:t>10</w:t>
            </w:r>
          </w:p>
        </w:tc>
        <w:tc>
          <w:tcPr>
            <w:tcW w:w="2513" w:type="dxa"/>
            <w:hideMark/>
          </w:tcPr>
          <w:p w:rsidR="00000E21" w:rsidRPr="0051698C" w:rsidRDefault="00000E21" w:rsidP="00456CD5">
            <w:pPr>
              <w:jc w:val="both"/>
              <w:rPr>
                <w:rFonts w:ascii="Arial" w:eastAsia="Times New Roman" w:hAnsi="Arial" w:cs="Arial"/>
                <w:color w:val="000000"/>
                <w:lang w:eastAsia="es-PE"/>
              </w:rPr>
            </w:pPr>
            <w:r w:rsidRPr="0051698C">
              <w:rPr>
                <w:rFonts w:ascii="Arial" w:eastAsia="Times New Roman" w:hAnsi="Arial" w:cs="Arial"/>
                <w:color w:val="000000"/>
                <w:lang w:eastAsia="es-PE"/>
              </w:rPr>
              <w:t>RCP</w:t>
            </w:r>
          </w:p>
        </w:tc>
        <w:tc>
          <w:tcPr>
            <w:tcW w:w="283" w:type="dxa"/>
            <w:hideMark/>
          </w:tcPr>
          <w:p w:rsidR="00000E21" w:rsidRPr="0051698C" w:rsidRDefault="00000E21"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000E21" w:rsidRPr="0051698C" w:rsidRDefault="00000E21" w:rsidP="00456CD5">
            <w:pPr>
              <w:autoSpaceDE w:val="0"/>
              <w:autoSpaceDN w:val="0"/>
              <w:adjustRightInd w:val="0"/>
              <w:jc w:val="both"/>
              <w:rPr>
                <w:rFonts w:ascii="Arial" w:hAnsi="Arial" w:cs="Arial"/>
                <w:lang w:eastAsia="es-PE"/>
              </w:rPr>
            </w:pPr>
            <w:r w:rsidRPr="0051698C">
              <w:rPr>
                <w:rFonts w:ascii="Arial" w:hAnsi="Arial" w:cs="Arial"/>
                <w:lang w:eastAsia="es-PE"/>
              </w:rPr>
              <w:t>Al Reglamento de Comprobantes de Pago, aprobado por la Resolución de Superintendencia N.° 007-99/SUNAT y normas modificatorias.</w:t>
            </w:r>
          </w:p>
          <w:p w:rsidR="00000E21" w:rsidRPr="0051698C" w:rsidRDefault="00000E21" w:rsidP="00456CD5">
            <w:pPr>
              <w:autoSpaceDE w:val="0"/>
              <w:autoSpaceDN w:val="0"/>
              <w:adjustRightInd w:val="0"/>
              <w:jc w:val="both"/>
              <w:rPr>
                <w:rFonts w:ascii="Arial" w:hAnsi="Arial" w:cs="Arial"/>
              </w:rPr>
            </w:pPr>
          </w:p>
        </w:tc>
      </w:tr>
      <w:tr w:rsidR="00000E21" w:rsidRPr="0051698C" w:rsidTr="009A4FC4">
        <w:trPr>
          <w:trHeight w:val="840"/>
          <w:tblCellSpacing w:w="0" w:type="dxa"/>
        </w:trPr>
        <w:tc>
          <w:tcPr>
            <w:tcW w:w="621" w:type="dxa"/>
            <w:gridSpan w:val="3"/>
            <w:hideMark/>
          </w:tcPr>
          <w:p w:rsidR="00000E21" w:rsidRPr="0051698C" w:rsidRDefault="00000E21" w:rsidP="00311B7A">
            <w:pPr>
              <w:jc w:val="both"/>
              <w:rPr>
                <w:rFonts w:ascii="Arial" w:eastAsia="Times New Roman" w:hAnsi="Arial" w:cs="Arial"/>
                <w:color w:val="000000"/>
                <w:lang w:eastAsia="es-PE"/>
              </w:rPr>
            </w:pPr>
            <w:r w:rsidRPr="0051698C">
              <w:rPr>
                <w:rFonts w:ascii="Arial" w:eastAsia="Times New Roman" w:hAnsi="Arial" w:cs="Arial"/>
                <w:color w:val="000000"/>
                <w:lang w:eastAsia="es-PE"/>
              </w:rPr>
              <w:t>1.</w:t>
            </w:r>
            <w:r w:rsidR="008E52C2" w:rsidRPr="0051698C">
              <w:rPr>
                <w:rFonts w:ascii="Arial" w:eastAsia="Times New Roman" w:hAnsi="Arial" w:cs="Arial"/>
                <w:color w:val="000000"/>
                <w:lang w:eastAsia="es-PE"/>
              </w:rPr>
              <w:t>1</w:t>
            </w:r>
            <w:r w:rsidR="00311B7A" w:rsidRPr="0051698C">
              <w:rPr>
                <w:rFonts w:ascii="Arial" w:eastAsia="Times New Roman" w:hAnsi="Arial" w:cs="Arial"/>
                <w:color w:val="000000"/>
                <w:lang w:eastAsia="es-PE"/>
              </w:rPr>
              <w:t>1</w:t>
            </w:r>
          </w:p>
        </w:tc>
        <w:tc>
          <w:tcPr>
            <w:tcW w:w="2513" w:type="dxa"/>
            <w:hideMark/>
          </w:tcPr>
          <w:p w:rsidR="00000E21" w:rsidRPr="0051698C" w:rsidRDefault="00000E21" w:rsidP="00AF2CCE">
            <w:pPr>
              <w:jc w:val="both"/>
              <w:rPr>
                <w:rFonts w:ascii="Arial" w:eastAsia="Times New Roman" w:hAnsi="Arial" w:cs="Arial"/>
                <w:color w:val="000000"/>
                <w:lang w:eastAsia="es-PE"/>
              </w:rPr>
            </w:pPr>
            <w:r w:rsidRPr="0051698C">
              <w:rPr>
                <w:rFonts w:ascii="Arial" w:eastAsia="Times New Roman" w:hAnsi="Arial" w:cs="Arial"/>
                <w:color w:val="000000"/>
                <w:lang w:eastAsia="es-PE"/>
              </w:rPr>
              <w:t>Representación impresa</w:t>
            </w:r>
            <w:r w:rsidR="00AF2CCE" w:rsidRPr="0051698C">
              <w:rPr>
                <w:rFonts w:ascii="Arial" w:eastAsia="Times New Roman" w:hAnsi="Arial" w:cs="Arial"/>
                <w:color w:val="000000"/>
                <w:lang w:eastAsia="es-PE"/>
              </w:rPr>
              <w:t xml:space="preserve"> o</w:t>
            </w:r>
            <w:r w:rsidRPr="0051698C">
              <w:rPr>
                <w:rFonts w:ascii="Arial" w:eastAsia="Times New Roman" w:hAnsi="Arial" w:cs="Arial"/>
                <w:color w:val="000000"/>
                <w:lang w:eastAsia="es-PE"/>
              </w:rPr>
              <w:t xml:space="preserve"> digital </w:t>
            </w:r>
          </w:p>
        </w:tc>
        <w:tc>
          <w:tcPr>
            <w:tcW w:w="283" w:type="dxa"/>
            <w:hideMark/>
          </w:tcPr>
          <w:p w:rsidR="00000E21" w:rsidRPr="0051698C" w:rsidRDefault="00000E21" w:rsidP="00006CE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D04A0A" w:rsidRPr="0051698C" w:rsidRDefault="00D04A0A" w:rsidP="00BF1110">
            <w:pPr>
              <w:spacing w:line="220" w:lineRule="atLeast"/>
              <w:jc w:val="both"/>
              <w:rPr>
                <w:rFonts w:ascii="Arial" w:hAnsi="Arial" w:cs="Arial"/>
              </w:rPr>
            </w:pPr>
            <w:r w:rsidRPr="0051698C">
              <w:rPr>
                <w:rFonts w:ascii="Arial" w:hAnsi="Arial" w:cs="Arial"/>
              </w:rPr>
              <w:t>A</w:t>
            </w:r>
            <w:r w:rsidR="00901CE5" w:rsidRPr="0051698C">
              <w:rPr>
                <w:rFonts w:ascii="Arial" w:hAnsi="Arial" w:cs="Arial"/>
              </w:rPr>
              <w:t>l resumen</w:t>
            </w:r>
            <w:r w:rsidRPr="0051698C">
              <w:rPr>
                <w:rFonts w:ascii="Arial" w:hAnsi="Arial" w:cs="Arial"/>
              </w:rPr>
              <w:t xml:space="preserve"> </w:t>
            </w:r>
            <w:r w:rsidR="00533290" w:rsidRPr="0051698C">
              <w:rPr>
                <w:rFonts w:ascii="Arial" w:hAnsi="Arial" w:cs="Arial"/>
              </w:rPr>
              <w:t xml:space="preserve">del comprobante de pago electrónico o de la nota electrónica </w:t>
            </w:r>
            <w:r w:rsidR="008E52C2" w:rsidRPr="0051698C">
              <w:rPr>
                <w:rFonts w:ascii="Arial" w:hAnsi="Arial" w:cs="Arial"/>
              </w:rPr>
              <w:t xml:space="preserve">en soporte de papel o </w:t>
            </w:r>
            <w:r w:rsidR="007C2CD4" w:rsidRPr="0051698C">
              <w:rPr>
                <w:rFonts w:ascii="Arial" w:hAnsi="Arial" w:cs="Arial"/>
              </w:rPr>
              <w:t>en formato digital</w:t>
            </w:r>
            <w:r w:rsidR="00E52498" w:rsidRPr="0051698C">
              <w:rPr>
                <w:rFonts w:ascii="Arial" w:hAnsi="Arial" w:cs="Arial"/>
              </w:rPr>
              <w:t>, al que alude el segundo párrafo del artículo 2 y el último párrafo del artículo 3 del Decreto Ley N.° 25632 y normas modificatorias,</w:t>
            </w:r>
            <w:r w:rsidR="00901CE5" w:rsidRPr="0051698C">
              <w:rPr>
                <w:rFonts w:ascii="Arial" w:hAnsi="Arial" w:cs="Arial"/>
              </w:rPr>
              <w:t xml:space="preserve"> que contiene </w:t>
            </w:r>
            <w:r w:rsidR="00880A6D" w:rsidRPr="0051698C">
              <w:rPr>
                <w:rFonts w:ascii="Arial" w:hAnsi="Arial" w:cs="Arial"/>
              </w:rPr>
              <w:t xml:space="preserve">los requisitos mínimos </w:t>
            </w:r>
            <w:r w:rsidR="00901CE5" w:rsidRPr="0051698C">
              <w:rPr>
                <w:rFonts w:ascii="Arial" w:hAnsi="Arial" w:cs="Arial"/>
              </w:rPr>
              <w:t>que se indica</w:t>
            </w:r>
            <w:r w:rsidR="00880A6D" w:rsidRPr="0051698C">
              <w:rPr>
                <w:rFonts w:ascii="Arial" w:hAnsi="Arial" w:cs="Arial"/>
              </w:rPr>
              <w:t>n</w:t>
            </w:r>
            <w:r w:rsidR="00901CE5" w:rsidRPr="0051698C">
              <w:rPr>
                <w:rFonts w:ascii="Arial" w:hAnsi="Arial" w:cs="Arial"/>
              </w:rPr>
              <w:t xml:space="preserve"> en el anexo I</w:t>
            </w:r>
            <w:r w:rsidR="00657A55" w:rsidRPr="0051698C">
              <w:rPr>
                <w:rFonts w:ascii="Arial" w:hAnsi="Arial" w:cs="Arial"/>
              </w:rPr>
              <w:t>.</w:t>
            </w:r>
            <w:r w:rsidRPr="0051698C">
              <w:rPr>
                <w:rFonts w:ascii="Arial" w:hAnsi="Arial" w:cs="Arial"/>
              </w:rPr>
              <w:t xml:space="preserve"> </w:t>
            </w:r>
          </w:p>
          <w:p w:rsidR="00AC7D44" w:rsidRPr="0051698C" w:rsidRDefault="00AC7D44" w:rsidP="00BF1110">
            <w:pPr>
              <w:spacing w:line="220" w:lineRule="atLeast"/>
              <w:jc w:val="both"/>
              <w:rPr>
                <w:rFonts w:ascii="Arial" w:hAnsi="Arial" w:cs="Arial"/>
              </w:rPr>
            </w:pPr>
          </w:p>
          <w:p w:rsidR="007C2CD4" w:rsidRPr="0051698C" w:rsidRDefault="00E52498" w:rsidP="00BF1110">
            <w:pPr>
              <w:spacing w:line="220" w:lineRule="atLeast"/>
              <w:jc w:val="both"/>
              <w:rPr>
                <w:rFonts w:ascii="Arial" w:hAnsi="Arial" w:cs="Arial"/>
              </w:rPr>
            </w:pPr>
            <w:r w:rsidRPr="0051698C">
              <w:rPr>
                <w:rFonts w:ascii="Arial" w:hAnsi="Arial" w:cs="Arial"/>
              </w:rPr>
              <w:t>Lo indicado en el párrafo anterior incluye</w:t>
            </w:r>
            <w:r w:rsidR="008E52C2" w:rsidRPr="0051698C">
              <w:rPr>
                <w:rFonts w:ascii="Arial" w:hAnsi="Arial" w:cs="Arial"/>
              </w:rPr>
              <w:t xml:space="preserve"> al recibo que emitan las empresas que prestan </w:t>
            </w:r>
            <w:r w:rsidRPr="0051698C">
              <w:rPr>
                <w:rFonts w:ascii="Arial" w:hAnsi="Arial" w:cs="Arial"/>
              </w:rPr>
              <w:t xml:space="preserve">los </w:t>
            </w:r>
            <w:r w:rsidR="00000E21" w:rsidRPr="0051698C">
              <w:rPr>
                <w:rFonts w:ascii="Arial" w:hAnsi="Arial" w:cs="Arial"/>
              </w:rPr>
              <w:t>servicios públicos,</w:t>
            </w:r>
            <w:r w:rsidR="008E52C2" w:rsidRPr="0051698C">
              <w:rPr>
                <w:rFonts w:ascii="Arial" w:hAnsi="Arial" w:cs="Arial"/>
              </w:rPr>
              <w:t xml:space="preserve"> siempre que contenga </w:t>
            </w:r>
            <w:r w:rsidR="00901CE5" w:rsidRPr="0051698C">
              <w:rPr>
                <w:rFonts w:ascii="Arial" w:hAnsi="Arial" w:cs="Arial"/>
              </w:rPr>
              <w:t>l</w:t>
            </w:r>
            <w:r w:rsidR="001305C8" w:rsidRPr="0051698C">
              <w:rPr>
                <w:rFonts w:ascii="Arial" w:hAnsi="Arial" w:cs="Arial"/>
              </w:rPr>
              <w:t xml:space="preserve">os </w:t>
            </w:r>
            <w:r w:rsidR="00A93DC8" w:rsidRPr="0051698C">
              <w:rPr>
                <w:rFonts w:ascii="Arial" w:hAnsi="Arial" w:cs="Arial"/>
              </w:rPr>
              <w:t>requisitos</w:t>
            </w:r>
            <w:r w:rsidR="00901CE5" w:rsidRPr="0051698C">
              <w:rPr>
                <w:rFonts w:ascii="Arial" w:hAnsi="Arial" w:cs="Arial"/>
              </w:rPr>
              <w:t xml:space="preserve"> mínimos </w:t>
            </w:r>
            <w:r w:rsidRPr="0051698C">
              <w:rPr>
                <w:rFonts w:ascii="Arial" w:hAnsi="Arial" w:cs="Arial"/>
              </w:rPr>
              <w:t>antes señalados.</w:t>
            </w:r>
          </w:p>
          <w:p w:rsidR="005B2A33" w:rsidRPr="0051698C" w:rsidRDefault="005B2A33" w:rsidP="00BF1110">
            <w:pPr>
              <w:spacing w:line="220" w:lineRule="atLeast"/>
              <w:jc w:val="both"/>
              <w:rPr>
                <w:rFonts w:ascii="Arial" w:eastAsia="Times New Roman" w:hAnsi="Arial" w:cs="Arial"/>
                <w:color w:val="FF0000"/>
                <w:lang w:eastAsia="es-PE"/>
              </w:rPr>
            </w:pPr>
          </w:p>
        </w:tc>
      </w:tr>
      <w:tr w:rsidR="00484138" w:rsidRPr="0051698C" w:rsidTr="009A4FC4">
        <w:trPr>
          <w:trHeight w:val="840"/>
          <w:tblCellSpacing w:w="0" w:type="dxa"/>
        </w:trPr>
        <w:tc>
          <w:tcPr>
            <w:tcW w:w="621" w:type="dxa"/>
            <w:gridSpan w:val="3"/>
            <w:hideMark/>
          </w:tcPr>
          <w:p w:rsidR="00484138" w:rsidRPr="0051698C" w:rsidRDefault="00484138" w:rsidP="00311B7A">
            <w:pPr>
              <w:jc w:val="both"/>
              <w:rPr>
                <w:rFonts w:ascii="Arial" w:eastAsia="Times New Roman" w:hAnsi="Arial" w:cs="Arial"/>
                <w:color w:val="000000"/>
                <w:lang w:eastAsia="es-PE"/>
              </w:rPr>
            </w:pPr>
            <w:r w:rsidRPr="0051698C">
              <w:rPr>
                <w:rFonts w:ascii="Arial" w:eastAsia="Times New Roman" w:hAnsi="Arial" w:cs="Arial"/>
                <w:color w:val="000000"/>
                <w:lang w:eastAsia="es-PE"/>
              </w:rPr>
              <w:t>1.12</w:t>
            </w:r>
          </w:p>
        </w:tc>
        <w:tc>
          <w:tcPr>
            <w:tcW w:w="2513" w:type="dxa"/>
            <w:hideMark/>
          </w:tcPr>
          <w:p w:rsidR="00484138" w:rsidRPr="0051698C" w:rsidRDefault="00484138" w:rsidP="00AF2CCE">
            <w:pPr>
              <w:jc w:val="both"/>
              <w:rPr>
                <w:rFonts w:ascii="Arial" w:eastAsia="Times New Roman" w:hAnsi="Arial" w:cs="Arial"/>
                <w:color w:val="000000"/>
                <w:lang w:eastAsia="es-PE"/>
              </w:rPr>
            </w:pPr>
            <w:r w:rsidRPr="0051698C">
              <w:rPr>
                <w:rFonts w:ascii="Arial" w:eastAsia="Times New Roman" w:hAnsi="Arial" w:cs="Arial"/>
                <w:color w:val="000000"/>
                <w:lang w:eastAsia="es-PE"/>
              </w:rPr>
              <w:t>SEE</w:t>
            </w:r>
          </w:p>
        </w:tc>
        <w:tc>
          <w:tcPr>
            <w:tcW w:w="283" w:type="dxa"/>
            <w:hideMark/>
          </w:tcPr>
          <w:p w:rsidR="00484138" w:rsidRPr="0051698C" w:rsidRDefault="00484138" w:rsidP="00006CE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484138" w:rsidRPr="0051698C" w:rsidRDefault="00484138" w:rsidP="00BF1110">
            <w:pPr>
              <w:spacing w:line="220" w:lineRule="atLeast"/>
              <w:jc w:val="both"/>
              <w:rPr>
                <w:rFonts w:ascii="Arial" w:hAnsi="Arial" w:cs="Arial"/>
              </w:rPr>
            </w:pPr>
            <w:r w:rsidRPr="0051698C">
              <w:rPr>
                <w:rFonts w:ascii="Arial" w:hAnsi="Arial" w:cs="Arial"/>
              </w:rPr>
              <w:t>Al sistema de emisión electrónica regulado por la Resolución de</w:t>
            </w:r>
            <w:r w:rsidR="009F1598" w:rsidRPr="0051698C">
              <w:rPr>
                <w:rFonts w:ascii="Arial" w:hAnsi="Arial" w:cs="Arial"/>
              </w:rPr>
              <w:t xml:space="preserve"> Superintendencia N.° 300-2014/ SUNAT y normas modificatorias.</w:t>
            </w:r>
          </w:p>
          <w:p w:rsidR="009F1598" w:rsidRPr="0051698C" w:rsidRDefault="009F1598" w:rsidP="00BF1110">
            <w:pPr>
              <w:spacing w:line="220" w:lineRule="atLeast"/>
              <w:jc w:val="both"/>
              <w:rPr>
                <w:rFonts w:ascii="Arial" w:hAnsi="Arial" w:cs="Arial"/>
              </w:rPr>
            </w:pPr>
          </w:p>
        </w:tc>
      </w:tr>
      <w:tr w:rsidR="00B605BA" w:rsidRPr="0051698C" w:rsidTr="009A4FC4">
        <w:trPr>
          <w:trHeight w:val="840"/>
          <w:tblCellSpacing w:w="0" w:type="dxa"/>
        </w:trPr>
        <w:tc>
          <w:tcPr>
            <w:tcW w:w="621" w:type="dxa"/>
            <w:gridSpan w:val="3"/>
            <w:hideMark/>
          </w:tcPr>
          <w:p w:rsidR="00B605BA" w:rsidRPr="0051698C" w:rsidRDefault="00B605BA" w:rsidP="009F1598">
            <w:pPr>
              <w:jc w:val="both"/>
              <w:rPr>
                <w:rFonts w:ascii="Arial" w:eastAsia="Times New Roman" w:hAnsi="Arial" w:cs="Arial"/>
                <w:color w:val="000000"/>
                <w:lang w:eastAsia="es-PE"/>
              </w:rPr>
            </w:pPr>
            <w:r w:rsidRPr="0051698C">
              <w:rPr>
                <w:rFonts w:ascii="Arial" w:eastAsia="Times New Roman" w:hAnsi="Arial" w:cs="Arial"/>
                <w:color w:val="000000"/>
                <w:lang w:eastAsia="es-PE"/>
              </w:rPr>
              <w:t>1.</w:t>
            </w:r>
            <w:r w:rsidR="007000BC" w:rsidRPr="0051698C">
              <w:rPr>
                <w:rFonts w:ascii="Arial" w:eastAsia="Times New Roman" w:hAnsi="Arial" w:cs="Arial"/>
                <w:color w:val="000000"/>
                <w:lang w:eastAsia="es-PE"/>
              </w:rPr>
              <w:t>1</w:t>
            </w:r>
            <w:r w:rsidR="009F1598" w:rsidRPr="0051698C">
              <w:rPr>
                <w:rFonts w:ascii="Arial" w:eastAsia="Times New Roman" w:hAnsi="Arial" w:cs="Arial"/>
                <w:color w:val="000000"/>
                <w:lang w:eastAsia="es-PE"/>
              </w:rPr>
              <w:t>3</w:t>
            </w:r>
          </w:p>
        </w:tc>
        <w:tc>
          <w:tcPr>
            <w:tcW w:w="2513" w:type="dxa"/>
            <w:hideMark/>
          </w:tcPr>
          <w:p w:rsidR="00B605BA" w:rsidRPr="0051698C" w:rsidRDefault="00B605BA" w:rsidP="00E65F8A">
            <w:pPr>
              <w:jc w:val="both"/>
              <w:rPr>
                <w:rFonts w:ascii="Arial" w:eastAsia="Times New Roman" w:hAnsi="Arial" w:cs="Arial"/>
                <w:color w:val="000000"/>
                <w:lang w:eastAsia="es-PE"/>
              </w:rPr>
            </w:pPr>
            <w:r w:rsidRPr="0051698C">
              <w:rPr>
                <w:rFonts w:ascii="Arial" w:eastAsia="Times New Roman" w:hAnsi="Arial" w:cs="Arial"/>
                <w:color w:val="000000"/>
                <w:lang w:eastAsia="es-PE"/>
              </w:rPr>
              <w:t>SEE – Del contribuyente</w:t>
            </w:r>
          </w:p>
        </w:tc>
        <w:tc>
          <w:tcPr>
            <w:tcW w:w="283" w:type="dxa"/>
            <w:hideMark/>
          </w:tcPr>
          <w:p w:rsidR="00B605BA" w:rsidRPr="0051698C" w:rsidRDefault="00F65570"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hideMark/>
          </w:tcPr>
          <w:p w:rsidR="00B605BA" w:rsidRPr="0051698C" w:rsidRDefault="00F65570" w:rsidP="00B85B12">
            <w:pPr>
              <w:jc w:val="both"/>
              <w:rPr>
                <w:rFonts w:ascii="Arial" w:eastAsia="Times New Roman" w:hAnsi="Arial" w:cs="Arial"/>
                <w:color w:val="000000"/>
                <w:lang w:eastAsia="es-PE"/>
              </w:rPr>
            </w:pPr>
            <w:r w:rsidRPr="0051698C">
              <w:rPr>
                <w:rFonts w:ascii="Arial" w:eastAsia="Times New Roman" w:hAnsi="Arial" w:cs="Arial"/>
                <w:color w:val="000000"/>
                <w:lang w:eastAsia="es-PE"/>
              </w:rPr>
              <w:t>Al</w:t>
            </w:r>
            <w:r w:rsidR="009F1598" w:rsidRPr="0051698C">
              <w:rPr>
                <w:rFonts w:ascii="Arial" w:eastAsia="Times New Roman" w:hAnsi="Arial" w:cs="Arial"/>
                <w:color w:val="000000"/>
                <w:lang w:eastAsia="es-PE"/>
              </w:rPr>
              <w:t xml:space="preserve"> </w:t>
            </w:r>
            <w:r w:rsidRPr="0051698C">
              <w:rPr>
                <w:rFonts w:ascii="Arial" w:eastAsia="Times New Roman" w:hAnsi="Arial" w:cs="Arial"/>
                <w:color w:val="000000"/>
                <w:lang w:eastAsia="es-PE"/>
              </w:rPr>
              <w:t>sistema de emisión electrónica desarrollado desde los sistemas del contribuyente, aprobado por la</w:t>
            </w:r>
            <w:r w:rsidR="009F1598" w:rsidRPr="0051698C">
              <w:rPr>
                <w:rFonts w:ascii="Arial" w:eastAsia="Times New Roman" w:hAnsi="Arial" w:cs="Arial"/>
                <w:color w:val="000000"/>
                <w:lang w:eastAsia="es-PE"/>
              </w:rPr>
              <w:t xml:space="preserve"> </w:t>
            </w:r>
            <w:r w:rsidRPr="0051698C">
              <w:rPr>
                <w:rFonts w:ascii="Arial" w:eastAsia="Times New Roman" w:hAnsi="Arial" w:cs="Arial"/>
                <w:color w:val="000000"/>
                <w:lang w:eastAsia="es-PE"/>
              </w:rPr>
              <w:t>Resolución</w:t>
            </w:r>
            <w:r w:rsidR="009F1598" w:rsidRPr="0051698C">
              <w:rPr>
                <w:rFonts w:ascii="Arial" w:eastAsia="Times New Roman" w:hAnsi="Arial" w:cs="Arial"/>
                <w:color w:val="000000"/>
                <w:lang w:eastAsia="es-PE"/>
              </w:rPr>
              <w:t xml:space="preserve"> </w:t>
            </w:r>
            <w:r w:rsidRPr="0051698C">
              <w:rPr>
                <w:rFonts w:ascii="Arial" w:eastAsia="Times New Roman" w:hAnsi="Arial" w:cs="Arial"/>
                <w:color w:val="000000"/>
                <w:lang w:eastAsia="es-PE"/>
              </w:rPr>
              <w:t>de</w:t>
            </w:r>
            <w:r w:rsidR="009F1598" w:rsidRPr="0051698C">
              <w:rPr>
                <w:rFonts w:ascii="Arial" w:eastAsia="Times New Roman" w:hAnsi="Arial" w:cs="Arial"/>
                <w:color w:val="000000"/>
                <w:lang w:eastAsia="es-PE"/>
              </w:rPr>
              <w:t xml:space="preserve"> </w:t>
            </w:r>
            <w:r w:rsidRPr="0051698C">
              <w:rPr>
                <w:rFonts w:ascii="Arial" w:eastAsia="Times New Roman" w:hAnsi="Arial" w:cs="Arial"/>
                <w:color w:val="000000"/>
                <w:lang w:eastAsia="es-PE"/>
              </w:rPr>
              <w:t>Superintendencia</w:t>
            </w:r>
            <w:r w:rsidR="009F1598" w:rsidRPr="0051698C">
              <w:rPr>
                <w:rFonts w:ascii="Arial" w:eastAsia="Times New Roman" w:hAnsi="Arial" w:cs="Arial"/>
                <w:color w:val="000000"/>
                <w:lang w:eastAsia="es-PE"/>
              </w:rPr>
              <w:t xml:space="preserve"> </w:t>
            </w:r>
            <w:r w:rsidRPr="0051698C">
              <w:rPr>
                <w:rFonts w:ascii="Arial" w:eastAsia="Times New Roman" w:hAnsi="Arial" w:cs="Arial"/>
                <w:color w:val="000000"/>
                <w:lang w:eastAsia="es-PE"/>
              </w:rPr>
              <w:t>N.° 097-2012/SUNAT y normas modificatorias.</w:t>
            </w:r>
          </w:p>
          <w:p w:rsidR="00F65570" w:rsidRPr="0051698C" w:rsidRDefault="00F65570" w:rsidP="00B85B12">
            <w:pPr>
              <w:jc w:val="both"/>
              <w:rPr>
                <w:rFonts w:ascii="Arial" w:eastAsia="Times New Roman" w:hAnsi="Arial" w:cs="Arial"/>
                <w:color w:val="000000"/>
                <w:lang w:eastAsia="es-PE"/>
              </w:rPr>
            </w:pPr>
          </w:p>
        </w:tc>
      </w:tr>
      <w:tr w:rsidR="007E2721" w:rsidRPr="0051698C" w:rsidTr="009A4FC4">
        <w:trPr>
          <w:trHeight w:val="840"/>
          <w:tblCellSpacing w:w="0" w:type="dxa"/>
        </w:trPr>
        <w:tc>
          <w:tcPr>
            <w:tcW w:w="621" w:type="dxa"/>
            <w:gridSpan w:val="3"/>
          </w:tcPr>
          <w:p w:rsidR="007E2721" w:rsidRPr="0051698C" w:rsidRDefault="007E2721" w:rsidP="009F1598">
            <w:pPr>
              <w:jc w:val="both"/>
              <w:rPr>
                <w:rFonts w:ascii="Arial" w:eastAsia="Times New Roman" w:hAnsi="Arial" w:cs="Arial"/>
                <w:color w:val="000000"/>
                <w:lang w:eastAsia="es-PE"/>
              </w:rPr>
            </w:pPr>
            <w:r w:rsidRPr="0051698C">
              <w:rPr>
                <w:rFonts w:ascii="Arial" w:eastAsia="Times New Roman" w:hAnsi="Arial" w:cs="Arial"/>
                <w:color w:val="000000"/>
                <w:lang w:eastAsia="es-PE"/>
              </w:rPr>
              <w:lastRenderedPageBreak/>
              <w:t>1.1</w:t>
            </w:r>
            <w:r w:rsidR="009F1598" w:rsidRPr="0051698C">
              <w:rPr>
                <w:rFonts w:ascii="Arial" w:eastAsia="Times New Roman" w:hAnsi="Arial" w:cs="Arial"/>
                <w:color w:val="000000"/>
                <w:lang w:eastAsia="es-PE"/>
              </w:rPr>
              <w:t>4</w:t>
            </w:r>
          </w:p>
        </w:tc>
        <w:tc>
          <w:tcPr>
            <w:tcW w:w="2513" w:type="dxa"/>
          </w:tcPr>
          <w:p w:rsidR="007E2721" w:rsidRPr="0051698C" w:rsidRDefault="007E2721" w:rsidP="002471C3">
            <w:pPr>
              <w:jc w:val="both"/>
              <w:rPr>
                <w:rFonts w:ascii="Arial" w:eastAsia="Times New Roman" w:hAnsi="Arial" w:cs="Arial"/>
                <w:color w:val="000000"/>
                <w:lang w:eastAsia="es-PE"/>
              </w:rPr>
            </w:pPr>
            <w:r w:rsidRPr="0051698C">
              <w:rPr>
                <w:rFonts w:ascii="Arial" w:eastAsia="Times New Roman" w:hAnsi="Arial" w:cs="Arial"/>
                <w:color w:val="000000"/>
                <w:lang w:eastAsia="es-PE"/>
              </w:rPr>
              <w:t>Servicios públicos</w:t>
            </w:r>
          </w:p>
        </w:tc>
        <w:tc>
          <w:tcPr>
            <w:tcW w:w="283" w:type="dxa"/>
          </w:tcPr>
          <w:p w:rsidR="007E2721" w:rsidRPr="0051698C" w:rsidRDefault="007E2721"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tcPr>
          <w:p w:rsidR="00ED4179" w:rsidRPr="0051698C" w:rsidRDefault="007E2721" w:rsidP="00B85B12">
            <w:pPr>
              <w:tabs>
                <w:tab w:val="left" w:pos="567"/>
              </w:tabs>
              <w:jc w:val="both"/>
              <w:rPr>
                <w:rFonts w:ascii="Arial" w:hAnsi="Arial" w:cs="Arial"/>
                <w:b/>
                <w:lang w:val="es-MX"/>
              </w:rPr>
            </w:pPr>
            <w:r w:rsidRPr="0051698C">
              <w:rPr>
                <w:rFonts w:ascii="Arial" w:hAnsi="Arial" w:cs="Arial"/>
              </w:rPr>
              <w:t>A los servicios indicados en</w:t>
            </w:r>
            <w:r w:rsidR="00793180" w:rsidRPr="0051698C">
              <w:rPr>
                <w:rFonts w:ascii="Arial" w:hAnsi="Arial" w:cs="Arial"/>
              </w:rPr>
              <w:t xml:space="preserve"> el</w:t>
            </w:r>
            <w:r w:rsidRPr="0051698C">
              <w:rPr>
                <w:rFonts w:ascii="Arial" w:hAnsi="Arial" w:cs="Arial"/>
              </w:rPr>
              <w:t xml:space="preserve"> literal d)</w:t>
            </w:r>
            <w:r w:rsidR="00ED4179" w:rsidRPr="0051698C">
              <w:rPr>
                <w:rFonts w:ascii="Arial" w:hAnsi="Arial" w:cs="Arial"/>
              </w:rPr>
              <w:t xml:space="preserve"> del inciso 6.1 del numeral 6 del artículo 4 del RCP, sin considerar la operación a que se refiere el sétimo párrafo de ese literal</w:t>
            </w:r>
            <w:r w:rsidR="00B85B12" w:rsidRPr="0051698C">
              <w:rPr>
                <w:rFonts w:ascii="Arial" w:hAnsi="Arial" w:cs="Arial"/>
              </w:rPr>
              <w:t>,</w:t>
            </w:r>
            <w:r w:rsidRPr="0051698C">
              <w:rPr>
                <w:rFonts w:ascii="Arial" w:hAnsi="Arial" w:cs="Arial"/>
              </w:rPr>
              <w:t xml:space="preserve"> y </w:t>
            </w:r>
            <w:r w:rsidR="00793180" w:rsidRPr="0051698C">
              <w:rPr>
                <w:rFonts w:ascii="Arial" w:hAnsi="Arial" w:cs="Arial"/>
              </w:rPr>
              <w:t xml:space="preserve">en el literal </w:t>
            </w:r>
            <w:r w:rsidRPr="0051698C">
              <w:rPr>
                <w:rFonts w:ascii="Arial" w:hAnsi="Arial" w:cs="Arial"/>
              </w:rPr>
              <w:t xml:space="preserve">o) del inciso 6.1 del numeral </w:t>
            </w:r>
            <w:r w:rsidR="00793180" w:rsidRPr="0051698C">
              <w:rPr>
                <w:rFonts w:ascii="Arial" w:hAnsi="Arial" w:cs="Arial"/>
              </w:rPr>
              <w:t>antes referido</w:t>
            </w:r>
            <w:r w:rsidR="00B85B12" w:rsidRPr="0051698C">
              <w:rPr>
                <w:rFonts w:ascii="Arial" w:hAnsi="Arial" w:cs="Arial"/>
              </w:rPr>
              <w:t>,</w:t>
            </w:r>
            <w:r w:rsidR="00ED4179" w:rsidRPr="0051698C">
              <w:rPr>
                <w:rFonts w:ascii="Arial" w:hAnsi="Arial" w:cs="Arial"/>
                <w:color w:val="000000"/>
              </w:rPr>
              <w:t xml:space="preserve"> sin considerar la operación a que se refiere el tercer párrafo de ese literal</w:t>
            </w:r>
            <w:r w:rsidR="00ED4179" w:rsidRPr="0051698C">
              <w:rPr>
                <w:rFonts w:ascii="Arial" w:hAnsi="Arial" w:cs="Arial"/>
              </w:rPr>
              <w:t>.</w:t>
            </w:r>
            <w:r w:rsidR="00ED4179" w:rsidRPr="0051698C">
              <w:rPr>
                <w:rFonts w:ascii="Arial" w:hAnsi="Arial" w:cs="Arial"/>
                <w:lang w:val="es-MX"/>
              </w:rPr>
              <w:t xml:space="preserve">  </w:t>
            </w:r>
          </w:p>
          <w:p w:rsidR="007E2721" w:rsidRPr="0051698C" w:rsidRDefault="007E2721" w:rsidP="00B85B12">
            <w:pPr>
              <w:autoSpaceDE w:val="0"/>
              <w:autoSpaceDN w:val="0"/>
              <w:adjustRightInd w:val="0"/>
              <w:jc w:val="both"/>
              <w:rPr>
                <w:rFonts w:ascii="Arial" w:hAnsi="Arial" w:cs="Arial"/>
                <w:color w:val="000000"/>
                <w:shd w:val="clear" w:color="auto" w:fill="FFFFFF"/>
                <w:lang w:val="es-MX"/>
              </w:rPr>
            </w:pPr>
          </w:p>
        </w:tc>
      </w:tr>
      <w:tr w:rsidR="00000E21" w:rsidRPr="0051698C" w:rsidTr="009A4FC4">
        <w:trPr>
          <w:trHeight w:val="840"/>
          <w:tblCellSpacing w:w="0" w:type="dxa"/>
        </w:trPr>
        <w:tc>
          <w:tcPr>
            <w:tcW w:w="621" w:type="dxa"/>
            <w:gridSpan w:val="3"/>
          </w:tcPr>
          <w:p w:rsidR="00000E21" w:rsidRPr="0051698C" w:rsidRDefault="00000E21" w:rsidP="009F1598">
            <w:pPr>
              <w:jc w:val="both"/>
              <w:rPr>
                <w:rFonts w:ascii="Arial" w:eastAsia="Times New Roman" w:hAnsi="Arial" w:cs="Arial"/>
                <w:color w:val="000000"/>
                <w:lang w:eastAsia="es-PE"/>
              </w:rPr>
            </w:pPr>
            <w:bookmarkStart w:id="5" w:name="JD_300-2014-SUNAT-2.16"/>
            <w:bookmarkEnd w:id="5"/>
            <w:r w:rsidRPr="0051698C">
              <w:rPr>
                <w:rFonts w:ascii="Arial" w:eastAsia="Times New Roman" w:hAnsi="Arial" w:cs="Arial"/>
                <w:color w:val="000000"/>
                <w:lang w:eastAsia="es-PE"/>
              </w:rPr>
              <w:t>1.1</w:t>
            </w:r>
            <w:r w:rsidR="009F1598" w:rsidRPr="0051698C">
              <w:rPr>
                <w:rFonts w:ascii="Arial" w:eastAsia="Times New Roman" w:hAnsi="Arial" w:cs="Arial"/>
                <w:color w:val="000000"/>
                <w:lang w:eastAsia="es-PE"/>
              </w:rPr>
              <w:t>5</w:t>
            </w:r>
          </w:p>
        </w:tc>
        <w:tc>
          <w:tcPr>
            <w:tcW w:w="2513" w:type="dxa"/>
          </w:tcPr>
          <w:p w:rsidR="00000E21" w:rsidRPr="0051698C" w:rsidRDefault="00000E21" w:rsidP="002471C3">
            <w:pPr>
              <w:jc w:val="both"/>
              <w:rPr>
                <w:rFonts w:ascii="Arial" w:eastAsia="Times New Roman" w:hAnsi="Arial" w:cs="Arial"/>
                <w:color w:val="000000"/>
                <w:lang w:eastAsia="es-PE"/>
              </w:rPr>
            </w:pPr>
            <w:r w:rsidRPr="0051698C">
              <w:rPr>
                <w:rFonts w:ascii="Arial" w:eastAsia="Times New Roman" w:hAnsi="Arial" w:cs="Arial"/>
                <w:color w:val="000000"/>
                <w:lang w:eastAsia="es-PE"/>
              </w:rPr>
              <w:t>SUNAT Operaciones en Línea</w:t>
            </w:r>
          </w:p>
        </w:tc>
        <w:tc>
          <w:tcPr>
            <w:tcW w:w="283" w:type="dxa"/>
          </w:tcPr>
          <w:p w:rsidR="00000E21" w:rsidRPr="0051698C" w:rsidRDefault="00000E21"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tcPr>
          <w:p w:rsidR="00000E21" w:rsidRPr="0051698C" w:rsidRDefault="00000E21" w:rsidP="00C07F43">
            <w:pPr>
              <w:autoSpaceDE w:val="0"/>
              <w:autoSpaceDN w:val="0"/>
              <w:adjustRightInd w:val="0"/>
              <w:jc w:val="both"/>
              <w:rPr>
                <w:rFonts w:ascii="Arial" w:hAnsi="Arial" w:cs="Arial"/>
                <w:color w:val="000000"/>
                <w:shd w:val="clear" w:color="auto" w:fill="FFFFFF"/>
              </w:rPr>
            </w:pPr>
            <w:r w:rsidRPr="0051698C">
              <w:rPr>
                <w:rFonts w:ascii="Arial" w:hAnsi="Arial" w:cs="Arial"/>
                <w:color w:val="000000"/>
                <w:shd w:val="clear" w:color="auto" w:fill="FFFFFF"/>
              </w:rPr>
              <w:t>Al sistema informático disponible en Internet, que permit</w:t>
            </w:r>
            <w:r w:rsidR="000E2F8C" w:rsidRPr="0051698C">
              <w:rPr>
                <w:rFonts w:ascii="Arial" w:hAnsi="Arial" w:cs="Arial"/>
                <w:color w:val="000000"/>
                <w:shd w:val="clear" w:color="auto" w:fill="FFFFFF"/>
              </w:rPr>
              <w:t>e</w:t>
            </w:r>
            <w:r w:rsidRPr="0051698C">
              <w:rPr>
                <w:rFonts w:ascii="Arial" w:hAnsi="Arial" w:cs="Arial"/>
                <w:color w:val="000000"/>
                <w:shd w:val="clear" w:color="auto" w:fill="FFFFFF"/>
              </w:rPr>
              <w:t xml:space="preserve"> realizar operaciones en forma telemática entre el </w:t>
            </w:r>
            <w:r w:rsidR="008E52C2" w:rsidRPr="0051698C">
              <w:rPr>
                <w:rFonts w:ascii="Arial" w:hAnsi="Arial" w:cs="Arial"/>
                <w:color w:val="000000"/>
                <w:shd w:val="clear" w:color="auto" w:fill="FFFFFF"/>
              </w:rPr>
              <w:t>usuario y la SUNAT, según la Resolución de Superintendencia N.° 109-2000/SUNAT y normas modificatorias.</w:t>
            </w:r>
          </w:p>
          <w:p w:rsidR="00000E21" w:rsidRPr="0051698C" w:rsidRDefault="00000E21" w:rsidP="00C07F43">
            <w:pPr>
              <w:autoSpaceDE w:val="0"/>
              <w:autoSpaceDN w:val="0"/>
              <w:adjustRightInd w:val="0"/>
              <w:jc w:val="both"/>
              <w:rPr>
                <w:rFonts w:ascii="Arial" w:hAnsi="Arial" w:cs="Arial"/>
                <w:lang w:eastAsia="es-PE"/>
              </w:rPr>
            </w:pPr>
          </w:p>
        </w:tc>
      </w:tr>
      <w:tr w:rsidR="00000E21" w:rsidRPr="0051698C" w:rsidTr="009A4FC4">
        <w:trPr>
          <w:trHeight w:val="840"/>
          <w:tblCellSpacing w:w="0" w:type="dxa"/>
        </w:trPr>
        <w:tc>
          <w:tcPr>
            <w:tcW w:w="621" w:type="dxa"/>
            <w:gridSpan w:val="3"/>
          </w:tcPr>
          <w:p w:rsidR="00000E21" w:rsidRPr="0051698C" w:rsidRDefault="000A18E1" w:rsidP="00901CE5">
            <w:pPr>
              <w:jc w:val="both"/>
              <w:rPr>
                <w:rFonts w:ascii="Arial" w:eastAsia="Times New Roman" w:hAnsi="Arial" w:cs="Arial"/>
                <w:color w:val="000000"/>
                <w:lang w:eastAsia="es-PE"/>
              </w:rPr>
            </w:pPr>
            <w:r w:rsidRPr="0051698C">
              <w:rPr>
                <w:rFonts w:ascii="Arial" w:eastAsia="Times New Roman" w:hAnsi="Arial" w:cs="Arial"/>
                <w:color w:val="000000"/>
                <w:lang w:eastAsia="es-PE"/>
              </w:rPr>
              <w:t>1.1</w:t>
            </w:r>
            <w:r w:rsidR="00E936C1" w:rsidRPr="0051698C">
              <w:rPr>
                <w:rFonts w:ascii="Arial" w:eastAsia="Times New Roman" w:hAnsi="Arial" w:cs="Arial"/>
                <w:color w:val="000000"/>
                <w:lang w:eastAsia="es-PE"/>
              </w:rPr>
              <w:t>6</w:t>
            </w:r>
            <w:r w:rsidR="00F65570" w:rsidRPr="0051698C">
              <w:rPr>
                <w:rFonts w:ascii="Arial" w:eastAsia="Times New Roman" w:hAnsi="Arial" w:cs="Arial"/>
                <w:color w:val="000000"/>
                <w:lang w:eastAsia="es-PE"/>
              </w:rPr>
              <w:t xml:space="preserve">                                                            </w:t>
            </w:r>
          </w:p>
        </w:tc>
        <w:tc>
          <w:tcPr>
            <w:tcW w:w="2513" w:type="dxa"/>
          </w:tcPr>
          <w:p w:rsidR="00000E21" w:rsidRPr="0051698C" w:rsidRDefault="00000E21" w:rsidP="002471C3">
            <w:pPr>
              <w:jc w:val="both"/>
              <w:rPr>
                <w:rFonts w:ascii="Arial" w:eastAsia="Times New Roman" w:hAnsi="Arial" w:cs="Arial"/>
                <w:color w:val="000000"/>
                <w:lang w:eastAsia="es-PE"/>
              </w:rPr>
            </w:pPr>
            <w:r w:rsidRPr="0051698C">
              <w:rPr>
                <w:rFonts w:ascii="Arial" w:eastAsia="Times New Roman" w:hAnsi="Arial" w:cs="Arial"/>
                <w:color w:val="000000"/>
                <w:lang w:eastAsia="es-PE"/>
              </w:rPr>
              <w:t>SUNAT Virtual</w:t>
            </w:r>
          </w:p>
        </w:tc>
        <w:tc>
          <w:tcPr>
            <w:tcW w:w="283" w:type="dxa"/>
          </w:tcPr>
          <w:p w:rsidR="00000E21" w:rsidRPr="0051698C" w:rsidRDefault="00000E21" w:rsidP="00824486">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5194" w:type="dxa"/>
          </w:tcPr>
          <w:p w:rsidR="00000E21" w:rsidRPr="0051698C" w:rsidRDefault="00000E21" w:rsidP="002471C3">
            <w:pPr>
              <w:autoSpaceDE w:val="0"/>
              <w:autoSpaceDN w:val="0"/>
              <w:adjustRightInd w:val="0"/>
              <w:jc w:val="both"/>
              <w:rPr>
                <w:rFonts w:ascii="Arial" w:hAnsi="Arial" w:cs="Arial"/>
                <w:color w:val="000000"/>
                <w:shd w:val="clear" w:color="auto" w:fill="FFFFFF"/>
              </w:rPr>
            </w:pPr>
            <w:r w:rsidRPr="0051698C">
              <w:rPr>
                <w:rFonts w:ascii="Arial" w:hAnsi="Arial" w:cs="Arial"/>
                <w:color w:val="000000"/>
                <w:shd w:val="clear" w:color="auto" w:fill="FFFFFF"/>
              </w:rPr>
              <w:t>Al portal de la SUNAT en la Internet, cuya dirección es http://www.sunat.gob.pe.</w:t>
            </w:r>
          </w:p>
        </w:tc>
      </w:tr>
    </w:tbl>
    <w:p w:rsidR="00BD67C3" w:rsidRPr="0051698C" w:rsidRDefault="00BD67C3" w:rsidP="002F24CD">
      <w:pPr>
        <w:spacing w:line="220" w:lineRule="atLeast"/>
        <w:jc w:val="both"/>
        <w:rPr>
          <w:rFonts w:ascii="Arial" w:hAnsi="Arial" w:cs="Arial"/>
          <w:b/>
          <w:color w:val="000000"/>
          <w:lang w:val="es-MX"/>
        </w:rPr>
      </w:pPr>
      <w:bookmarkStart w:id="6" w:name="JD_Artculo1.-APROBACI"/>
      <w:bookmarkEnd w:id="6"/>
    </w:p>
    <w:p w:rsidR="00B64941" w:rsidRPr="0051698C" w:rsidRDefault="00B64941" w:rsidP="002F24CD">
      <w:pPr>
        <w:spacing w:line="220" w:lineRule="atLeast"/>
        <w:jc w:val="both"/>
        <w:rPr>
          <w:rFonts w:ascii="Arial" w:hAnsi="Arial" w:cs="Arial"/>
          <w:color w:val="000000"/>
          <w:lang w:val="es-ES_tradnl"/>
        </w:rPr>
      </w:pPr>
      <w:r w:rsidRPr="0051698C">
        <w:rPr>
          <w:rFonts w:ascii="Arial" w:hAnsi="Arial" w:cs="Arial"/>
          <w:b/>
          <w:color w:val="000000"/>
          <w:lang w:val="es-MX"/>
        </w:rPr>
        <w:t xml:space="preserve">Artículo 2. Aprobación del SEE </w:t>
      </w:r>
      <w:r w:rsidRPr="0051698C">
        <w:rPr>
          <w:rFonts w:ascii="Arial" w:hAnsi="Arial" w:cs="Arial"/>
          <w:b/>
        </w:rPr>
        <w:t xml:space="preserve">– </w:t>
      </w:r>
      <w:r w:rsidR="00220AB1" w:rsidRPr="0051698C">
        <w:rPr>
          <w:rFonts w:ascii="Arial" w:hAnsi="Arial" w:cs="Arial"/>
          <w:b/>
        </w:rPr>
        <w:t>Empresas Supervisadas</w:t>
      </w:r>
      <w:r w:rsidRPr="0051698C">
        <w:rPr>
          <w:rFonts w:ascii="Arial" w:hAnsi="Arial" w:cs="Arial"/>
          <w:b/>
          <w:color w:val="000000"/>
          <w:lang w:val="es-MX"/>
        </w:rPr>
        <w:t xml:space="preserve"> </w:t>
      </w:r>
    </w:p>
    <w:p w:rsidR="00B64941" w:rsidRPr="0051698C" w:rsidRDefault="00B64941" w:rsidP="002F24CD">
      <w:pPr>
        <w:pStyle w:val="Sangra2detindependiente"/>
        <w:spacing w:line="220" w:lineRule="atLeast"/>
        <w:ind w:firstLine="0"/>
        <w:rPr>
          <w:sz w:val="22"/>
          <w:szCs w:val="22"/>
          <w:lang w:val="es-ES_tradnl"/>
        </w:rPr>
      </w:pPr>
    </w:p>
    <w:p w:rsidR="00B64941" w:rsidRPr="0051698C" w:rsidRDefault="00B64941" w:rsidP="002F24CD">
      <w:pPr>
        <w:spacing w:line="220" w:lineRule="atLeast"/>
        <w:jc w:val="both"/>
        <w:rPr>
          <w:rFonts w:ascii="Arial" w:hAnsi="Arial" w:cs="Arial"/>
          <w:lang w:val="es-ES_tradnl"/>
        </w:rPr>
      </w:pPr>
      <w:proofErr w:type="spellStart"/>
      <w:r w:rsidRPr="0051698C">
        <w:rPr>
          <w:rFonts w:ascii="Arial" w:hAnsi="Arial" w:cs="Arial"/>
          <w:lang w:val="es-ES_tradnl"/>
        </w:rPr>
        <w:t>Apruébase</w:t>
      </w:r>
      <w:proofErr w:type="spellEnd"/>
      <w:r w:rsidRPr="0051698C">
        <w:rPr>
          <w:rFonts w:ascii="Arial" w:hAnsi="Arial" w:cs="Arial"/>
          <w:lang w:val="es-ES_tradnl"/>
        </w:rPr>
        <w:t xml:space="preserve"> el SEE – </w:t>
      </w:r>
      <w:r w:rsidR="00220AB1" w:rsidRPr="0051698C">
        <w:rPr>
          <w:rFonts w:ascii="Arial" w:hAnsi="Arial" w:cs="Arial"/>
        </w:rPr>
        <w:t>Empresas Supervisadas</w:t>
      </w:r>
      <w:r w:rsidRPr="0051698C">
        <w:rPr>
          <w:rFonts w:ascii="Arial" w:hAnsi="Arial" w:cs="Arial"/>
          <w:lang w:val="es-ES_tradnl"/>
        </w:rPr>
        <w:t xml:space="preserve">, que es parte del </w:t>
      </w:r>
      <w:r w:rsidR="00822681" w:rsidRPr="0051698C">
        <w:rPr>
          <w:rFonts w:ascii="Arial" w:hAnsi="Arial" w:cs="Arial"/>
          <w:lang w:val="es-ES_tradnl"/>
        </w:rPr>
        <w:t>SEE, como el medio de emisión de</w:t>
      </w:r>
      <w:r w:rsidR="008E52C2" w:rsidRPr="0051698C">
        <w:rPr>
          <w:rFonts w:ascii="Arial" w:hAnsi="Arial" w:cs="Arial"/>
          <w:lang w:val="es-ES_tradnl"/>
        </w:rPr>
        <w:t>l</w:t>
      </w:r>
      <w:r w:rsidR="0037082E" w:rsidRPr="0051698C">
        <w:rPr>
          <w:rFonts w:ascii="Arial" w:hAnsi="Arial" w:cs="Arial"/>
          <w:lang w:val="es-ES_tradnl"/>
        </w:rPr>
        <w:t xml:space="preserve"> </w:t>
      </w:r>
      <w:r w:rsidR="008E52C2" w:rsidRPr="0051698C">
        <w:rPr>
          <w:rFonts w:ascii="Arial" w:hAnsi="Arial" w:cs="Arial"/>
          <w:lang w:val="es-ES_tradnl"/>
        </w:rPr>
        <w:t>recibo electrónico SP</w:t>
      </w:r>
      <w:r w:rsidR="004A0EFC" w:rsidRPr="0051698C">
        <w:rPr>
          <w:rFonts w:ascii="Arial" w:hAnsi="Arial" w:cs="Arial"/>
          <w:lang w:val="es-ES_tradnl"/>
        </w:rPr>
        <w:t xml:space="preserve"> </w:t>
      </w:r>
      <w:r w:rsidR="00B00FE4" w:rsidRPr="0051698C">
        <w:rPr>
          <w:rFonts w:ascii="Arial" w:hAnsi="Arial" w:cs="Arial"/>
          <w:lang w:val="es-ES_tradnl"/>
        </w:rPr>
        <w:t>y de l</w:t>
      </w:r>
      <w:r w:rsidR="0041482D" w:rsidRPr="0051698C">
        <w:rPr>
          <w:rFonts w:ascii="Arial" w:hAnsi="Arial" w:cs="Arial"/>
          <w:lang w:val="es-ES_tradnl"/>
        </w:rPr>
        <w:t>as notas</w:t>
      </w:r>
      <w:r w:rsidR="00CA5D46" w:rsidRPr="0051698C">
        <w:rPr>
          <w:rFonts w:ascii="Arial" w:hAnsi="Arial" w:cs="Arial"/>
          <w:lang w:val="es-ES_tradnl"/>
        </w:rPr>
        <w:t xml:space="preserve"> electrónicas</w:t>
      </w:r>
      <w:r w:rsidR="009F1598" w:rsidRPr="0051698C">
        <w:rPr>
          <w:rFonts w:ascii="Arial" w:hAnsi="Arial" w:cs="Arial"/>
          <w:lang w:val="es-ES_tradnl"/>
        </w:rPr>
        <w:t>, según la presente resolución.</w:t>
      </w:r>
    </w:p>
    <w:p w:rsidR="00BD67C3" w:rsidRPr="0051698C" w:rsidRDefault="00BD67C3" w:rsidP="002F24CD">
      <w:pPr>
        <w:pStyle w:val="NormalWeb"/>
        <w:spacing w:before="0" w:beforeAutospacing="0" w:after="0" w:afterAutospacing="0" w:line="220" w:lineRule="atLeast"/>
        <w:jc w:val="center"/>
        <w:rPr>
          <w:rFonts w:ascii="Arial" w:hAnsi="Arial" w:cs="Arial"/>
          <w:b/>
          <w:bCs/>
          <w:sz w:val="22"/>
          <w:szCs w:val="22"/>
        </w:rPr>
      </w:pPr>
    </w:p>
    <w:p w:rsidR="00BD67C3" w:rsidRPr="0051698C" w:rsidRDefault="00BD67C3" w:rsidP="002F24CD">
      <w:pPr>
        <w:pStyle w:val="NormalWeb"/>
        <w:spacing w:before="0" w:beforeAutospacing="0" w:after="0" w:afterAutospacing="0" w:line="220" w:lineRule="atLeast"/>
        <w:jc w:val="center"/>
        <w:rPr>
          <w:rFonts w:ascii="Arial" w:hAnsi="Arial" w:cs="Arial"/>
          <w:b/>
          <w:bCs/>
          <w:sz w:val="22"/>
          <w:szCs w:val="22"/>
        </w:rPr>
      </w:pPr>
    </w:p>
    <w:p w:rsidR="00BD67C3" w:rsidRPr="0051698C" w:rsidRDefault="00BD67C3" w:rsidP="002F24CD">
      <w:pPr>
        <w:pStyle w:val="NormalWeb"/>
        <w:spacing w:before="0" w:beforeAutospacing="0" w:after="0" w:afterAutospacing="0" w:line="220" w:lineRule="atLeast"/>
        <w:jc w:val="center"/>
        <w:rPr>
          <w:rFonts w:ascii="Arial" w:hAnsi="Arial" w:cs="Arial"/>
          <w:b/>
          <w:bCs/>
          <w:sz w:val="22"/>
          <w:szCs w:val="22"/>
        </w:rPr>
      </w:pPr>
    </w:p>
    <w:p w:rsidR="00BD67C3" w:rsidRPr="0051698C" w:rsidRDefault="00BD67C3" w:rsidP="002F24CD">
      <w:pPr>
        <w:pStyle w:val="NormalWeb"/>
        <w:spacing w:before="0" w:beforeAutospacing="0" w:after="0" w:afterAutospacing="0" w:line="220" w:lineRule="atLeast"/>
        <w:jc w:val="center"/>
        <w:rPr>
          <w:rFonts w:ascii="Arial" w:hAnsi="Arial" w:cs="Arial"/>
          <w:b/>
          <w:bCs/>
          <w:sz w:val="22"/>
          <w:szCs w:val="22"/>
        </w:rPr>
      </w:pPr>
    </w:p>
    <w:p w:rsidR="00BD67C3" w:rsidRPr="0051698C" w:rsidRDefault="00BD67C3" w:rsidP="002F24CD">
      <w:pPr>
        <w:pStyle w:val="NormalWeb"/>
        <w:spacing w:before="0" w:beforeAutospacing="0" w:after="0" w:afterAutospacing="0" w:line="220" w:lineRule="atLeast"/>
        <w:jc w:val="center"/>
        <w:rPr>
          <w:rFonts w:ascii="Arial" w:hAnsi="Arial" w:cs="Arial"/>
          <w:b/>
          <w:bCs/>
          <w:sz w:val="22"/>
          <w:szCs w:val="22"/>
        </w:rPr>
      </w:pPr>
    </w:p>
    <w:p w:rsidR="00BD67C3" w:rsidRPr="0051698C" w:rsidRDefault="00BD67C3" w:rsidP="002F24CD">
      <w:pPr>
        <w:pStyle w:val="NormalWeb"/>
        <w:spacing w:before="0" w:beforeAutospacing="0" w:after="0" w:afterAutospacing="0" w:line="220" w:lineRule="atLeast"/>
        <w:jc w:val="center"/>
        <w:rPr>
          <w:rFonts w:ascii="Arial" w:hAnsi="Arial" w:cs="Arial"/>
          <w:b/>
          <w:bCs/>
          <w:sz w:val="22"/>
          <w:szCs w:val="22"/>
        </w:rPr>
      </w:pPr>
    </w:p>
    <w:p w:rsidR="00BD67C3" w:rsidRPr="0051698C" w:rsidRDefault="00BD67C3" w:rsidP="002F24CD">
      <w:pPr>
        <w:pStyle w:val="NormalWeb"/>
        <w:spacing w:before="0" w:beforeAutospacing="0" w:after="0" w:afterAutospacing="0" w:line="220" w:lineRule="atLeast"/>
        <w:jc w:val="center"/>
        <w:rPr>
          <w:rFonts w:ascii="Arial" w:hAnsi="Arial" w:cs="Arial"/>
          <w:b/>
          <w:bCs/>
          <w:sz w:val="22"/>
          <w:szCs w:val="22"/>
        </w:rPr>
      </w:pPr>
    </w:p>
    <w:p w:rsidR="00976A7A" w:rsidRPr="0051698C" w:rsidRDefault="00976A7A" w:rsidP="002F24CD">
      <w:pPr>
        <w:pStyle w:val="NormalWeb"/>
        <w:spacing w:before="0" w:beforeAutospacing="0" w:after="0" w:afterAutospacing="0" w:line="220" w:lineRule="atLeast"/>
        <w:jc w:val="center"/>
        <w:rPr>
          <w:rFonts w:ascii="Arial" w:hAnsi="Arial" w:cs="Arial"/>
          <w:b/>
          <w:bCs/>
          <w:sz w:val="22"/>
          <w:szCs w:val="22"/>
        </w:rPr>
      </w:pPr>
    </w:p>
    <w:p w:rsidR="002F24CD" w:rsidRPr="0051698C" w:rsidRDefault="004A0EFC" w:rsidP="002F24CD">
      <w:pPr>
        <w:pStyle w:val="NormalWeb"/>
        <w:spacing w:before="0" w:beforeAutospacing="0" w:after="0" w:afterAutospacing="0" w:line="220" w:lineRule="atLeast"/>
        <w:jc w:val="center"/>
        <w:rPr>
          <w:rFonts w:ascii="Arial" w:hAnsi="Arial" w:cs="Arial"/>
          <w:b/>
          <w:bCs/>
          <w:sz w:val="22"/>
          <w:szCs w:val="22"/>
        </w:rPr>
      </w:pPr>
      <w:r w:rsidRPr="0051698C">
        <w:rPr>
          <w:rFonts w:ascii="Arial" w:hAnsi="Arial" w:cs="Arial"/>
          <w:b/>
          <w:bCs/>
          <w:sz w:val="22"/>
          <w:szCs w:val="22"/>
        </w:rPr>
        <w:t>TÍTULO II</w:t>
      </w:r>
    </w:p>
    <w:p w:rsidR="004A0EFC" w:rsidRPr="0051698C" w:rsidRDefault="004A0EFC" w:rsidP="002F24CD">
      <w:pPr>
        <w:pStyle w:val="NormalWeb"/>
        <w:spacing w:before="0" w:beforeAutospacing="0" w:after="0" w:afterAutospacing="0" w:line="220" w:lineRule="atLeast"/>
        <w:jc w:val="center"/>
        <w:rPr>
          <w:rFonts w:ascii="Arial" w:hAnsi="Arial" w:cs="Arial"/>
          <w:sz w:val="22"/>
          <w:szCs w:val="22"/>
        </w:rPr>
      </w:pPr>
      <w:r w:rsidRPr="0051698C">
        <w:rPr>
          <w:rFonts w:ascii="Arial" w:hAnsi="Arial" w:cs="Arial"/>
          <w:b/>
          <w:bCs/>
          <w:sz w:val="22"/>
          <w:szCs w:val="22"/>
        </w:rPr>
        <w:t>DEL EMISOR ELECTRÓNICO</w:t>
      </w:r>
    </w:p>
    <w:p w:rsidR="00BD67C3" w:rsidRPr="0051698C" w:rsidRDefault="00BD67C3" w:rsidP="002F24CD">
      <w:pPr>
        <w:spacing w:line="220" w:lineRule="atLeast"/>
        <w:jc w:val="both"/>
        <w:rPr>
          <w:rFonts w:ascii="Arial" w:hAnsi="Arial" w:cs="Arial"/>
          <w:b/>
          <w:bCs/>
        </w:rPr>
      </w:pPr>
    </w:p>
    <w:p w:rsidR="002F24CD" w:rsidRPr="0051698C" w:rsidRDefault="004A0EFC" w:rsidP="00101507">
      <w:pPr>
        <w:spacing w:line="220" w:lineRule="atLeast"/>
        <w:jc w:val="both"/>
        <w:rPr>
          <w:rFonts w:ascii="Arial" w:hAnsi="Arial" w:cs="Arial"/>
          <w:b/>
          <w:bCs/>
        </w:rPr>
      </w:pPr>
      <w:r w:rsidRPr="0051698C">
        <w:rPr>
          <w:rFonts w:ascii="Arial" w:hAnsi="Arial" w:cs="Arial"/>
          <w:b/>
          <w:bCs/>
        </w:rPr>
        <w:t xml:space="preserve">Artículo 3. Condiciones </w:t>
      </w:r>
      <w:r w:rsidR="00B75DD5" w:rsidRPr="0051698C">
        <w:rPr>
          <w:rFonts w:ascii="Arial" w:hAnsi="Arial" w:cs="Arial"/>
          <w:b/>
          <w:bCs/>
        </w:rPr>
        <w:t>previas</w:t>
      </w:r>
      <w:r w:rsidR="009F1598" w:rsidRPr="0051698C">
        <w:rPr>
          <w:rFonts w:ascii="Arial" w:hAnsi="Arial" w:cs="Arial"/>
          <w:b/>
          <w:bCs/>
        </w:rPr>
        <w:t xml:space="preserve"> para </w:t>
      </w:r>
      <w:r w:rsidR="00FE2FCA" w:rsidRPr="0051698C">
        <w:rPr>
          <w:rFonts w:ascii="Arial" w:hAnsi="Arial" w:cs="Arial"/>
          <w:b/>
          <w:bCs/>
        </w:rPr>
        <w:t>que el emisor</w:t>
      </w:r>
      <w:r w:rsidR="00B75DD5" w:rsidRPr="0051698C">
        <w:rPr>
          <w:rFonts w:ascii="Arial" w:hAnsi="Arial" w:cs="Arial"/>
          <w:b/>
          <w:bCs/>
        </w:rPr>
        <w:t xml:space="preserve"> electrónico por designación</w:t>
      </w:r>
      <w:r w:rsidR="00FE2FCA" w:rsidRPr="0051698C">
        <w:rPr>
          <w:rFonts w:ascii="Arial" w:hAnsi="Arial" w:cs="Arial"/>
          <w:b/>
          <w:bCs/>
        </w:rPr>
        <w:t xml:space="preserve"> </w:t>
      </w:r>
      <w:r w:rsidRPr="0051698C">
        <w:rPr>
          <w:rFonts w:ascii="Arial" w:hAnsi="Arial" w:cs="Arial"/>
          <w:b/>
          <w:bCs/>
        </w:rPr>
        <w:t>p</w:t>
      </w:r>
      <w:r w:rsidR="00B75DD5" w:rsidRPr="0051698C">
        <w:rPr>
          <w:rFonts w:ascii="Arial" w:hAnsi="Arial" w:cs="Arial"/>
          <w:b/>
          <w:bCs/>
        </w:rPr>
        <w:t>ueda</w:t>
      </w:r>
      <w:r w:rsidR="00101507" w:rsidRPr="0051698C">
        <w:rPr>
          <w:rFonts w:ascii="Arial" w:hAnsi="Arial" w:cs="Arial"/>
          <w:b/>
          <w:bCs/>
        </w:rPr>
        <w:t xml:space="preserve"> iniciar la emisión en </w:t>
      </w:r>
      <w:r w:rsidR="00F118D1" w:rsidRPr="0051698C">
        <w:rPr>
          <w:rFonts w:ascii="Arial" w:hAnsi="Arial" w:cs="Arial"/>
          <w:b/>
          <w:bCs/>
        </w:rPr>
        <w:t xml:space="preserve">el </w:t>
      </w:r>
      <w:r w:rsidR="00533290" w:rsidRPr="0051698C">
        <w:rPr>
          <w:rFonts w:ascii="Arial" w:hAnsi="Arial" w:cs="Arial"/>
          <w:b/>
          <w:bCs/>
        </w:rPr>
        <w:t xml:space="preserve">SEE </w:t>
      </w:r>
      <w:r w:rsidR="004E79FF" w:rsidRPr="0051698C">
        <w:rPr>
          <w:rFonts w:ascii="Arial" w:hAnsi="Arial" w:cs="Arial"/>
          <w:b/>
          <w:bCs/>
        </w:rPr>
        <w:t>–</w:t>
      </w:r>
      <w:r w:rsidR="00533290" w:rsidRPr="0051698C">
        <w:rPr>
          <w:rFonts w:ascii="Arial" w:hAnsi="Arial" w:cs="Arial"/>
          <w:b/>
          <w:bCs/>
        </w:rPr>
        <w:t xml:space="preserve"> </w:t>
      </w:r>
      <w:r w:rsidR="00220AB1" w:rsidRPr="0051698C">
        <w:rPr>
          <w:rFonts w:ascii="Arial" w:hAnsi="Arial" w:cs="Arial"/>
          <w:b/>
          <w:bCs/>
        </w:rPr>
        <w:t>Empresas Supervisadas</w:t>
      </w:r>
    </w:p>
    <w:p w:rsidR="00731D9D" w:rsidRPr="0051698C" w:rsidRDefault="00F118D1" w:rsidP="00101507">
      <w:pPr>
        <w:jc w:val="both"/>
        <w:rPr>
          <w:rFonts w:ascii="Arial" w:hAnsi="Arial" w:cs="Arial"/>
          <w:lang w:eastAsia="es-PE"/>
        </w:rPr>
      </w:pPr>
      <w:r w:rsidRPr="0051698C">
        <w:rPr>
          <w:rFonts w:ascii="Arial" w:hAnsi="Arial" w:cs="Arial"/>
          <w:lang w:eastAsia="es-PE"/>
        </w:rPr>
        <w:t xml:space="preserve"> </w:t>
      </w:r>
    </w:p>
    <w:p w:rsidR="00456A69" w:rsidRPr="0051698C" w:rsidRDefault="00456A69" w:rsidP="00101507">
      <w:pPr>
        <w:jc w:val="both"/>
        <w:rPr>
          <w:rFonts w:ascii="Arial" w:hAnsi="Arial" w:cs="Arial"/>
        </w:rPr>
      </w:pPr>
      <w:r w:rsidRPr="0051698C">
        <w:rPr>
          <w:rFonts w:ascii="Arial" w:hAnsi="Arial" w:cs="Arial"/>
        </w:rPr>
        <w:t>El emisor electrónico por designación de la SUNAT que de</w:t>
      </w:r>
      <w:r w:rsidR="00533290" w:rsidRPr="0051698C">
        <w:rPr>
          <w:rFonts w:ascii="Arial" w:hAnsi="Arial" w:cs="Arial"/>
        </w:rPr>
        <w:t>see</w:t>
      </w:r>
      <w:r w:rsidRPr="0051698C">
        <w:rPr>
          <w:rFonts w:ascii="Arial" w:hAnsi="Arial" w:cs="Arial"/>
        </w:rPr>
        <w:t xml:space="preserve"> iniciar la emisión electrónica en el SEE – </w:t>
      </w:r>
      <w:r w:rsidR="00220AB1" w:rsidRPr="0051698C">
        <w:rPr>
          <w:rFonts w:ascii="Arial" w:hAnsi="Arial" w:cs="Arial"/>
        </w:rPr>
        <w:t>Empresas Supervisadas</w:t>
      </w:r>
      <w:r w:rsidRPr="0051698C">
        <w:rPr>
          <w:rFonts w:ascii="Arial" w:hAnsi="Arial" w:cs="Arial"/>
        </w:rPr>
        <w:t xml:space="preserve"> de aquello a lo que está obligado, debe:</w:t>
      </w:r>
    </w:p>
    <w:p w:rsidR="00713D47" w:rsidRPr="0051698C" w:rsidRDefault="00713D47" w:rsidP="00713D47">
      <w:pPr>
        <w:pStyle w:val="Prrafodelista"/>
        <w:tabs>
          <w:tab w:val="left" w:pos="426"/>
        </w:tabs>
        <w:ind w:left="360"/>
        <w:jc w:val="both"/>
        <w:rPr>
          <w:rFonts w:ascii="Arial" w:hAnsi="Arial" w:cs="Arial"/>
        </w:rPr>
      </w:pPr>
    </w:p>
    <w:p w:rsidR="00456A69" w:rsidRPr="0051698C" w:rsidRDefault="00456A69" w:rsidP="005D1930">
      <w:pPr>
        <w:pStyle w:val="Prrafodelista"/>
        <w:numPr>
          <w:ilvl w:val="0"/>
          <w:numId w:val="3"/>
        </w:numPr>
        <w:tabs>
          <w:tab w:val="left" w:pos="0"/>
          <w:tab w:val="left" w:pos="284"/>
        </w:tabs>
        <w:ind w:left="0" w:firstLine="0"/>
        <w:jc w:val="both"/>
        <w:rPr>
          <w:rFonts w:ascii="Arial" w:hAnsi="Arial" w:cs="Arial"/>
        </w:rPr>
      </w:pPr>
      <w:r w:rsidRPr="0051698C">
        <w:rPr>
          <w:rFonts w:ascii="Arial" w:hAnsi="Arial" w:cs="Arial"/>
        </w:rPr>
        <w:lastRenderedPageBreak/>
        <w:t>Tener registrada, según la normativa de alguno de los sistemas de emisión, o registrar la dirección de correo electrónico que usará para recibir, en su calidad de adquirente o usuario electrónico, aquello que se le otorgue a través del SEE.</w:t>
      </w:r>
    </w:p>
    <w:p w:rsidR="00713D47" w:rsidRPr="0051698C" w:rsidRDefault="00713D47" w:rsidP="00713D47">
      <w:pPr>
        <w:pStyle w:val="Prrafodelista"/>
        <w:tabs>
          <w:tab w:val="left" w:pos="0"/>
          <w:tab w:val="left" w:pos="284"/>
        </w:tabs>
        <w:ind w:left="0"/>
        <w:jc w:val="both"/>
        <w:rPr>
          <w:rFonts w:ascii="Arial" w:hAnsi="Arial" w:cs="Arial"/>
        </w:rPr>
      </w:pPr>
    </w:p>
    <w:p w:rsidR="004512E0" w:rsidRPr="0051698C" w:rsidRDefault="009F1598" w:rsidP="004E79FF">
      <w:pPr>
        <w:pStyle w:val="Prrafodelista"/>
        <w:numPr>
          <w:ilvl w:val="0"/>
          <w:numId w:val="3"/>
        </w:numPr>
        <w:tabs>
          <w:tab w:val="left" w:pos="0"/>
          <w:tab w:val="left" w:pos="284"/>
        </w:tabs>
        <w:ind w:left="0" w:firstLine="0"/>
        <w:jc w:val="both"/>
        <w:rPr>
          <w:rFonts w:ascii="Arial" w:hAnsi="Arial" w:cs="Arial"/>
        </w:rPr>
      </w:pPr>
      <w:r w:rsidRPr="0051698C">
        <w:rPr>
          <w:rFonts w:ascii="Arial" w:hAnsi="Arial" w:cs="Arial"/>
        </w:rPr>
        <w:t xml:space="preserve">Registrar en SUNAT Operaciones en Línea que utilizará el SEE – </w:t>
      </w:r>
      <w:r w:rsidR="00220AB1" w:rsidRPr="0051698C">
        <w:rPr>
          <w:rFonts w:ascii="Arial" w:hAnsi="Arial" w:cs="Arial"/>
        </w:rPr>
        <w:t>Empresas Supervisadas</w:t>
      </w:r>
      <w:r w:rsidRPr="0051698C">
        <w:rPr>
          <w:rFonts w:ascii="Arial" w:hAnsi="Arial" w:cs="Arial"/>
        </w:rPr>
        <w:t>.</w:t>
      </w:r>
    </w:p>
    <w:p w:rsidR="00C3174A" w:rsidRPr="0051698C" w:rsidRDefault="00C3174A" w:rsidP="00C3174A">
      <w:pPr>
        <w:pStyle w:val="Prrafodelista"/>
        <w:tabs>
          <w:tab w:val="left" w:pos="0"/>
          <w:tab w:val="left" w:pos="284"/>
        </w:tabs>
        <w:ind w:left="360"/>
        <w:jc w:val="both"/>
        <w:rPr>
          <w:rFonts w:ascii="Arial" w:hAnsi="Arial" w:cs="Arial"/>
        </w:rPr>
      </w:pPr>
    </w:p>
    <w:p w:rsidR="00220565" w:rsidRPr="0051698C" w:rsidRDefault="00220565" w:rsidP="005D1930">
      <w:pPr>
        <w:pStyle w:val="Prrafodelista"/>
        <w:numPr>
          <w:ilvl w:val="0"/>
          <w:numId w:val="3"/>
        </w:numPr>
        <w:ind w:left="284" w:hanging="284"/>
        <w:jc w:val="both"/>
        <w:rPr>
          <w:rFonts w:ascii="Arial" w:hAnsi="Arial" w:cs="Arial"/>
        </w:rPr>
      </w:pPr>
      <w:r w:rsidRPr="0051698C">
        <w:rPr>
          <w:rFonts w:ascii="Arial" w:hAnsi="Arial" w:cs="Arial"/>
        </w:rPr>
        <w:t>Cumplir con lo siguiente:</w:t>
      </w:r>
    </w:p>
    <w:p w:rsidR="00713D47" w:rsidRPr="0051698C" w:rsidRDefault="00713D47" w:rsidP="00713D47">
      <w:pPr>
        <w:pStyle w:val="Prrafodelista"/>
        <w:ind w:left="360"/>
        <w:jc w:val="both"/>
        <w:rPr>
          <w:rFonts w:ascii="Arial" w:hAnsi="Arial" w:cs="Arial"/>
        </w:rPr>
      </w:pPr>
    </w:p>
    <w:p w:rsidR="00220565" w:rsidRPr="0051698C" w:rsidRDefault="00220565" w:rsidP="005D1930">
      <w:pPr>
        <w:pStyle w:val="Prrafodelista"/>
        <w:numPr>
          <w:ilvl w:val="0"/>
          <w:numId w:val="2"/>
        </w:numPr>
        <w:ind w:left="426" w:hanging="66"/>
        <w:jc w:val="both"/>
        <w:rPr>
          <w:rFonts w:ascii="Arial" w:hAnsi="Arial" w:cs="Arial"/>
          <w:lang w:eastAsia="es-PE"/>
        </w:rPr>
      </w:pPr>
      <w:r w:rsidRPr="0051698C">
        <w:rPr>
          <w:rFonts w:ascii="Arial" w:hAnsi="Arial" w:cs="Arial"/>
          <w:lang w:eastAsia="es-PE"/>
        </w:rPr>
        <w:t>No debe tener para efectos del RUC la condición de domicilio fiscal no habido</w:t>
      </w:r>
      <w:r w:rsidR="004512E0" w:rsidRPr="0051698C">
        <w:rPr>
          <w:rFonts w:ascii="Arial" w:hAnsi="Arial" w:cs="Arial"/>
          <w:lang w:eastAsia="es-PE"/>
        </w:rPr>
        <w:t>.</w:t>
      </w:r>
    </w:p>
    <w:p w:rsidR="00220565" w:rsidRPr="0051698C" w:rsidRDefault="00220565" w:rsidP="005D1930">
      <w:pPr>
        <w:pStyle w:val="Prrafodelista"/>
        <w:numPr>
          <w:ilvl w:val="0"/>
          <w:numId w:val="2"/>
        </w:numPr>
        <w:ind w:left="426" w:hanging="66"/>
        <w:jc w:val="both"/>
        <w:rPr>
          <w:rFonts w:ascii="Arial" w:hAnsi="Arial" w:cs="Arial"/>
          <w:lang w:eastAsia="es-PE"/>
        </w:rPr>
      </w:pPr>
      <w:r w:rsidRPr="0051698C">
        <w:rPr>
          <w:rFonts w:ascii="Arial" w:hAnsi="Arial" w:cs="Arial"/>
          <w:lang w:eastAsia="es-PE"/>
        </w:rPr>
        <w:t>No debe tener en el RUC el estado de suspensión temporal de actividades o baja de inscripción</w:t>
      </w:r>
      <w:r w:rsidR="004512E0" w:rsidRPr="0051698C">
        <w:rPr>
          <w:rFonts w:ascii="Arial" w:hAnsi="Arial" w:cs="Arial"/>
          <w:lang w:eastAsia="es-PE"/>
        </w:rPr>
        <w:t>.</w:t>
      </w:r>
    </w:p>
    <w:p w:rsidR="00220565" w:rsidRPr="0051698C" w:rsidRDefault="00220565" w:rsidP="005D1930">
      <w:pPr>
        <w:pStyle w:val="Prrafodelista"/>
        <w:numPr>
          <w:ilvl w:val="0"/>
          <w:numId w:val="2"/>
        </w:numPr>
        <w:ind w:left="426" w:hanging="66"/>
        <w:jc w:val="both"/>
        <w:rPr>
          <w:rFonts w:ascii="Arial" w:hAnsi="Arial" w:cs="Arial"/>
          <w:lang w:eastAsia="es-PE"/>
        </w:rPr>
      </w:pPr>
      <w:r w:rsidRPr="0051698C">
        <w:rPr>
          <w:rFonts w:ascii="Arial" w:hAnsi="Arial" w:cs="Arial"/>
          <w:lang w:eastAsia="es-PE"/>
        </w:rPr>
        <w:t>Debe estar afecto en el RUC al impuesto a la renta de tercera categoría, de generar ese tipo de renta.</w:t>
      </w:r>
    </w:p>
    <w:p w:rsidR="00713D47" w:rsidRPr="0051698C" w:rsidRDefault="00713D47" w:rsidP="00713D47">
      <w:pPr>
        <w:pStyle w:val="Prrafodelista"/>
        <w:ind w:left="426"/>
        <w:jc w:val="both"/>
        <w:rPr>
          <w:rFonts w:ascii="Arial" w:hAnsi="Arial" w:cs="Arial"/>
          <w:lang w:eastAsia="es-PE"/>
        </w:rPr>
      </w:pPr>
    </w:p>
    <w:p w:rsidR="00713D47" w:rsidRPr="0051698C" w:rsidRDefault="00713D47" w:rsidP="00E013EE">
      <w:pPr>
        <w:pStyle w:val="Prrafodelista"/>
        <w:numPr>
          <w:ilvl w:val="0"/>
          <w:numId w:val="3"/>
        </w:numPr>
        <w:ind w:left="284" w:hanging="284"/>
        <w:jc w:val="both"/>
        <w:rPr>
          <w:rFonts w:ascii="Arial" w:hAnsi="Arial" w:cs="Arial"/>
          <w:bCs/>
        </w:rPr>
      </w:pPr>
      <w:r w:rsidRPr="0051698C">
        <w:rPr>
          <w:rFonts w:ascii="Arial" w:hAnsi="Arial" w:cs="Arial"/>
          <w:bCs/>
        </w:rPr>
        <w:t>D</w:t>
      </w:r>
      <w:r w:rsidRPr="0051698C">
        <w:rPr>
          <w:rFonts w:ascii="Arial" w:hAnsi="Arial" w:cs="Arial"/>
        </w:rPr>
        <w:t xml:space="preserve">escargar la aplicación SEE – </w:t>
      </w:r>
      <w:r w:rsidR="00220AB1" w:rsidRPr="0051698C">
        <w:rPr>
          <w:rFonts w:ascii="Arial" w:hAnsi="Arial" w:cs="Arial"/>
        </w:rPr>
        <w:t>Empresas Supervisadas</w:t>
      </w:r>
      <w:r w:rsidRPr="0051698C">
        <w:rPr>
          <w:rFonts w:ascii="Arial" w:hAnsi="Arial" w:cs="Arial"/>
        </w:rPr>
        <w:t xml:space="preserve"> desde SUNAT Virtual e instalarla considerando las especificaciones técnicas que esta aplicación indique.</w:t>
      </w:r>
      <w:r w:rsidRPr="0051698C">
        <w:rPr>
          <w:rFonts w:ascii="Arial" w:hAnsi="Arial" w:cs="Arial"/>
          <w:bCs/>
        </w:rPr>
        <w:t xml:space="preserve"> </w:t>
      </w:r>
    </w:p>
    <w:p w:rsidR="003804BF" w:rsidRPr="0051698C" w:rsidRDefault="003804BF" w:rsidP="00852981">
      <w:pPr>
        <w:pStyle w:val="NormalWeb"/>
        <w:ind w:left="0"/>
        <w:rPr>
          <w:rFonts w:ascii="Arial" w:hAnsi="Arial" w:cs="Arial"/>
          <w:b/>
          <w:bCs/>
          <w:sz w:val="22"/>
          <w:szCs w:val="22"/>
        </w:rPr>
      </w:pPr>
      <w:r w:rsidRPr="0051698C">
        <w:rPr>
          <w:rFonts w:ascii="Arial" w:hAnsi="Arial" w:cs="Arial"/>
          <w:b/>
          <w:bCs/>
          <w:sz w:val="22"/>
          <w:szCs w:val="22"/>
        </w:rPr>
        <w:t xml:space="preserve">Artículo </w:t>
      </w:r>
      <w:r w:rsidR="005D78C5" w:rsidRPr="0051698C">
        <w:rPr>
          <w:rFonts w:ascii="Arial" w:hAnsi="Arial" w:cs="Arial"/>
          <w:b/>
          <w:bCs/>
          <w:sz w:val="22"/>
          <w:szCs w:val="22"/>
        </w:rPr>
        <w:t>4</w:t>
      </w:r>
      <w:r w:rsidRPr="0051698C">
        <w:rPr>
          <w:rFonts w:ascii="Arial" w:hAnsi="Arial" w:cs="Arial"/>
          <w:b/>
          <w:bCs/>
          <w:sz w:val="22"/>
          <w:szCs w:val="22"/>
        </w:rPr>
        <w:t>. Efectos de tener la calidad de emisor electrónico</w:t>
      </w:r>
    </w:p>
    <w:p w:rsidR="008E111D" w:rsidRPr="0051698C" w:rsidRDefault="003804BF" w:rsidP="00B57C21">
      <w:pPr>
        <w:pStyle w:val="NormalWeb"/>
        <w:ind w:left="0"/>
        <w:rPr>
          <w:rFonts w:ascii="Arial" w:hAnsi="Arial" w:cs="Arial"/>
          <w:color w:val="FF0000"/>
          <w:sz w:val="22"/>
          <w:szCs w:val="22"/>
        </w:rPr>
      </w:pPr>
      <w:r w:rsidRPr="0051698C">
        <w:rPr>
          <w:rFonts w:ascii="Arial" w:hAnsi="Arial" w:cs="Arial"/>
          <w:sz w:val="22"/>
          <w:szCs w:val="22"/>
        </w:rPr>
        <w:t xml:space="preserve">La </w:t>
      </w:r>
      <w:r w:rsidR="00B56287" w:rsidRPr="0051698C">
        <w:rPr>
          <w:rFonts w:ascii="Arial" w:hAnsi="Arial" w:cs="Arial"/>
          <w:sz w:val="22"/>
          <w:szCs w:val="22"/>
        </w:rPr>
        <w:t>asignación de la calidad de emisor electrónico</w:t>
      </w:r>
      <w:r w:rsidR="00713D47" w:rsidRPr="0051698C">
        <w:rPr>
          <w:rFonts w:ascii="Arial" w:hAnsi="Arial" w:cs="Arial"/>
          <w:sz w:val="22"/>
          <w:szCs w:val="22"/>
        </w:rPr>
        <w:t xml:space="preserve"> en el </w:t>
      </w:r>
      <w:r w:rsidR="00533290" w:rsidRPr="0051698C">
        <w:rPr>
          <w:rFonts w:ascii="Arial" w:hAnsi="Arial" w:cs="Arial"/>
          <w:sz w:val="22"/>
          <w:szCs w:val="22"/>
        </w:rPr>
        <w:t xml:space="preserve">SEE </w:t>
      </w:r>
      <w:r w:rsidR="004E79FF" w:rsidRPr="0051698C">
        <w:rPr>
          <w:rFonts w:ascii="Arial" w:hAnsi="Arial" w:cs="Arial"/>
          <w:sz w:val="22"/>
          <w:szCs w:val="22"/>
        </w:rPr>
        <w:t>–</w:t>
      </w:r>
      <w:r w:rsidR="00533290" w:rsidRPr="0051698C">
        <w:rPr>
          <w:rFonts w:ascii="Arial" w:hAnsi="Arial" w:cs="Arial"/>
          <w:sz w:val="22"/>
          <w:szCs w:val="22"/>
        </w:rPr>
        <w:t xml:space="preserve"> </w:t>
      </w:r>
      <w:r w:rsidR="00220AB1" w:rsidRPr="0051698C">
        <w:rPr>
          <w:rFonts w:ascii="Arial" w:hAnsi="Arial" w:cs="Arial"/>
          <w:sz w:val="22"/>
          <w:szCs w:val="22"/>
        </w:rPr>
        <w:t>Empresas Supervisadas</w:t>
      </w:r>
      <w:r w:rsidR="00B56287" w:rsidRPr="0051698C">
        <w:rPr>
          <w:rFonts w:ascii="Arial" w:hAnsi="Arial" w:cs="Arial"/>
          <w:sz w:val="22"/>
          <w:szCs w:val="22"/>
        </w:rPr>
        <w:t xml:space="preserve"> genera los efectos </w:t>
      </w:r>
      <w:r w:rsidR="00533290" w:rsidRPr="0051698C">
        <w:rPr>
          <w:rFonts w:ascii="Arial" w:hAnsi="Arial" w:cs="Arial"/>
          <w:sz w:val="22"/>
          <w:szCs w:val="22"/>
        </w:rPr>
        <w:t>que se indican</w:t>
      </w:r>
      <w:r w:rsidR="00B56287" w:rsidRPr="0051698C">
        <w:rPr>
          <w:rFonts w:ascii="Arial" w:hAnsi="Arial" w:cs="Arial"/>
          <w:sz w:val="22"/>
          <w:szCs w:val="22"/>
        </w:rPr>
        <w:t xml:space="preserve"> a continuación</w:t>
      </w:r>
      <w:r w:rsidR="009A3A86" w:rsidRPr="0051698C">
        <w:rPr>
          <w:rFonts w:ascii="Arial" w:hAnsi="Arial" w:cs="Arial"/>
          <w:sz w:val="22"/>
          <w:szCs w:val="22"/>
        </w:rPr>
        <w:t>,</w:t>
      </w:r>
      <w:r w:rsidRPr="0051698C">
        <w:rPr>
          <w:rFonts w:ascii="Arial" w:hAnsi="Arial" w:cs="Arial"/>
          <w:sz w:val="22"/>
          <w:szCs w:val="22"/>
        </w:rPr>
        <w:t xml:space="preserve"> desde el día en que tenga esa calidad:</w:t>
      </w:r>
      <w:r w:rsidR="008E111D" w:rsidRPr="0051698C">
        <w:rPr>
          <w:rFonts w:ascii="Arial" w:hAnsi="Arial" w:cs="Arial"/>
          <w:sz w:val="22"/>
          <w:szCs w:val="22"/>
        </w:rPr>
        <w:t xml:space="preserve"> </w:t>
      </w:r>
    </w:p>
    <w:p w:rsidR="005D78C5" w:rsidRPr="0051698C" w:rsidRDefault="005D78C5" w:rsidP="005D1930">
      <w:pPr>
        <w:pStyle w:val="Prrafodelista"/>
        <w:numPr>
          <w:ilvl w:val="0"/>
          <w:numId w:val="1"/>
        </w:numPr>
        <w:ind w:left="283" w:hanging="283"/>
        <w:contextualSpacing w:val="0"/>
        <w:jc w:val="both"/>
        <w:outlineLvl w:val="0"/>
        <w:rPr>
          <w:rFonts w:ascii="Arial" w:hAnsi="Arial" w:cs="Arial"/>
        </w:rPr>
      </w:pPr>
      <w:r w:rsidRPr="0051698C">
        <w:rPr>
          <w:rFonts w:ascii="Arial" w:hAnsi="Arial" w:cs="Arial"/>
        </w:rPr>
        <w:t>Los efectos señalados respecto del SEE en</w:t>
      </w:r>
      <w:r w:rsidR="005B10AE" w:rsidRPr="0051698C">
        <w:rPr>
          <w:rFonts w:ascii="Arial" w:hAnsi="Arial" w:cs="Arial"/>
        </w:rPr>
        <w:t xml:space="preserve"> los numerales 3.1, 3.2</w:t>
      </w:r>
      <w:r w:rsidR="009B5773" w:rsidRPr="0051698C">
        <w:rPr>
          <w:rFonts w:ascii="Arial" w:hAnsi="Arial" w:cs="Arial"/>
        </w:rPr>
        <w:t>, 3.4</w:t>
      </w:r>
      <w:r w:rsidR="005B10AE" w:rsidRPr="0051698C">
        <w:rPr>
          <w:rFonts w:ascii="Arial" w:hAnsi="Arial" w:cs="Arial"/>
        </w:rPr>
        <w:t xml:space="preserve"> y 3.5 del artículo 3 de</w:t>
      </w:r>
      <w:r w:rsidRPr="0051698C">
        <w:rPr>
          <w:rFonts w:ascii="Arial" w:hAnsi="Arial" w:cs="Arial"/>
        </w:rPr>
        <w:t xml:space="preserve"> la </w:t>
      </w:r>
      <w:r w:rsidR="00B56287" w:rsidRPr="0051698C">
        <w:rPr>
          <w:rFonts w:ascii="Arial" w:hAnsi="Arial" w:cs="Arial"/>
        </w:rPr>
        <w:t>Resolución de Superintendencia N.° 300-2014/SUNAT y normas modificatorias.</w:t>
      </w:r>
    </w:p>
    <w:p w:rsidR="00B25869" w:rsidRPr="0051698C" w:rsidRDefault="007E2EE8" w:rsidP="005D1930">
      <w:pPr>
        <w:pStyle w:val="Prrafodelista"/>
        <w:numPr>
          <w:ilvl w:val="0"/>
          <w:numId w:val="1"/>
        </w:numPr>
        <w:ind w:left="283" w:hanging="283"/>
        <w:contextualSpacing w:val="0"/>
        <w:jc w:val="both"/>
        <w:outlineLvl w:val="0"/>
        <w:rPr>
          <w:rFonts w:ascii="Arial" w:hAnsi="Arial" w:cs="Arial"/>
        </w:rPr>
      </w:pPr>
      <w:r w:rsidRPr="0051698C">
        <w:rPr>
          <w:rFonts w:ascii="Arial" w:hAnsi="Arial" w:cs="Arial"/>
        </w:rPr>
        <w:t>La obligación de remitir a la SUNAT</w:t>
      </w:r>
      <w:r w:rsidR="005B10AE" w:rsidRPr="0051698C">
        <w:rPr>
          <w:rFonts w:ascii="Arial" w:hAnsi="Arial" w:cs="Arial"/>
        </w:rPr>
        <w:t>, de conformidad con lo regulado en la presente resolución,</w:t>
      </w:r>
      <w:r w:rsidRPr="0051698C">
        <w:rPr>
          <w:rFonts w:ascii="Arial" w:hAnsi="Arial" w:cs="Arial"/>
        </w:rPr>
        <w:t xml:space="preserve"> un ejemplar del recibo electrónico SP, la nota electrónica y la comunicación de baja.</w:t>
      </w:r>
    </w:p>
    <w:p w:rsidR="00BD4F95" w:rsidRPr="0051698C" w:rsidRDefault="009A3A86" w:rsidP="005D1930">
      <w:pPr>
        <w:pStyle w:val="Prrafodelista"/>
        <w:numPr>
          <w:ilvl w:val="0"/>
          <w:numId w:val="1"/>
        </w:numPr>
        <w:ind w:left="283" w:hanging="283"/>
        <w:contextualSpacing w:val="0"/>
        <w:jc w:val="both"/>
        <w:outlineLvl w:val="0"/>
        <w:rPr>
          <w:rFonts w:ascii="Arial" w:hAnsi="Arial" w:cs="Arial"/>
        </w:rPr>
      </w:pPr>
      <w:r w:rsidRPr="0051698C">
        <w:rPr>
          <w:rFonts w:ascii="Arial" w:hAnsi="Arial" w:cs="Arial"/>
        </w:rPr>
        <w:t xml:space="preserve">La obligación de </w:t>
      </w:r>
      <w:r w:rsidR="00C219FC" w:rsidRPr="0051698C">
        <w:rPr>
          <w:rFonts w:ascii="Arial" w:hAnsi="Arial" w:cs="Arial"/>
        </w:rPr>
        <w:t xml:space="preserve">emitir a través del </w:t>
      </w:r>
      <w:r w:rsidRPr="0051698C">
        <w:rPr>
          <w:rFonts w:ascii="Arial" w:hAnsi="Arial" w:cs="Arial"/>
        </w:rPr>
        <w:t xml:space="preserve">SEE – </w:t>
      </w:r>
      <w:r w:rsidR="00220AB1" w:rsidRPr="0051698C">
        <w:rPr>
          <w:rFonts w:ascii="Arial" w:hAnsi="Arial" w:cs="Arial"/>
        </w:rPr>
        <w:t>Empresas Supervisadas</w:t>
      </w:r>
      <w:r w:rsidR="00C219FC" w:rsidRPr="0051698C">
        <w:rPr>
          <w:rFonts w:ascii="Arial" w:hAnsi="Arial" w:cs="Arial"/>
        </w:rPr>
        <w:t xml:space="preserve"> </w:t>
      </w:r>
      <w:r w:rsidR="005B10AE" w:rsidRPr="0051698C">
        <w:rPr>
          <w:rFonts w:ascii="Arial" w:hAnsi="Arial" w:cs="Arial"/>
        </w:rPr>
        <w:t>el</w:t>
      </w:r>
      <w:r w:rsidR="00C219FC" w:rsidRPr="0051698C">
        <w:rPr>
          <w:rFonts w:ascii="Arial" w:hAnsi="Arial" w:cs="Arial"/>
        </w:rPr>
        <w:t xml:space="preserve"> recibo electrónico SP</w:t>
      </w:r>
      <w:r w:rsidRPr="0051698C">
        <w:rPr>
          <w:rFonts w:ascii="Arial" w:hAnsi="Arial" w:cs="Arial"/>
        </w:rPr>
        <w:t xml:space="preserve"> y la nota electrónica</w:t>
      </w:r>
      <w:r w:rsidR="005C69FA" w:rsidRPr="0051698C">
        <w:rPr>
          <w:rFonts w:ascii="Arial" w:hAnsi="Arial" w:cs="Arial"/>
        </w:rPr>
        <w:t>,</w:t>
      </w:r>
      <w:r w:rsidRPr="0051698C">
        <w:rPr>
          <w:rFonts w:ascii="Arial" w:hAnsi="Arial" w:cs="Arial"/>
        </w:rPr>
        <w:t xml:space="preserve"> conforme se dispone en la presente resolución</w:t>
      </w:r>
      <w:r w:rsidR="00B04C31" w:rsidRPr="0051698C">
        <w:rPr>
          <w:rFonts w:ascii="Arial" w:hAnsi="Arial" w:cs="Arial"/>
        </w:rPr>
        <w:t xml:space="preserve">, salvo que la normativa sobre emisión electrónica le permita </w:t>
      </w:r>
      <w:r w:rsidR="005C69FA" w:rsidRPr="0051698C">
        <w:rPr>
          <w:rFonts w:ascii="Arial" w:hAnsi="Arial" w:cs="Arial"/>
        </w:rPr>
        <w:t>emitirlos a través</w:t>
      </w:r>
      <w:r w:rsidR="00D85D26" w:rsidRPr="0051698C">
        <w:rPr>
          <w:rFonts w:ascii="Arial" w:hAnsi="Arial" w:cs="Arial"/>
        </w:rPr>
        <w:t xml:space="preserve"> de</w:t>
      </w:r>
      <w:r w:rsidR="005C69FA" w:rsidRPr="0051698C">
        <w:rPr>
          <w:rFonts w:ascii="Arial" w:hAnsi="Arial" w:cs="Arial"/>
        </w:rPr>
        <w:t xml:space="preserve"> </w:t>
      </w:r>
      <w:r w:rsidR="00B04C31" w:rsidRPr="0051698C">
        <w:rPr>
          <w:rFonts w:ascii="Arial" w:hAnsi="Arial" w:cs="Arial"/>
        </w:rPr>
        <w:t>otro sistema o</w:t>
      </w:r>
      <w:r w:rsidRPr="0051698C">
        <w:rPr>
          <w:rFonts w:ascii="Arial" w:eastAsia="Times New Roman" w:hAnsi="Arial" w:cs="Arial"/>
          <w:lang w:eastAsia="es-PE"/>
        </w:rPr>
        <w:t xml:space="preserve"> emitir </w:t>
      </w:r>
      <w:r w:rsidRPr="0051698C">
        <w:rPr>
          <w:rFonts w:ascii="Arial" w:hAnsi="Arial" w:cs="Arial"/>
        </w:rPr>
        <w:t xml:space="preserve">el </w:t>
      </w:r>
      <w:r w:rsidR="005C69FA" w:rsidRPr="0051698C">
        <w:rPr>
          <w:rFonts w:ascii="Arial" w:hAnsi="Arial" w:cs="Arial"/>
        </w:rPr>
        <w:t>documento autorizado</w:t>
      </w:r>
      <w:r w:rsidR="005B10AE" w:rsidRPr="0051698C">
        <w:rPr>
          <w:rFonts w:ascii="Arial" w:hAnsi="Arial" w:cs="Arial"/>
        </w:rPr>
        <w:t xml:space="preserve"> o emitir </w:t>
      </w:r>
      <w:r w:rsidR="005C69FA" w:rsidRPr="0051698C">
        <w:rPr>
          <w:rFonts w:ascii="Arial" w:hAnsi="Arial" w:cs="Arial"/>
        </w:rPr>
        <w:t>la nota de crédito y</w:t>
      </w:r>
      <w:r w:rsidR="005B10AE" w:rsidRPr="0051698C">
        <w:rPr>
          <w:rFonts w:ascii="Arial" w:hAnsi="Arial" w:cs="Arial"/>
        </w:rPr>
        <w:t>/</w:t>
      </w:r>
      <w:r w:rsidR="005C69FA" w:rsidRPr="0051698C">
        <w:rPr>
          <w:rFonts w:ascii="Arial" w:hAnsi="Arial" w:cs="Arial"/>
        </w:rPr>
        <w:t>o</w:t>
      </w:r>
      <w:r w:rsidR="005B10AE" w:rsidRPr="0051698C">
        <w:rPr>
          <w:rFonts w:ascii="Arial" w:hAnsi="Arial" w:cs="Arial"/>
        </w:rPr>
        <w:t xml:space="preserve"> la</w:t>
      </w:r>
      <w:r w:rsidR="005C69FA" w:rsidRPr="0051698C">
        <w:rPr>
          <w:rFonts w:ascii="Arial" w:hAnsi="Arial" w:cs="Arial"/>
        </w:rPr>
        <w:t xml:space="preserve"> nota de débito</w:t>
      </w:r>
      <w:r w:rsidR="005B10AE" w:rsidRPr="0051698C">
        <w:rPr>
          <w:rFonts w:ascii="Arial" w:hAnsi="Arial" w:cs="Arial"/>
        </w:rPr>
        <w:t xml:space="preserve"> sin utilizar el SEE.</w:t>
      </w:r>
    </w:p>
    <w:p w:rsidR="00FC3236" w:rsidRPr="0051698C" w:rsidRDefault="00FC3236" w:rsidP="00FC3236">
      <w:pPr>
        <w:pStyle w:val="NormalWeb"/>
        <w:ind w:left="0"/>
        <w:rPr>
          <w:rFonts w:ascii="Arial" w:hAnsi="Arial" w:cs="Arial"/>
          <w:b/>
          <w:bCs/>
          <w:sz w:val="22"/>
          <w:szCs w:val="22"/>
        </w:rPr>
      </w:pPr>
      <w:r w:rsidRPr="0051698C">
        <w:rPr>
          <w:rFonts w:ascii="Arial" w:hAnsi="Arial" w:cs="Arial"/>
          <w:b/>
          <w:bCs/>
          <w:sz w:val="22"/>
          <w:szCs w:val="22"/>
        </w:rPr>
        <w:t xml:space="preserve">Artículo 5. Cambio de sistema de emisión electrónica </w:t>
      </w:r>
    </w:p>
    <w:p w:rsidR="00B03BCC" w:rsidRPr="0051698C" w:rsidRDefault="00192E7F" w:rsidP="00B03BCC">
      <w:pPr>
        <w:pStyle w:val="NormalWeb"/>
        <w:ind w:left="0"/>
        <w:rPr>
          <w:rFonts w:ascii="Arial" w:hAnsi="Arial" w:cs="Arial"/>
          <w:color w:val="000000"/>
          <w:sz w:val="22"/>
          <w:szCs w:val="22"/>
        </w:rPr>
      </w:pPr>
      <w:r w:rsidRPr="0051698C">
        <w:rPr>
          <w:rFonts w:ascii="Arial" w:hAnsi="Arial" w:cs="Arial"/>
          <w:color w:val="000000"/>
          <w:sz w:val="22"/>
          <w:szCs w:val="22"/>
        </w:rPr>
        <w:lastRenderedPageBreak/>
        <w:t xml:space="preserve">5.1 </w:t>
      </w:r>
      <w:r w:rsidR="00B03BCC" w:rsidRPr="0051698C">
        <w:rPr>
          <w:rFonts w:ascii="Arial" w:hAnsi="Arial" w:cs="Arial"/>
          <w:color w:val="000000"/>
          <w:sz w:val="22"/>
          <w:szCs w:val="22"/>
        </w:rPr>
        <w:t xml:space="preserve">El emisor electrónico del SEE – </w:t>
      </w:r>
      <w:r w:rsidR="00220AB1" w:rsidRPr="0051698C">
        <w:rPr>
          <w:rFonts w:ascii="Arial" w:hAnsi="Arial" w:cs="Arial"/>
          <w:sz w:val="22"/>
          <w:szCs w:val="22"/>
        </w:rPr>
        <w:t>Empresas Supervisadas</w:t>
      </w:r>
      <w:r w:rsidR="00B03BCC" w:rsidRPr="0051698C">
        <w:rPr>
          <w:rFonts w:ascii="Arial" w:hAnsi="Arial" w:cs="Arial"/>
          <w:color w:val="000000"/>
          <w:sz w:val="22"/>
          <w:szCs w:val="22"/>
        </w:rPr>
        <w:t xml:space="preserve"> p</w:t>
      </w:r>
      <w:r w:rsidR="00DE5A80" w:rsidRPr="0051698C">
        <w:rPr>
          <w:rFonts w:ascii="Arial" w:hAnsi="Arial" w:cs="Arial"/>
          <w:color w:val="000000"/>
          <w:sz w:val="22"/>
          <w:szCs w:val="22"/>
        </w:rPr>
        <w:t>uede</w:t>
      </w:r>
      <w:r w:rsidR="00B03BCC" w:rsidRPr="0051698C">
        <w:rPr>
          <w:rFonts w:ascii="Arial" w:hAnsi="Arial" w:cs="Arial"/>
          <w:color w:val="000000"/>
          <w:sz w:val="22"/>
          <w:szCs w:val="22"/>
        </w:rPr>
        <w:t xml:space="preserve"> cambiar de sistema y emitir</w:t>
      </w:r>
      <w:r w:rsidR="00325637" w:rsidRPr="0051698C">
        <w:rPr>
          <w:rFonts w:ascii="Arial" w:hAnsi="Arial" w:cs="Arial"/>
          <w:color w:val="000000"/>
          <w:sz w:val="22"/>
          <w:szCs w:val="22"/>
        </w:rPr>
        <w:t xml:space="preserve"> sus </w:t>
      </w:r>
      <w:r w:rsidR="00B03BCC" w:rsidRPr="0051698C">
        <w:rPr>
          <w:rFonts w:ascii="Arial" w:hAnsi="Arial" w:cs="Arial"/>
          <w:color w:val="000000"/>
          <w:sz w:val="22"/>
          <w:szCs w:val="22"/>
        </w:rPr>
        <w:t xml:space="preserve">comprobantes de pago </w:t>
      </w:r>
      <w:r w:rsidRPr="0051698C">
        <w:rPr>
          <w:rFonts w:ascii="Arial" w:hAnsi="Arial" w:cs="Arial"/>
          <w:color w:val="000000"/>
          <w:sz w:val="22"/>
          <w:szCs w:val="22"/>
        </w:rPr>
        <w:t xml:space="preserve">electrónicos </w:t>
      </w:r>
      <w:r w:rsidR="00B03BCC" w:rsidRPr="0051698C">
        <w:rPr>
          <w:rFonts w:ascii="Arial" w:hAnsi="Arial" w:cs="Arial"/>
          <w:color w:val="000000"/>
          <w:sz w:val="22"/>
          <w:szCs w:val="22"/>
        </w:rPr>
        <w:t xml:space="preserve">y notas electrónicas a través del SEE – Del contribuyente. </w:t>
      </w:r>
    </w:p>
    <w:p w:rsidR="00E6281E" w:rsidRPr="0051698C" w:rsidRDefault="00192E7F" w:rsidP="00B03BCC">
      <w:pPr>
        <w:pStyle w:val="NormalWeb"/>
        <w:ind w:left="0"/>
        <w:rPr>
          <w:rFonts w:ascii="Arial" w:hAnsi="Arial" w:cs="Arial"/>
          <w:color w:val="000000"/>
          <w:sz w:val="22"/>
          <w:szCs w:val="22"/>
        </w:rPr>
      </w:pPr>
      <w:r w:rsidRPr="0051698C">
        <w:rPr>
          <w:rFonts w:ascii="Arial" w:hAnsi="Arial" w:cs="Arial"/>
          <w:color w:val="000000"/>
          <w:sz w:val="22"/>
          <w:szCs w:val="22"/>
        </w:rPr>
        <w:t xml:space="preserve">5.2 </w:t>
      </w:r>
      <w:r w:rsidR="009F16B1" w:rsidRPr="0051698C">
        <w:rPr>
          <w:rFonts w:ascii="Arial" w:hAnsi="Arial" w:cs="Arial"/>
          <w:color w:val="000000"/>
          <w:sz w:val="22"/>
          <w:szCs w:val="22"/>
        </w:rPr>
        <w:t>E</w:t>
      </w:r>
      <w:r w:rsidR="00B03BCC" w:rsidRPr="0051698C">
        <w:rPr>
          <w:rFonts w:ascii="Arial" w:hAnsi="Arial" w:cs="Arial"/>
          <w:color w:val="000000"/>
          <w:sz w:val="22"/>
          <w:szCs w:val="22"/>
        </w:rPr>
        <w:t>l emisor electrónico del SEE – Del contribuyente que</w:t>
      </w:r>
      <w:r w:rsidR="00C33635" w:rsidRPr="0051698C">
        <w:rPr>
          <w:rFonts w:ascii="Arial" w:hAnsi="Arial" w:cs="Arial"/>
          <w:color w:val="000000"/>
          <w:sz w:val="22"/>
          <w:szCs w:val="22"/>
        </w:rPr>
        <w:t xml:space="preserve"> emita</w:t>
      </w:r>
      <w:r w:rsidRPr="0051698C">
        <w:rPr>
          <w:rFonts w:ascii="Arial" w:hAnsi="Arial" w:cs="Arial"/>
          <w:color w:val="000000"/>
          <w:sz w:val="22"/>
          <w:szCs w:val="22"/>
        </w:rPr>
        <w:t xml:space="preserve"> el</w:t>
      </w:r>
      <w:r w:rsidR="00C33635" w:rsidRPr="0051698C">
        <w:rPr>
          <w:rFonts w:ascii="Arial" w:hAnsi="Arial" w:cs="Arial"/>
          <w:color w:val="000000"/>
          <w:sz w:val="22"/>
          <w:szCs w:val="22"/>
        </w:rPr>
        <w:t xml:space="preserve"> recibo electrónico SP y </w:t>
      </w:r>
      <w:r w:rsidRPr="0051698C">
        <w:rPr>
          <w:rFonts w:ascii="Arial" w:hAnsi="Arial" w:cs="Arial"/>
          <w:color w:val="000000"/>
          <w:sz w:val="22"/>
          <w:szCs w:val="22"/>
        </w:rPr>
        <w:t xml:space="preserve">las </w:t>
      </w:r>
      <w:r w:rsidR="00C33635" w:rsidRPr="0051698C">
        <w:rPr>
          <w:rFonts w:ascii="Arial" w:hAnsi="Arial" w:cs="Arial"/>
          <w:color w:val="000000"/>
          <w:sz w:val="22"/>
          <w:szCs w:val="22"/>
        </w:rPr>
        <w:t xml:space="preserve">notas </w:t>
      </w:r>
      <w:r w:rsidRPr="0051698C">
        <w:rPr>
          <w:rFonts w:ascii="Arial" w:hAnsi="Arial" w:cs="Arial"/>
          <w:color w:val="000000"/>
          <w:sz w:val="22"/>
          <w:szCs w:val="22"/>
        </w:rPr>
        <w:t xml:space="preserve">electrónicas </w:t>
      </w:r>
      <w:r w:rsidR="00C33635" w:rsidRPr="0051698C">
        <w:rPr>
          <w:rFonts w:ascii="Arial" w:hAnsi="Arial" w:cs="Arial"/>
          <w:color w:val="000000"/>
          <w:sz w:val="22"/>
          <w:szCs w:val="22"/>
        </w:rPr>
        <w:t xml:space="preserve">puede cambiar de sistema y emitirlos </w:t>
      </w:r>
      <w:r w:rsidR="00B03BCC" w:rsidRPr="0051698C">
        <w:rPr>
          <w:rFonts w:ascii="Arial" w:hAnsi="Arial" w:cs="Arial"/>
          <w:color w:val="000000"/>
          <w:sz w:val="22"/>
          <w:szCs w:val="22"/>
        </w:rPr>
        <w:t xml:space="preserve">a través del SEE – </w:t>
      </w:r>
      <w:r w:rsidR="00220AB1" w:rsidRPr="0051698C">
        <w:rPr>
          <w:rFonts w:ascii="Arial" w:hAnsi="Arial" w:cs="Arial"/>
          <w:sz w:val="22"/>
          <w:szCs w:val="22"/>
        </w:rPr>
        <w:t>Empresas Supervisadas</w:t>
      </w:r>
      <w:r w:rsidR="00B03BCC" w:rsidRPr="0051698C">
        <w:rPr>
          <w:rFonts w:ascii="Arial" w:hAnsi="Arial" w:cs="Arial"/>
          <w:color w:val="000000"/>
          <w:sz w:val="22"/>
          <w:szCs w:val="22"/>
        </w:rPr>
        <w:t>,</w:t>
      </w:r>
      <w:r w:rsidR="00D2287D" w:rsidRPr="0051698C">
        <w:rPr>
          <w:rFonts w:ascii="Arial" w:hAnsi="Arial" w:cs="Arial"/>
          <w:color w:val="000000"/>
          <w:sz w:val="22"/>
          <w:szCs w:val="22"/>
        </w:rPr>
        <w:t xml:space="preserve"> </w:t>
      </w:r>
      <w:r w:rsidR="00EF66F1" w:rsidRPr="0051698C">
        <w:rPr>
          <w:rFonts w:ascii="Arial" w:hAnsi="Arial" w:cs="Arial"/>
          <w:color w:val="000000"/>
          <w:sz w:val="22"/>
          <w:szCs w:val="22"/>
        </w:rPr>
        <w:t>siempre que cumpla</w:t>
      </w:r>
      <w:r w:rsidR="00E6281E" w:rsidRPr="0051698C">
        <w:rPr>
          <w:rFonts w:ascii="Arial" w:hAnsi="Arial" w:cs="Arial"/>
          <w:color w:val="000000"/>
          <w:sz w:val="22"/>
          <w:szCs w:val="22"/>
        </w:rPr>
        <w:t xml:space="preserve"> </w:t>
      </w:r>
      <w:r w:rsidRPr="0051698C">
        <w:rPr>
          <w:rFonts w:ascii="Arial" w:hAnsi="Arial" w:cs="Arial"/>
          <w:color w:val="000000"/>
          <w:sz w:val="22"/>
          <w:szCs w:val="22"/>
        </w:rPr>
        <w:t>lo dispuesto en el artículo 3</w:t>
      </w:r>
      <w:r w:rsidR="00634999" w:rsidRPr="0051698C">
        <w:rPr>
          <w:rFonts w:ascii="Arial" w:hAnsi="Arial" w:cs="Arial"/>
          <w:color w:val="000000"/>
          <w:sz w:val="22"/>
          <w:szCs w:val="22"/>
        </w:rPr>
        <w:t xml:space="preserve">. </w:t>
      </w:r>
    </w:p>
    <w:p w:rsidR="00BD67C3" w:rsidRPr="0051698C" w:rsidRDefault="00192E7F" w:rsidP="00C64DCC">
      <w:pPr>
        <w:pStyle w:val="NormalWeb"/>
        <w:ind w:left="0"/>
        <w:rPr>
          <w:rFonts w:ascii="Arial" w:hAnsi="Arial" w:cs="Arial"/>
          <w:b/>
          <w:bCs/>
          <w:sz w:val="22"/>
          <w:szCs w:val="22"/>
        </w:rPr>
      </w:pPr>
      <w:r w:rsidRPr="0051698C">
        <w:rPr>
          <w:rFonts w:ascii="Arial" w:hAnsi="Arial" w:cs="Arial"/>
          <w:color w:val="000000"/>
          <w:sz w:val="22"/>
          <w:szCs w:val="22"/>
        </w:rPr>
        <w:t xml:space="preserve">5.3 </w:t>
      </w:r>
      <w:r w:rsidR="00C66D81" w:rsidRPr="0051698C">
        <w:rPr>
          <w:rFonts w:ascii="Arial" w:hAnsi="Arial" w:cs="Arial"/>
          <w:color w:val="000000"/>
          <w:sz w:val="22"/>
          <w:szCs w:val="22"/>
        </w:rPr>
        <w:t xml:space="preserve">El cambio surtirá efecto a partir del primer día calendario del mes siguiente en que </w:t>
      </w:r>
      <w:r w:rsidRPr="0051698C">
        <w:rPr>
          <w:rFonts w:ascii="Arial" w:hAnsi="Arial" w:cs="Arial"/>
          <w:color w:val="000000"/>
          <w:sz w:val="22"/>
          <w:szCs w:val="22"/>
        </w:rPr>
        <w:t>efectúe</w:t>
      </w:r>
      <w:r w:rsidR="00131E49" w:rsidRPr="0051698C">
        <w:rPr>
          <w:rFonts w:ascii="Arial" w:hAnsi="Arial" w:cs="Arial"/>
          <w:color w:val="000000"/>
          <w:sz w:val="22"/>
          <w:szCs w:val="22"/>
        </w:rPr>
        <w:t xml:space="preserve"> el registro en SUNAT Operaciones en Línea</w:t>
      </w:r>
      <w:r w:rsidR="002A6C04" w:rsidRPr="0051698C">
        <w:rPr>
          <w:rFonts w:ascii="Arial" w:hAnsi="Arial" w:cs="Arial"/>
          <w:color w:val="000000"/>
          <w:sz w:val="22"/>
          <w:szCs w:val="22"/>
        </w:rPr>
        <w:t xml:space="preserve"> del sistema a utilizar</w:t>
      </w:r>
      <w:r w:rsidR="00131E49" w:rsidRPr="0051698C">
        <w:rPr>
          <w:rFonts w:ascii="Arial" w:hAnsi="Arial" w:cs="Arial"/>
          <w:color w:val="000000"/>
          <w:sz w:val="22"/>
          <w:szCs w:val="22"/>
        </w:rPr>
        <w:t>.</w:t>
      </w:r>
    </w:p>
    <w:p w:rsidR="00C64DCC" w:rsidRPr="0051698C" w:rsidRDefault="00793CA6" w:rsidP="00C64DCC">
      <w:pPr>
        <w:pStyle w:val="NormalWeb"/>
        <w:spacing w:before="0" w:beforeAutospacing="0" w:after="0" w:afterAutospacing="0" w:line="220" w:lineRule="atLeast"/>
        <w:jc w:val="center"/>
        <w:rPr>
          <w:rFonts w:ascii="Arial" w:hAnsi="Arial" w:cs="Arial"/>
          <w:b/>
          <w:bCs/>
          <w:sz w:val="22"/>
          <w:szCs w:val="22"/>
        </w:rPr>
      </w:pPr>
      <w:r w:rsidRPr="0051698C">
        <w:rPr>
          <w:rFonts w:ascii="Arial" w:hAnsi="Arial" w:cs="Arial"/>
          <w:b/>
          <w:bCs/>
          <w:sz w:val="22"/>
          <w:szCs w:val="22"/>
        </w:rPr>
        <w:t>TÍTULO III</w:t>
      </w:r>
    </w:p>
    <w:p w:rsidR="00793CA6" w:rsidRPr="0051698C" w:rsidRDefault="00793CA6" w:rsidP="00C64DCC">
      <w:pPr>
        <w:pStyle w:val="NormalWeb"/>
        <w:spacing w:before="0" w:beforeAutospacing="0" w:after="0" w:afterAutospacing="0" w:line="220" w:lineRule="atLeast"/>
        <w:jc w:val="center"/>
        <w:rPr>
          <w:rFonts w:ascii="Arial" w:hAnsi="Arial" w:cs="Arial"/>
          <w:sz w:val="22"/>
          <w:szCs w:val="22"/>
        </w:rPr>
      </w:pPr>
      <w:r w:rsidRPr="0051698C">
        <w:rPr>
          <w:rFonts w:ascii="Arial" w:hAnsi="Arial" w:cs="Arial"/>
          <w:b/>
          <w:bCs/>
          <w:sz w:val="22"/>
          <w:szCs w:val="22"/>
        </w:rPr>
        <w:t>DE</w:t>
      </w:r>
      <w:r w:rsidR="00FC3236" w:rsidRPr="0051698C">
        <w:rPr>
          <w:rFonts w:ascii="Arial" w:hAnsi="Arial" w:cs="Arial"/>
          <w:b/>
          <w:bCs/>
          <w:sz w:val="22"/>
          <w:szCs w:val="22"/>
        </w:rPr>
        <w:t xml:space="preserve"> </w:t>
      </w:r>
      <w:r w:rsidRPr="0051698C">
        <w:rPr>
          <w:rFonts w:ascii="Arial" w:hAnsi="Arial" w:cs="Arial"/>
          <w:b/>
          <w:bCs/>
          <w:sz w:val="22"/>
          <w:szCs w:val="22"/>
        </w:rPr>
        <w:t>L</w:t>
      </w:r>
      <w:r w:rsidR="00FC3236" w:rsidRPr="0051698C">
        <w:rPr>
          <w:rFonts w:ascii="Arial" w:hAnsi="Arial" w:cs="Arial"/>
          <w:b/>
          <w:bCs/>
          <w:sz w:val="22"/>
          <w:szCs w:val="22"/>
        </w:rPr>
        <w:t>OS</w:t>
      </w:r>
      <w:r w:rsidRPr="0051698C">
        <w:rPr>
          <w:rFonts w:ascii="Arial" w:hAnsi="Arial" w:cs="Arial"/>
          <w:b/>
          <w:bCs/>
          <w:sz w:val="22"/>
          <w:szCs w:val="22"/>
        </w:rPr>
        <w:t xml:space="preserve"> COMPROBANTE</w:t>
      </w:r>
      <w:r w:rsidR="00FC3236" w:rsidRPr="0051698C">
        <w:rPr>
          <w:rFonts w:ascii="Arial" w:hAnsi="Arial" w:cs="Arial"/>
          <w:b/>
          <w:bCs/>
          <w:sz w:val="22"/>
          <w:szCs w:val="22"/>
        </w:rPr>
        <w:t>S</w:t>
      </w:r>
      <w:r w:rsidRPr="0051698C">
        <w:rPr>
          <w:rFonts w:ascii="Arial" w:hAnsi="Arial" w:cs="Arial"/>
          <w:b/>
          <w:bCs/>
          <w:sz w:val="22"/>
          <w:szCs w:val="22"/>
        </w:rPr>
        <w:t xml:space="preserve"> DE PAGO ELECTRÓNICO</w:t>
      </w:r>
      <w:r w:rsidR="00FC3236" w:rsidRPr="0051698C">
        <w:rPr>
          <w:rFonts w:ascii="Arial" w:hAnsi="Arial" w:cs="Arial"/>
          <w:b/>
          <w:bCs/>
          <w:sz w:val="22"/>
          <w:szCs w:val="22"/>
        </w:rPr>
        <w:t>S</w:t>
      </w:r>
      <w:r w:rsidR="00216973" w:rsidRPr="0051698C">
        <w:rPr>
          <w:rFonts w:ascii="Arial" w:hAnsi="Arial" w:cs="Arial"/>
          <w:b/>
          <w:bCs/>
          <w:sz w:val="22"/>
          <w:szCs w:val="22"/>
        </w:rPr>
        <w:t xml:space="preserve"> Y DE LOS </w:t>
      </w:r>
      <w:r w:rsidR="00FC3236" w:rsidRPr="0051698C">
        <w:rPr>
          <w:rFonts w:ascii="Arial" w:hAnsi="Arial" w:cs="Arial"/>
          <w:b/>
          <w:bCs/>
          <w:sz w:val="22"/>
          <w:szCs w:val="22"/>
        </w:rPr>
        <w:t>DOCUMENTOS RELACIONADOS CON AQUELLOS</w:t>
      </w:r>
    </w:p>
    <w:p w:rsidR="00296108" w:rsidRPr="0051698C" w:rsidRDefault="00296108" w:rsidP="00296108">
      <w:pPr>
        <w:pStyle w:val="NormalWeb"/>
        <w:ind w:left="0"/>
        <w:rPr>
          <w:rFonts w:ascii="Arial" w:hAnsi="Arial" w:cs="Arial"/>
          <w:sz w:val="22"/>
          <w:szCs w:val="22"/>
        </w:rPr>
      </w:pPr>
      <w:bookmarkStart w:id="7" w:name="JD_a)Loscomprobant"/>
      <w:bookmarkEnd w:id="7"/>
      <w:r w:rsidRPr="0051698C">
        <w:rPr>
          <w:rFonts w:ascii="Arial" w:hAnsi="Arial" w:cs="Arial"/>
          <w:b/>
          <w:bCs/>
          <w:sz w:val="22"/>
          <w:szCs w:val="22"/>
        </w:rPr>
        <w:t xml:space="preserve">Artículo </w:t>
      </w:r>
      <w:r w:rsidR="004139E0" w:rsidRPr="0051698C">
        <w:rPr>
          <w:rFonts w:ascii="Arial" w:hAnsi="Arial" w:cs="Arial"/>
          <w:b/>
          <w:bCs/>
          <w:sz w:val="22"/>
          <w:szCs w:val="22"/>
        </w:rPr>
        <w:t>6</w:t>
      </w:r>
      <w:r w:rsidRPr="0051698C">
        <w:rPr>
          <w:rFonts w:ascii="Arial" w:hAnsi="Arial" w:cs="Arial"/>
          <w:b/>
          <w:bCs/>
          <w:sz w:val="22"/>
          <w:szCs w:val="22"/>
        </w:rPr>
        <w:t>.- Condiciones de emisión</w:t>
      </w:r>
      <w:r w:rsidR="00DF5075" w:rsidRPr="0051698C">
        <w:rPr>
          <w:rFonts w:ascii="Arial" w:hAnsi="Arial" w:cs="Arial"/>
          <w:b/>
          <w:bCs/>
          <w:sz w:val="22"/>
          <w:szCs w:val="22"/>
        </w:rPr>
        <w:t xml:space="preserve"> del documento electrónico</w:t>
      </w:r>
    </w:p>
    <w:p w:rsidR="00743F29" w:rsidRPr="0051698C" w:rsidRDefault="00192E7F" w:rsidP="00DF5075">
      <w:pPr>
        <w:pStyle w:val="NormalWeb"/>
        <w:ind w:left="0"/>
        <w:rPr>
          <w:rFonts w:ascii="Arial" w:hAnsi="Arial" w:cs="Arial"/>
          <w:sz w:val="22"/>
          <w:szCs w:val="22"/>
        </w:rPr>
      </w:pPr>
      <w:r w:rsidRPr="0051698C">
        <w:rPr>
          <w:rFonts w:ascii="Arial" w:hAnsi="Arial" w:cs="Arial"/>
          <w:sz w:val="22"/>
          <w:szCs w:val="22"/>
        </w:rPr>
        <w:t xml:space="preserve">6.1 </w:t>
      </w:r>
      <w:r w:rsidR="00743F29" w:rsidRPr="0051698C">
        <w:rPr>
          <w:rFonts w:ascii="Arial" w:hAnsi="Arial" w:cs="Arial"/>
          <w:sz w:val="22"/>
          <w:szCs w:val="22"/>
        </w:rPr>
        <w:t>Se considera que el emisor electrónico ha emitido un documento electrónico si cumple con lo siguiente:</w:t>
      </w:r>
    </w:p>
    <w:p w:rsidR="001603AE" w:rsidRPr="0051698C" w:rsidRDefault="001603AE" w:rsidP="005D1930">
      <w:pPr>
        <w:pStyle w:val="NormalWeb"/>
        <w:numPr>
          <w:ilvl w:val="0"/>
          <w:numId w:val="5"/>
        </w:numPr>
        <w:tabs>
          <w:tab w:val="left" w:pos="284"/>
        </w:tabs>
        <w:ind w:left="0" w:firstLine="0"/>
        <w:rPr>
          <w:rFonts w:ascii="Arial" w:hAnsi="Arial" w:cs="Arial"/>
          <w:sz w:val="22"/>
          <w:szCs w:val="22"/>
        </w:rPr>
      </w:pPr>
      <w:r w:rsidRPr="0051698C">
        <w:rPr>
          <w:rFonts w:ascii="Arial" w:hAnsi="Arial" w:cs="Arial"/>
          <w:sz w:val="22"/>
          <w:szCs w:val="22"/>
        </w:rPr>
        <w:t>Se le asignó la calidad de emisor electrónico</w:t>
      </w:r>
      <w:r w:rsidR="00092346" w:rsidRPr="0051698C">
        <w:rPr>
          <w:rFonts w:ascii="Arial" w:hAnsi="Arial" w:cs="Arial"/>
          <w:sz w:val="22"/>
          <w:szCs w:val="22"/>
        </w:rPr>
        <w:t>, según la presente resolución</w:t>
      </w:r>
      <w:r w:rsidR="00244A3C" w:rsidRPr="0051698C">
        <w:rPr>
          <w:rFonts w:ascii="Arial" w:hAnsi="Arial" w:cs="Arial"/>
          <w:sz w:val="22"/>
          <w:szCs w:val="22"/>
        </w:rPr>
        <w:t xml:space="preserve"> u otra resolución de superintendencia y debe o puede emitir </w:t>
      </w:r>
      <w:r w:rsidRPr="0051698C">
        <w:rPr>
          <w:rFonts w:ascii="Arial" w:hAnsi="Arial" w:cs="Arial"/>
          <w:sz w:val="22"/>
          <w:szCs w:val="22"/>
        </w:rPr>
        <w:t xml:space="preserve">en el SEE – </w:t>
      </w:r>
      <w:r w:rsidR="00220AB1" w:rsidRPr="0051698C">
        <w:rPr>
          <w:rFonts w:ascii="Arial" w:hAnsi="Arial" w:cs="Arial"/>
          <w:sz w:val="22"/>
          <w:szCs w:val="22"/>
        </w:rPr>
        <w:t>Empresas Supervisadas</w:t>
      </w:r>
      <w:bookmarkStart w:id="8" w:name="JD_uentraafecto"/>
      <w:bookmarkEnd w:id="8"/>
      <w:r w:rsidRPr="0051698C">
        <w:rPr>
          <w:rFonts w:ascii="Arial" w:hAnsi="Arial" w:cs="Arial"/>
          <w:sz w:val="22"/>
          <w:szCs w:val="22"/>
        </w:rPr>
        <w:t>.</w:t>
      </w:r>
    </w:p>
    <w:p w:rsidR="00DF5075" w:rsidRPr="0051698C" w:rsidRDefault="00743F29" w:rsidP="005D1930">
      <w:pPr>
        <w:pStyle w:val="NormalWeb"/>
        <w:numPr>
          <w:ilvl w:val="0"/>
          <w:numId w:val="5"/>
        </w:numPr>
        <w:tabs>
          <w:tab w:val="left" w:pos="284"/>
        </w:tabs>
        <w:ind w:left="0" w:firstLine="0"/>
        <w:rPr>
          <w:rFonts w:ascii="Arial" w:hAnsi="Arial" w:cs="Arial"/>
          <w:sz w:val="22"/>
          <w:szCs w:val="22"/>
        </w:rPr>
      </w:pPr>
      <w:r w:rsidRPr="0051698C">
        <w:rPr>
          <w:rFonts w:ascii="Arial" w:hAnsi="Arial" w:cs="Arial"/>
          <w:sz w:val="22"/>
          <w:szCs w:val="22"/>
        </w:rPr>
        <w:t>Consigna en el campo correspondiente del documento electrónico su número de RUC, el cual no debe encontrarse en estado de baja de inscripción.</w:t>
      </w:r>
      <w:bookmarkStart w:id="9" w:name="JD_uvo"/>
      <w:bookmarkEnd w:id="9"/>
    </w:p>
    <w:p w:rsidR="001603AE" w:rsidRPr="0051698C" w:rsidRDefault="00DF5075" w:rsidP="005D1930">
      <w:pPr>
        <w:pStyle w:val="NormalWeb"/>
        <w:numPr>
          <w:ilvl w:val="0"/>
          <w:numId w:val="5"/>
        </w:numPr>
        <w:tabs>
          <w:tab w:val="left" w:pos="284"/>
        </w:tabs>
        <w:ind w:left="0" w:firstLine="0"/>
        <w:rPr>
          <w:rFonts w:ascii="Arial" w:hAnsi="Arial" w:cs="Arial"/>
          <w:sz w:val="22"/>
          <w:szCs w:val="22"/>
        </w:rPr>
      </w:pPr>
      <w:r w:rsidRPr="0051698C">
        <w:rPr>
          <w:rFonts w:ascii="Arial" w:hAnsi="Arial" w:cs="Arial"/>
          <w:sz w:val="22"/>
          <w:szCs w:val="22"/>
        </w:rPr>
        <w:t>Se encuentra afecto en el RUC al impuesto a la renta de tercera categoría, de generar ese tipo de renta.</w:t>
      </w:r>
    </w:p>
    <w:p w:rsidR="001603AE" w:rsidRPr="0051698C" w:rsidRDefault="00EA79C9" w:rsidP="005D1930">
      <w:pPr>
        <w:pStyle w:val="NormalWeb"/>
        <w:numPr>
          <w:ilvl w:val="0"/>
          <w:numId w:val="5"/>
        </w:numPr>
        <w:tabs>
          <w:tab w:val="left" w:pos="284"/>
        </w:tabs>
        <w:ind w:left="0" w:firstLine="0"/>
        <w:rPr>
          <w:rFonts w:ascii="Arial" w:hAnsi="Arial" w:cs="Arial"/>
          <w:sz w:val="22"/>
          <w:szCs w:val="22"/>
        </w:rPr>
      </w:pPr>
      <w:r w:rsidRPr="0051698C">
        <w:rPr>
          <w:rFonts w:ascii="Arial" w:hAnsi="Arial" w:cs="Arial"/>
          <w:sz w:val="22"/>
          <w:szCs w:val="22"/>
        </w:rPr>
        <w:t>La numeración del documento electrónico no ha sido utilizada anteriormente.</w:t>
      </w:r>
    </w:p>
    <w:p w:rsidR="001603AE" w:rsidRPr="0051698C" w:rsidRDefault="00092346" w:rsidP="005D1930">
      <w:pPr>
        <w:pStyle w:val="NormalWeb"/>
        <w:numPr>
          <w:ilvl w:val="0"/>
          <w:numId w:val="5"/>
        </w:numPr>
        <w:tabs>
          <w:tab w:val="left" w:pos="284"/>
        </w:tabs>
        <w:ind w:left="0" w:firstLine="0"/>
        <w:rPr>
          <w:rFonts w:ascii="Arial" w:hAnsi="Arial" w:cs="Arial"/>
          <w:sz w:val="22"/>
          <w:szCs w:val="22"/>
        </w:rPr>
      </w:pPr>
      <w:r w:rsidRPr="0051698C">
        <w:rPr>
          <w:rFonts w:ascii="Arial" w:hAnsi="Arial" w:cs="Arial"/>
          <w:sz w:val="22"/>
          <w:szCs w:val="22"/>
        </w:rPr>
        <w:t>Existe información en los campos</w:t>
      </w:r>
      <w:r w:rsidR="00B546BB" w:rsidRPr="0051698C">
        <w:rPr>
          <w:rFonts w:ascii="Arial" w:hAnsi="Arial" w:cs="Arial"/>
          <w:sz w:val="22"/>
          <w:szCs w:val="22"/>
        </w:rPr>
        <w:t xml:space="preserve"> indicados como condiciones de emisión en el anexo I y</w:t>
      </w:r>
      <w:r w:rsidRPr="0051698C">
        <w:rPr>
          <w:rFonts w:ascii="Arial" w:hAnsi="Arial" w:cs="Arial"/>
          <w:sz w:val="22"/>
          <w:szCs w:val="22"/>
        </w:rPr>
        <w:t xml:space="preserve"> cumple con las validaciones respecto de dichos campos</w:t>
      </w:r>
      <w:r w:rsidR="00A4237D" w:rsidRPr="0051698C">
        <w:rPr>
          <w:rFonts w:ascii="Arial" w:hAnsi="Arial" w:cs="Arial"/>
          <w:sz w:val="22"/>
          <w:szCs w:val="22"/>
        </w:rPr>
        <w:t>.</w:t>
      </w:r>
      <w:r w:rsidRPr="0051698C">
        <w:rPr>
          <w:rFonts w:ascii="Arial" w:hAnsi="Arial" w:cs="Arial"/>
          <w:sz w:val="22"/>
          <w:szCs w:val="22"/>
        </w:rPr>
        <w:t xml:space="preserve"> </w:t>
      </w:r>
    </w:p>
    <w:p w:rsidR="004139E0" w:rsidRPr="0051698C" w:rsidRDefault="00852981" w:rsidP="005D1930">
      <w:pPr>
        <w:pStyle w:val="NormalWeb"/>
        <w:numPr>
          <w:ilvl w:val="0"/>
          <w:numId w:val="5"/>
        </w:numPr>
        <w:tabs>
          <w:tab w:val="left" w:pos="284"/>
        </w:tabs>
        <w:ind w:left="0" w:firstLine="0"/>
        <w:rPr>
          <w:rFonts w:ascii="Arial" w:hAnsi="Arial" w:cs="Arial"/>
          <w:sz w:val="22"/>
          <w:szCs w:val="22"/>
        </w:rPr>
      </w:pPr>
      <w:r w:rsidRPr="0051698C">
        <w:rPr>
          <w:rFonts w:ascii="Arial" w:hAnsi="Arial" w:cs="Arial"/>
          <w:sz w:val="22"/>
          <w:szCs w:val="22"/>
        </w:rPr>
        <w:t xml:space="preserve">Envía a la SUNAT el ejemplar del documento electrónico dentro del plazo y la forma señalados en el artículo 10. </w:t>
      </w:r>
    </w:p>
    <w:p w:rsidR="00A4237D" w:rsidRPr="0051698C" w:rsidRDefault="001603AE" w:rsidP="00A4237D">
      <w:pPr>
        <w:pStyle w:val="NormalWeb"/>
        <w:ind w:left="0"/>
        <w:rPr>
          <w:rFonts w:ascii="Arial" w:hAnsi="Arial" w:cs="Arial"/>
          <w:sz w:val="22"/>
          <w:szCs w:val="22"/>
        </w:rPr>
      </w:pPr>
      <w:r w:rsidRPr="0051698C">
        <w:rPr>
          <w:rFonts w:ascii="Arial" w:hAnsi="Arial" w:cs="Arial"/>
          <w:sz w:val="22"/>
          <w:szCs w:val="22"/>
        </w:rPr>
        <w:t xml:space="preserve">6.2 </w:t>
      </w:r>
      <w:r w:rsidR="00A4237D" w:rsidRPr="0051698C">
        <w:rPr>
          <w:rFonts w:ascii="Arial" w:hAnsi="Arial" w:cs="Arial"/>
          <w:sz w:val="22"/>
          <w:szCs w:val="22"/>
        </w:rPr>
        <w:t xml:space="preserve">Las condiciones señaladas en los </w:t>
      </w:r>
      <w:r w:rsidR="00DB0195" w:rsidRPr="0051698C">
        <w:rPr>
          <w:rFonts w:ascii="Arial" w:hAnsi="Arial" w:cs="Arial"/>
          <w:sz w:val="22"/>
          <w:szCs w:val="22"/>
        </w:rPr>
        <w:t>inciso</w:t>
      </w:r>
      <w:r w:rsidR="00570415" w:rsidRPr="0051698C">
        <w:rPr>
          <w:rFonts w:ascii="Arial" w:hAnsi="Arial" w:cs="Arial"/>
          <w:sz w:val="22"/>
          <w:szCs w:val="22"/>
        </w:rPr>
        <w:t>s</w:t>
      </w:r>
      <w:r w:rsidR="00A4237D" w:rsidRPr="0051698C">
        <w:rPr>
          <w:rFonts w:ascii="Arial" w:hAnsi="Arial" w:cs="Arial"/>
          <w:sz w:val="22"/>
          <w:szCs w:val="22"/>
        </w:rPr>
        <w:t xml:space="preserve"> </w:t>
      </w:r>
      <w:r w:rsidRPr="0051698C">
        <w:rPr>
          <w:rFonts w:ascii="Arial" w:hAnsi="Arial" w:cs="Arial"/>
          <w:sz w:val="22"/>
          <w:szCs w:val="22"/>
        </w:rPr>
        <w:t>a)</w:t>
      </w:r>
      <w:r w:rsidR="00A4237D" w:rsidRPr="0051698C">
        <w:rPr>
          <w:rFonts w:ascii="Arial" w:hAnsi="Arial" w:cs="Arial"/>
          <w:sz w:val="22"/>
          <w:szCs w:val="22"/>
        </w:rPr>
        <w:t xml:space="preserve"> a</w:t>
      </w:r>
      <w:r w:rsidRPr="0051698C">
        <w:rPr>
          <w:rFonts w:ascii="Arial" w:hAnsi="Arial" w:cs="Arial"/>
          <w:sz w:val="22"/>
          <w:szCs w:val="22"/>
        </w:rPr>
        <w:t>l e)</w:t>
      </w:r>
      <w:r w:rsidR="00A4237D" w:rsidRPr="0051698C">
        <w:rPr>
          <w:rFonts w:ascii="Arial" w:hAnsi="Arial" w:cs="Arial"/>
          <w:sz w:val="22"/>
          <w:szCs w:val="22"/>
        </w:rPr>
        <w:t xml:space="preserve"> </w:t>
      </w:r>
      <w:r w:rsidRPr="0051698C">
        <w:rPr>
          <w:rFonts w:ascii="Arial" w:hAnsi="Arial" w:cs="Arial"/>
          <w:sz w:val="22"/>
          <w:szCs w:val="22"/>
        </w:rPr>
        <w:t>se tendrán por cumplidas en el día señalado como fecha de emisión en el documento electrónico</w:t>
      </w:r>
      <w:r w:rsidR="00A4237D" w:rsidRPr="0051698C">
        <w:rPr>
          <w:rFonts w:ascii="Arial" w:hAnsi="Arial" w:cs="Arial"/>
          <w:sz w:val="22"/>
          <w:szCs w:val="22"/>
        </w:rPr>
        <w:t>:</w:t>
      </w:r>
    </w:p>
    <w:p w:rsidR="001603AE" w:rsidRPr="0051698C" w:rsidRDefault="00A4237D" w:rsidP="002230CA">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 xml:space="preserve">a) Cuando se cumpla la condición mencionada en </w:t>
      </w:r>
      <w:r w:rsidR="001603AE" w:rsidRPr="0051698C">
        <w:rPr>
          <w:rFonts w:ascii="Arial" w:hAnsi="Arial" w:cs="Arial"/>
          <w:sz w:val="22"/>
          <w:szCs w:val="22"/>
        </w:rPr>
        <w:t>el inciso f) del párrafo 6.1</w:t>
      </w:r>
      <w:r w:rsidRPr="0051698C">
        <w:rPr>
          <w:rFonts w:ascii="Arial" w:hAnsi="Arial" w:cs="Arial"/>
          <w:sz w:val="22"/>
          <w:szCs w:val="22"/>
        </w:rPr>
        <w:t xml:space="preserve"> y siempre que </w:t>
      </w:r>
      <w:r w:rsidR="00DB0195" w:rsidRPr="0051698C">
        <w:rPr>
          <w:rFonts w:ascii="Arial" w:hAnsi="Arial" w:cs="Arial"/>
          <w:sz w:val="22"/>
          <w:szCs w:val="22"/>
        </w:rPr>
        <w:t>el ejemplar enviado no tenga el estado rechazado</w:t>
      </w:r>
      <w:r w:rsidRPr="0051698C">
        <w:rPr>
          <w:rFonts w:ascii="Arial" w:hAnsi="Arial" w:cs="Arial"/>
          <w:sz w:val="22"/>
          <w:szCs w:val="22"/>
        </w:rPr>
        <w:t xml:space="preserve"> de conformidad con el </w:t>
      </w:r>
      <w:r w:rsidR="00DB0195" w:rsidRPr="0051698C">
        <w:rPr>
          <w:rFonts w:ascii="Arial" w:hAnsi="Arial" w:cs="Arial"/>
          <w:sz w:val="22"/>
          <w:szCs w:val="22"/>
        </w:rPr>
        <w:t>literal b) del inciso 10.2 del artículo 10</w:t>
      </w:r>
      <w:r w:rsidRPr="0051698C">
        <w:rPr>
          <w:rFonts w:ascii="Arial" w:hAnsi="Arial" w:cs="Arial"/>
          <w:sz w:val="22"/>
          <w:szCs w:val="22"/>
        </w:rPr>
        <w:t>.</w:t>
      </w:r>
    </w:p>
    <w:p w:rsidR="00A4237D" w:rsidRPr="0051698C" w:rsidRDefault="00A4237D" w:rsidP="002230CA">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lastRenderedPageBreak/>
        <w:t xml:space="preserve">b) Tratándose del </w:t>
      </w:r>
      <w:r w:rsidR="001603AE" w:rsidRPr="0051698C">
        <w:rPr>
          <w:rFonts w:ascii="Arial" w:hAnsi="Arial" w:cs="Arial"/>
          <w:sz w:val="22"/>
          <w:szCs w:val="22"/>
        </w:rPr>
        <w:t>inciso d) del párrafo 6.1</w:t>
      </w:r>
      <w:r w:rsidRPr="0051698C">
        <w:rPr>
          <w:rFonts w:ascii="Arial" w:hAnsi="Arial" w:cs="Arial"/>
          <w:sz w:val="22"/>
          <w:szCs w:val="22"/>
        </w:rPr>
        <w:t xml:space="preserve">, si en el momento en que la SUNAT recibe </w:t>
      </w:r>
      <w:r w:rsidR="00DB0195" w:rsidRPr="0051698C">
        <w:rPr>
          <w:rFonts w:ascii="Arial" w:hAnsi="Arial" w:cs="Arial"/>
          <w:sz w:val="22"/>
          <w:szCs w:val="22"/>
        </w:rPr>
        <w:t>el ejemplar</w:t>
      </w:r>
      <w:r w:rsidRPr="0051698C">
        <w:rPr>
          <w:rFonts w:ascii="Arial" w:hAnsi="Arial" w:cs="Arial"/>
          <w:sz w:val="22"/>
          <w:szCs w:val="22"/>
        </w:rPr>
        <w:t>, no se ha recibido con anterioridad un ejemplar</w:t>
      </w:r>
      <w:r w:rsidR="00DB0195" w:rsidRPr="0051698C">
        <w:rPr>
          <w:rFonts w:ascii="Arial" w:hAnsi="Arial" w:cs="Arial"/>
          <w:sz w:val="22"/>
          <w:szCs w:val="22"/>
        </w:rPr>
        <w:t xml:space="preserve"> correspondiente al mismo tipo de documento</w:t>
      </w:r>
      <w:r w:rsidRPr="0051698C">
        <w:rPr>
          <w:rFonts w:ascii="Arial" w:hAnsi="Arial" w:cs="Arial"/>
          <w:sz w:val="22"/>
          <w:szCs w:val="22"/>
        </w:rPr>
        <w:t xml:space="preserve"> con </w:t>
      </w:r>
      <w:r w:rsidR="00DB0195" w:rsidRPr="0051698C">
        <w:rPr>
          <w:rFonts w:ascii="Arial" w:hAnsi="Arial" w:cs="Arial"/>
          <w:sz w:val="22"/>
          <w:szCs w:val="22"/>
        </w:rPr>
        <w:t xml:space="preserve">igual </w:t>
      </w:r>
      <w:r w:rsidRPr="0051698C">
        <w:rPr>
          <w:rFonts w:ascii="Arial" w:hAnsi="Arial" w:cs="Arial"/>
          <w:sz w:val="22"/>
          <w:szCs w:val="22"/>
        </w:rPr>
        <w:t>numeración.</w:t>
      </w:r>
    </w:p>
    <w:p w:rsidR="00BD67C3" w:rsidRPr="0051698C" w:rsidRDefault="00BD67C3" w:rsidP="002230CA">
      <w:pPr>
        <w:pStyle w:val="NormalWeb"/>
        <w:spacing w:before="0" w:beforeAutospacing="0" w:after="0" w:afterAutospacing="0" w:line="220" w:lineRule="atLeast"/>
        <w:ind w:left="0"/>
        <w:rPr>
          <w:rFonts w:ascii="Arial" w:hAnsi="Arial" w:cs="Arial"/>
          <w:b/>
          <w:bCs/>
          <w:sz w:val="22"/>
          <w:szCs w:val="22"/>
        </w:rPr>
      </w:pPr>
    </w:p>
    <w:p w:rsidR="007746EE" w:rsidRPr="0051698C" w:rsidRDefault="007746EE" w:rsidP="002230CA">
      <w:pPr>
        <w:pStyle w:val="NormalWeb"/>
        <w:spacing w:before="0" w:beforeAutospacing="0" w:after="0" w:afterAutospacing="0" w:line="220" w:lineRule="atLeast"/>
        <w:ind w:left="0"/>
        <w:rPr>
          <w:rFonts w:ascii="Arial" w:hAnsi="Arial" w:cs="Arial"/>
          <w:sz w:val="22"/>
          <w:szCs w:val="22"/>
        </w:rPr>
      </w:pPr>
      <w:r w:rsidRPr="0051698C">
        <w:rPr>
          <w:rFonts w:ascii="Arial" w:hAnsi="Arial" w:cs="Arial"/>
          <w:b/>
          <w:bCs/>
          <w:sz w:val="22"/>
          <w:szCs w:val="22"/>
        </w:rPr>
        <w:t xml:space="preserve">Artículo </w:t>
      </w:r>
      <w:r w:rsidR="004139E0" w:rsidRPr="0051698C">
        <w:rPr>
          <w:rFonts w:ascii="Arial" w:hAnsi="Arial" w:cs="Arial"/>
          <w:b/>
          <w:bCs/>
          <w:sz w:val="22"/>
          <w:szCs w:val="22"/>
        </w:rPr>
        <w:t>7</w:t>
      </w:r>
      <w:r w:rsidRPr="0051698C">
        <w:rPr>
          <w:rFonts w:ascii="Arial" w:hAnsi="Arial" w:cs="Arial"/>
          <w:b/>
          <w:bCs/>
          <w:sz w:val="22"/>
          <w:szCs w:val="22"/>
        </w:rPr>
        <w:t xml:space="preserve">. </w:t>
      </w:r>
      <w:r w:rsidR="0051676E" w:rsidRPr="0051698C">
        <w:rPr>
          <w:rFonts w:ascii="Arial" w:hAnsi="Arial" w:cs="Arial"/>
          <w:b/>
          <w:bCs/>
          <w:sz w:val="22"/>
          <w:szCs w:val="22"/>
        </w:rPr>
        <w:t xml:space="preserve">Requisitos mínimos </w:t>
      </w:r>
      <w:r w:rsidRPr="0051698C">
        <w:rPr>
          <w:rFonts w:ascii="Arial" w:hAnsi="Arial" w:cs="Arial"/>
          <w:b/>
          <w:bCs/>
          <w:sz w:val="22"/>
          <w:szCs w:val="22"/>
        </w:rPr>
        <w:t>de</w:t>
      </w:r>
      <w:r w:rsidR="001603AE" w:rsidRPr="0051698C">
        <w:rPr>
          <w:rFonts w:ascii="Arial" w:hAnsi="Arial" w:cs="Arial"/>
          <w:b/>
          <w:bCs/>
          <w:sz w:val="22"/>
          <w:szCs w:val="22"/>
        </w:rPr>
        <w:t>l recibo electrónico SP y la nota</w:t>
      </w:r>
      <w:r w:rsidRPr="0051698C">
        <w:rPr>
          <w:rFonts w:ascii="Arial" w:hAnsi="Arial" w:cs="Arial"/>
          <w:b/>
          <w:bCs/>
          <w:sz w:val="22"/>
          <w:szCs w:val="22"/>
        </w:rPr>
        <w:t xml:space="preserve"> electrónica</w:t>
      </w:r>
    </w:p>
    <w:p w:rsidR="002230CA" w:rsidRPr="0051698C" w:rsidRDefault="002230CA" w:rsidP="002230CA">
      <w:pPr>
        <w:pStyle w:val="NormalWeb"/>
        <w:spacing w:before="0" w:beforeAutospacing="0" w:after="0" w:afterAutospacing="0" w:line="220" w:lineRule="atLeast"/>
        <w:ind w:left="0"/>
        <w:rPr>
          <w:rFonts w:ascii="Arial" w:hAnsi="Arial" w:cs="Arial"/>
          <w:sz w:val="22"/>
          <w:szCs w:val="22"/>
        </w:rPr>
      </w:pPr>
    </w:p>
    <w:p w:rsidR="005D1897" w:rsidRPr="0051698C" w:rsidRDefault="00C21A99" w:rsidP="002230CA">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 xml:space="preserve">Los requisitos mínimos del </w:t>
      </w:r>
      <w:r w:rsidR="001603AE" w:rsidRPr="0051698C">
        <w:rPr>
          <w:rFonts w:ascii="Arial" w:hAnsi="Arial" w:cs="Arial"/>
          <w:sz w:val="22"/>
          <w:szCs w:val="22"/>
        </w:rPr>
        <w:t>recibo electrónico SP</w:t>
      </w:r>
      <w:r w:rsidRPr="0051698C">
        <w:rPr>
          <w:rFonts w:ascii="Arial" w:hAnsi="Arial" w:cs="Arial"/>
          <w:sz w:val="22"/>
          <w:szCs w:val="22"/>
        </w:rPr>
        <w:t xml:space="preserve"> y la nota electrónica </w:t>
      </w:r>
      <w:r w:rsidR="001603AE" w:rsidRPr="0051698C">
        <w:rPr>
          <w:rFonts w:ascii="Arial" w:hAnsi="Arial" w:cs="Arial"/>
          <w:sz w:val="22"/>
          <w:szCs w:val="22"/>
        </w:rPr>
        <w:t xml:space="preserve">son los señalados como tales en el </w:t>
      </w:r>
      <w:r w:rsidR="005D1897" w:rsidRPr="0051698C">
        <w:rPr>
          <w:rFonts w:ascii="Arial" w:hAnsi="Arial" w:cs="Arial"/>
          <w:sz w:val="22"/>
          <w:szCs w:val="22"/>
        </w:rPr>
        <w:t xml:space="preserve">anexo I. </w:t>
      </w:r>
    </w:p>
    <w:p w:rsidR="00BD67C3" w:rsidRPr="0051698C" w:rsidRDefault="00BD67C3" w:rsidP="002230CA">
      <w:pPr>
        <w:pStyle w:val="NormalWeb"/>
        <w:spacing w:before="0" w:beforeAutospacing="0" w:after="0" w:afterAutospacing="0" w:line="220" w:lineRule="atLeast"/>
        <w:ind w:left="0"/>
        <w:rPr>
          <w:rFonts w:ascii="Arial" w:hAnsi="Arial" w:cs="Arial"/>
          <w:b/>
          <w:bCs/>
          <w:sz w:val="22"/>
          <w:szCs w:val="22"/>
        </w:rPr>
      </w:pPr>
    </w:p>
    <w:p w:rsidR="004139E0" w:rsidRPr="0051698C" w:rsidRDefault="004139E0" w:rsidP="002230CA">
      <w:pPr>
        <w:pStyle w:val="NormalWeb"/>
        <w:spacing w:before="0" w:beforeAutospacing="0" w:after="0" w:afterAutospacing="0" w:line="220" w:lineRule="atLeast"/>
        <w:ind w:left="0"/>
        <w:rPr>
          <w:rFonts w:ascii="Arial" w:hAnsi="Arial" w:cs="Arial"/>
          <w:b/>
          <w:bCs/>
          <w:sz w:val="22"/>
          <w:szCs w:val="22"/>
        </w:rPr>
      </w:pPr>
      <w:r w:rsidRPr="0051698C">
        <w:rPr>
          <w:rFonts w:ascii="Arial" w:hAnsi="Arial" w:cs="Arial"/>
          <w:b/>
          <w:bCs/>
          <w:sz w:val="22"/>
          <w:szCs w:val="22"/>
        </w:rPr>
        <w:t xml:space="preserve">Artículo 8.- </w:t>
      </w:r>
      <w:r w:rsidR="00DB0195" w:rsidRPr="0051698C">
        <w:rPr>
          <w:rFonts w:ascii="Arial" w:hAnsi="Arial" w:cs="Arial"/>
          <w:b/>
          <w:bCs/>
          <w:sz w:val="22"/>
          <w:szCs w:val="22"/>
        </w:rPr>
        <w:t>Oportunidad de emisión y o</w:t>
      </w:r>
      <w:r w:rsidRPr="0051698C">
        <w:rPr>
          <w:rFonts w:ascii="Arial" w:hAnsi="Arial" w:cs="Arial"/>
          <w:b/>
          <w:bCs/>
          <w:sz w:val="22"/>
          <w:szCs w:val="22"/>
        </w:rPr>
        <w:t>torgamiento</w:t>
      </w:r>
    </w:p>
    <w:p w:rsidR="002230CA" w:rsidRPr="0051698C" w:rsidRDefault="002230CA" w:rsidP="002230CA">
      <w:pPr>
        <w:pStyle w:val="NormalWeb"/>
        <w:spacing w:before="0" w:beforeAutospacing="0" w:after="0" w:afterAutospacing="0" w:line="220" w:lineRule="atLeast"/>
        <w:ind w:left="0"/>
        <w:rPr>
          <w:rFonts w:ascii="Arial" w:hAnsi="Arial" w:cs="Arial"/>
          <w:sz w:val="22"/>
          <w:szCs w:val="22"/>
        </w:rPr>
      </w:pPr>
    </w:p>
    <w:p w:rsidR="00DB0195" w:rsidRPr="0051698C" w:rsidRDefault="009F16B1" w:rsidP="002230CA">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 xml:space="preserve">8.1 </w:t>
      </w:r>
      <w:r w:rsidR="00DB0195" w:rsidRPr="0051698C">
        <w:rPr>
          <w:rFonts w:ascii="Arial" w:hAnsi="Arial" w:cs="Arial"/>
          <w:sz w:val="22"/>
          <w:szCs w:val="22"/>
        </w:rPr>
        <w:t>La oportunidad de emisión y otorgamiento del comprobante de pago electrónico se regula por lo dispuesto</w:t>
      </w:r>
      <w:r w:rsidR="0033427E" w:rsidRPr="0051698C">
        <w:rPr>
          <w:rFonts w:ascii="Arial" w:hAnsi="Arial" w:cs="Arial"/>
          <w:sz w:val="22"/>
          <w:szCs w:val="22"/>
        </w:rPr>
        <w:t xml:space="preserve"> </w:t>
      </w:r>
      <w:r w:rsidR="00DB0195" w:rsidRPr="0051698C">
        <w:rPr>
          <w:rFonts w:ascii="Arial" w:hAnsi="Arial" w:cs="Arial"/>
          <w:sz w:val="22"/>
          <w:szCs w:val="22"/>
        </w:rPr>
        <w:t>en el</w:t>
      </w:r>
      <w:r w:rsidR="0033427E" w:rsidRPr="0051698C">
        <w:rPr>
          <w:rFonts w:ascii="Arial" w:hAnsi="Arial" w:cs="Arial"/>
          <w:sz w:val="22"/>
          <w:szCs w:val="22"/>
        </w:rPr>
        <w:t xml:space="preserve"> </w:t>
      </w:r>
      <w:r w:rsidR="00907B3F" w:rsidRPr="0051698C">
        <w:rPr>
          <w:rFonts w:ascii="Arial" w:hAnsi="Arial" w:cs="Arial"/>
          <w:sz w:val="22"/>
          <w:szCs w:val="22"/>
        </w:rPr>
        <w:t xml:space="preserve">primer párrafo del </w:t>
      </w:r>
      <w:r w:rsidR="00C3174A" w:rsidRPr="0051698C">
        <w:rPr>
          <w:rFonts w:ascii="Arial" w:hAnsi="Arial" w:cs="Arial"/>
          <w:sz w:val="22"/>
          <w:szCs w:val="22"/>
        </w:rPr>
        <w:t xml:space="preserve">numeral 5 y el segundo y tercer </w:t>
      </w:r>
      <w:r w:rsidR="005D1897" w:rsidRPr="0051698C">
        <w:rPr>
          <w:rFonts w:ascii="Arial" w:hAnsi="Arial" w:cs="Arial"/>
          <w:sz w:val="22"/>
          <w:szCs w:val="22"/>
        </w:rPr>
        <w:t>párrafos del artículo 5 del RCP.</w:t>
      </w:r>
      <w:r w:rsidR="00DB0195" w:rsidRPr="0051698C">
        <w:rPr>
          <w:rFonts w:ascii="Arial" w:hAnsi="Arial" w:cs="Arial"/>
          <w:sz w:val="22"/>
          <w:szCs w:val="22"/>
        </w:rPr>
        <w:t xml:space="preserve"> </w:t>
      </w:r>
    </w:p>
    <w:p w:rsidR="002230CA" w:rsidRPr="0051698C" w:rsidRDefault="002230CA" w:rsidP="002230CA">
      <w:pPr>
        <w:pStyle w:val="NormalWeb"/>
        <w:spacing w:before="0" w:beforeAutospacing="0" w:after="0" w:afterAutospacing="0" w:line="220" w:lineRule="atLeast"/>
        <w:ind w:left="0"/>
        <w:rPr>
          <w:rFonts w:ascii="Arial" w:hAnsi="Arial" w:cs="Arial"/>
          <w:bCs/>
          <w:sz w:val="22"/>
          <w:szCs w:val="22"/>
        </w:rPr>
      </w:pPr>
    </w:p>
    <w:p w:rsidR="004139E0" w:rsidRPr="0051698C" w:rsidRDefault="009F16B1" w:rsidP="002230CA">
      <w:pPr>
        <w:pStyle w:val="NormalWeb"/>
        <w:spacing w:before="0" w:beforeAutospacing="0" w:after="0" w:afterAutospacing="0" w:line="220" w:lineRule="atLeast"/>
        <w:ind w:left="0"/>
        <w:rPr>
          <w:rFonts w:ascii="Arial" w:hAnsi="Arial" w:cs="Arial"/>
          <w:bCs/>
          <w:sz w:val="22"/>
          <w:szCs w:val="22"/>
        </w:rPr>
      </w:pPr>
      <w:r w:rsidRPr="0051698C">
        <w:rPr>
          <w:rFonts w:ascii="Arial" w:hAnsi="Arial" w:cs="Arial"/>
          <w:bCs/>
          <w:sz w:val="22"/>
          <w:szCs w:val="22"/>
        </w:rPr>
        <w:t xml:space="preserve">8.2 </w:t>
      </w:r>
      <w:r w:rsidR="004139E0" w:rsidRPr="0051698C">
        <w:rPr>
          <w:rFonts w:ascii="Arial" w:hAnsi="Arial" w:cs="Arial"/>
          <w:bCs/>
          <w:sz w:val="22"/>
          <w:szCs w:val="22"/>
        </w:rPr>
        <w:t>El comprobante de pago electrónico y la nota electrónica se consideran otorgados cuando se entregue, envíe o se ponga a disposición del usuario la representación impresa o digital del referido comprobante o nota.</w:t>
      </w:r>
    </w:p>
    <w:p w:rsidR="002230CA" w:rsidRPr="0051698C" w:rsidRDefault="002230CA" w:rsidP="002230CA">
      <w:pPr>
        <w:pStyle w:val="NormalWeb"/>
        <w:spacing w:before="0" w:beforeAutospacing="0" w:after="0" w:afterAutospacing="0" w:line="220" w:lineRule="atLeast"/>
        <w:ind w:left="0"/>
        <w:rPr>
          <w:rFonts w:ascii="Arial" w:hAnsi="Arial" w:cs="Arial"/>
          <w:b/>
          <w:bCs/>
          <w:sz w:val="22"/>
          <w:szCs w:val="22"/>
        </w:rPr>
      </w:pPr>
    </w:p>
    <w:p w:rsidR="007746EE" w:rsidRPr="0051698C" w:rsidRDefault="007746EE" w:rsidP="002230CA">
      <w:pPr>
        <w:pStyle w:val="NormalWeb"/>
        <w:spacing w:before="0" w:beforeAutospacing="0" w:after="0" w:afterAutospacing="0" w:line="220" w:lineRule="atLeast"/>
        <w:ind w:left="0"/>
        <w:rPr>
          <w:rFonts w:ascii="Arial" w:hAnsi="Arial" w:cs="Arial"/>
          <w:sz w:val="22"/>
          <w:szCs w:val="22"/>
        </w:rPr>
      </w:pPr>
      <w:r w:rsidRPr="0051698C">
        <w:rPr>
          <w:rFonts w:ascii="Arial" w:hAnsi="Arial" w:cs="Arial"/>
          <w:b/>
          <w:bCs/>
          <w:sz w:val="22"/>
          <w:szCs w:val="22"/>
        </w:rPr>
        <w:t xml:space="preserve">Artículo </w:t>
      </w:r>
      <w:r w:rsidR="004139E0" w:rsidRPr="0051698C">
        <w:rPr>
          <w:rFonts w:ascii="Arial" w:hAnsi="Arial" w:cs="Arial"/>
          <w:b/>
          <w:bCs/>
          <w:sz w:val="22"/>
          <w:szCs w:val="22"/>
        </w:rPr>
        <w:t>9</w:t>
      </w:r>
      <w:r w:rsidRPr="0051698C">
        <w:rPr>
          <w:rFonts w:ascii="Arial" w:hAnsi="Arial" w:cs="Arial"/>
          <w:b/>
          <w:bCs/>
          <w:sz w:val="22"/>
          <w:szCs w:val="22"/>
        </w:rPr>
        <w:t>. Efectos tributarios</w:t>
      </w:r>
    </w:p>
    <w:p w:rsidR="002230CA" w:rsidRPr="0051698C" w:rsidRDefault="002230CA" w:rsidP="002230CA">
      <w:pPr>
        <w:pStyle w:val="NormalWeb"/>
        <w:spacing w:before="0" w:beforeAutospacing="0" w:after="0" w:afterAutospacing="0" w:line="220" w:lineRule="atLeast"/>
        <w:ind w:left="0"/>
        <w:rPr>
          <w:rFonts w:ascii="Arial" w:eastAsia="Times New Roman" w:hAnsi="Arial" w:cs="Arial"/>
          <w:sz w:val="22"/>
          <w:szCs w:val="22"/>
          <w:lang w:eastAsia="es-PE"/>
        </w:rPr>
      </w:pPr>
    </w:p>
    <w:p w:rsidR="009F16B1" w:rsidRPr="0051698C" w:rsidRDefault="00533290" w:rsidP="002230CA">
      <w:pPr>
        <w:pStyle w:val="NormalWeb"/>
        <w:spacing w:before="0" w:beforeAutospacing="0" w:after="0" w:afterAutospacing="0" w:line="220" w:lineRule="atLeast"/>
        <w:ind w:left="0"/>
        <w:rPr>
          <w:rFonts w:ascii="Arial" w:eastAsia="Times New Roman" w:hAnsi="Arial" w:cs="Arial"/>
          <w:sz w:val="22"/>
          <w:szCs w:val="22"/>
          <w:lang w:eastAsia="es-PE"/>
        </w:rPr>
      </w:pPr>
      <w:r w:rsidRPr="0051698C">
        <w:rPr>
          <w:rFonts w:ascii="Arial" w:eastAsia="Times New Roman" w:hAnsi="Arial" w:cs="Arial"/>
          <w:sz w:val="22"/>
          <w:szCs w:val="22"/>
          <w:lang w:eastAsia="es-PE"/>
        </w:rPr>
        <w:t xml:space="preserve">9.1 </w:t>
      </w:r>
      <w:r w:rsidR="009F16B1" w:rsidRPr="0051698C">
        <w:rPr>
          <w:rFonts w:ascii="Arial" w:eastAsia="Times New Roman" w:hAnsi="Arial" w:cs="Arial"/>
          <w:sz w:val="22"/>
          <w:szCs w:val="22"/>
          <w:lang w:eastAsia="es-PE"/>
        </w:rPr>
        <w:t>El recibo electrónico SP se emite:</w:t>
      </w:r>
    </w:p>
    <w:p w:rsidR="002230CA" w:rsidRPr="0051698C" w:rsidRDefault="002230CA" w:rsidP="002230CA">
      <w:pPr>
        <w:pStyle w:val="NormalWeb"/>
        <w:spacing w:before="0" w:beforeAutospacing="0" w:after="0" w:afterAutospacing="0" w:line="220" w:lineRule="atLeast"/>
        <w:ind w:left="0"/>
        <w:rPr>
          <w:rFonts w:ascii="Arial" w:eastAsia="Times New Roman" w:hAnsi="Arial" w:cs="Arial"/>
          <w:sz w:val="22"/>
          <w:szCs w:val="22"/>
          <w:lang w:eastAsia="es-PE"/>
        </w:rPr>
      </w:pPr>
    </w:p>
    <w:p w:rsidR="009F16B1" w:rsidRPr="0051698C" w:rsidRDefault="009F16B1" w:rsidP="002230CA">
      <w:pPr>
        <w:pStyle w:val="NormalWeb"/>
        <w:numPr>
          <w:ilvl w:val="0"/>
          <w:numId w:val="6"/>
        </w:numPr>
        <w:spacing w:before="0" w:beforeAutospacing="0" w:after="0" w:afterAutospacing="0" w:line="220" w:lineRule="atLeast"/>
        <w:ind w:left="284" w:hanging="284"/>
        <w:rPr>
          <w:rFonts w:ascii="Arial" w:eastAsia="Times New Roman" w:hAnsi="Arial" w:cs="Arial"/>
          <w:sz w:val="22"/>
          <w:szCs w:val="22"/>
          <w:lang w:eastAsia="es-PE"/>
        </w:rPr>
      </w:pPr>
      <w:r w:rsidRPr="0051698C">
        <w:rPr>
          <w:rFonts w:ascii="Arial" w:eastAsia="Times New Roman" w:hAnsi="Arial" w:cs="Arial"/>
          <w:sz w:val="22"/>
          <w:szCs w:val="22"/>
          <w:lang w:eastAsia="es-PE"/>
        </w:rPr>
        <w:t>En operaciones con usuarios que no proporcionan su número de RUC.</w:t>
      </w:r>
    </w:p>
    <w:p w:rsidR="009F16B1" w:rsidRPr="0051698C" w:rsidRDefault="009F16B1" w:rsidP="002230CA">
      <w:pPr>
        <w:pStyle w:val="NormalWeb"/>
        <w:numPr>
          <w:ilvl w:val="0"/>
          <w:numId w:val="6"/>
        </w:numPr>
        <w:tabs>
          <w:tab w:val="left" w:pos="284"/>
        </w:tabs>
        <w:spacing w:before="0" w:beforeAutospacing="0" w:after="0" w:afterAutospacing="0" w:line="220" w:lineRule="atLeast"/>
        <w:ind w:left="0" w:firstLine="0"/>
        <w:rPr>
          <w:rFonts w:ascii="Arial" w:eastAsia="Times New Roman" w:hAnsi="Arial" w:cs="Arial"/>
          <w:sz w:val="22"/>
          <w:szCs w:val="22"/>
          <w:lang w:eastAsia="es-PE"/>
        </w:rPr>
      </w:pPr>
      <w:r w:rsidRPr="0051698C">
        <w:rPr>
          <w:rFonts w:ascii="Arial" w:eastAsia="Times New Roman" w:hAnsi="Arial" w:cs="Arial"/>
          <w:sz w:val="22"/>
          <w:szCs w:val="22"/>
          <w:lang w:eastAsia="es-PE"/>
        </w:rPr>
        <w:t>En operaciones con usuarios que proporcionan su número de RUC. En este caso el usuario utiliza la representación impresa o digital del recibo electrónico SP para ejercer el derecho al crédito fiscal y/o para sustentar gasto o costo para efecto tributario, siempre que cumpla con los requisitos mínimos respectivos, sin perjuicio de la normativa de cada tributo.</w:t>
      </w:r>
    </w:p>
    <w:p w:rsidR="002230CA" w:rsidRPr="0051698C" w:rsidRDefault="002230CA" w:rsidP="002230CA">
      <w:pPr>
        <w:pStyle w:val="NormalWeb"/>
        <w:tabs>
          <w:tab w:val="left" w:pos="284"/>
        </w:tabs>
        <w:spacing w:before="0" w:beforeAutospacing="0" w:after="0" w:afterAutospacing="0" w:line="220" w:lineRule="atLeast"/>
        <w:ind w:left="0"/>
        <w:rPr>
          <w:rFonts w:ascii="Arial" w:eastAsia="Times New Roman" w:hAnsi="Arial" w:cs="Arial"/>
          <w:sz w:val="22"/>
          <w:szCs w:val="22"/>
          <w:lang w:eastAsia="es-PE"/>
        </w:rPr>
      </w:pPr>
    </w:p>
    <w:p w:rsidR="002A642A" w:rsidRPr="0051698C" w:rsidRDefault="00533290" w:rsidP="002230CA">
      <w:pPr>
        <w:pStyle w:val="NormalWeb"/>
        <w:spacing w:before="0" w:beforeAutospacing="0" w:after="0" w:afterAutospacing="0" w:line="220" w:lineRule="atLeast"/>
        <w:ind w:left="0"/>
        <w:rPr>
          <w:rFonts w:ascii="Arial" w:eastAsia="Times New Roman" w:hAnsi="Arial" w:cs="Arial"/>
          <w:sz w:val="22"/>
          <w:szCs w:val="22"/>
          <w:lang w:eastAsia="es-PE"/>
        </w:rPr>
      </w:pPr>
      <w:r w:rsidRPr="0051698C">
        <w:rPr>
          <w:rFonts w:ascii="Arial" w:hAnsi="Arial" w:cs="Arial"/>
          <w:color w:val="000000"/>
          <w:sz w:val="22"/>
          <w:szCs w:val="22"/>
        </w:rPr>
        <w:t xml:space="preserve">9.2 </w:t>
      </w:r>
      <w:r w:rsidR="006A1A75" w:rsidRPr="0051698C">
        <w:rPr>
          <w:rFonts w:ascii="Arial" w:hAnsi="Arial" w:cs="Arial"/>
          <w:color w:val="000000"/>
          <w:sz w:val="22"/>
          <w:szCs w:val="22"/>
        </w:rPr>
        <w:t xml:space="preserve">En </w:t>
      </w:r>
      <w:r w:rsidRPr="0051698C">
        <w:rPr>
          <w:rFonts w:ascii="Arial" w:hAnsi="Arial" w:cs="Arial"/>
          <w:color w:val="000000"/>
          <w:sz w:val="22"/>
          <w:szCs w:val="22"/>
        </w:rPr>
        <w:t>los</w:t>
      </w:r>
      <w:r w:rsidR="006A1A75" w:rsidRPr="0051698C">
        <w:rPr>
          <w:rFonts w:ascii="Arial" w:hAnsi="Arial" w:cs="Arial"/>
          <w:color w:val="000000"/>
          <w:sz w:val="22"/>
          <w:szCs w:val="22"/>
        </w:rPr>
        <w:t xml:space="preserve"> casos</w:t>
      </w:r>
      <w:r w:rsidRPr="0051698C">
        <w:rPr>
          <w:rFonts w:ascii="Arial" w:hAnsi="Arial" w:cs="Arial"/>
          <w:color w:val="000000"/>
          <w:sz w:val="22"/>
          <w:szCs w:val="22"/>
        </w:rPr>
        <w:t xml:space="preserve"> señalados en los incisos a) y b) del párrafo anterior</w:t>
      </w:r>
      <w:r w:rsidR="006A1A75" w:rsidRPr="0051698C">
        <w:rPr>
          <w:rFonts w:ascii="Arial" w:hAnsi="Arial" w:cs="Arial"/>
          <w:color w:val="000000"/>
          <w:sz w:val="22"/>
          <w:szCs w:val="22"/>
        </w:rPr>
        <w:t xml:space="preserve"> se puede utilizar el recibo electrónico SP para ejercer el derecho a crédito y para sustentar gasto o costo para efecto tributario, según lo señalado en el octavo y noveno párrafos del literal d) del inciso 6.1 del numeral 6 del artículo 4 del RCP y en el numeral 1.3 del artículo 3 de la Resolución de Superintendencia N.° 198-2004/SUNAT, siempre que dicho recibo cumpla con los requisitos mínimos respectivos, excepto el número de RUC en el caso del inciso a) y sin perjuicio de lo señalado en la normativa de cada tributo.</w:t>
      </w:r>
      <w:r w:rsidR="000A04D0" w:rsidRPr="0051698C">
        <w:rPr>
          <w:rFonts w:ascii="Arial" w:eastAsia="Times New Roman" w:hAnsi="Arial" w:cs="Arial"/>
          <w:sz w:val="22"/>
          <w:szCs w:val="22"/>
          <w:lang w:eastAsia="es-PE"/>
        </w:rPr>
        <w:t xml:space="preserve"> </w:t>
      </w:r>
    </w:p>
    <w:p w:rsidR="006B662F" w:rsidRPr="0051698C" w:rsidRDefault="006B662F" w:rsidP="002230CA">
      <w:pPr>
        <w:pStyle w:val="NormalWeb"/>
        <w:spacing w:before="0" w:beforeAutospacing="0" w:after="0" w:afterAutospacing="0" w:line="220" w:lineRule="atLeast"/>
        <w:ind w:left="0"/>
        <w:rPr>
          <w:rFonts w:ascii="Arial" w:hAnsi="Arial" w:cs="Arial"/>
          <w:b/>
          <w:bCs/>
          <w:sz w:val="22"/>
          <w:szCs w:val="22"/>
        </w:rPr>
      </w:pPr>
    </w:p>
    <w:p w:rsidR="002A642A" w:rsidRPr="0051698C" w:rsidRDefault="002A642A" w:rsidP="002230CA">
      <w:pPr>
        <w:pStyle w:val="NormalWeb"/>
        <w:spacing w:before="0" w:beforeAutospacing="0" w:after="0" w:afterAutospacing="0" w:line="220" w:lineRule="atLeast"/>
        <w:ind w:left="0"/>
        <w:rPr>
          <w:rFonts w:ascii="Arial" w:eastAsia="Times New Roman" w:hAnsi="Arial" w:cs="Arial"/>
          <w:sz w:val="22"/>
          <w:szCs w:val="22"/>
          <w:lang w:eastAsia="es-PE"/>
        </w:rPr>
      </w:pPr>
      <w:r w:rsidRPr="0051698C">
        <w:rPr>
          <w:rFonts w:ascii="Arial" w:hAnsi="Arial" w:cs="Arial"/>
          <w:b/>
          <w:bCs/>
          <w:sz w:val="22"/>
          <w:szCs w:val="22"/>
        </w:rPr>
        <w:t xml:space="preserve">Artículo 10.- </w:t>
      </w:r>
      <w:r w:rsidR="00022E1F" w:rsidRPr="0051698C">
        <w:rPr>
          <w:rFonts w:ascii="Arial" w:hAnsi="Arial" w:cs="Arial"/>
          <w:b/>
          <w:bCs/>
          <w:sz w:val="22"/>
          <w:szCs w:val="22"/>
        </w:rPr>
        <w:t>Envío</w:t>
      </w:r>
      <w:r w:rsidRPr="0051698C">
        <w:rPr>
          <w:rFonts w:ascii="Arial" w:hAnsi="Arial" w:cs="Arial"/>
          <w:b/>
          <w:bCs/>
          <w:sz w:val="22"/>
          <w:szCs w:val="22"/>
        </w:rPr>
        <w:t xml:space="preserve"> a la SUNAT</w:t>
      </w:r>
    </w:p>
    <w:p w:rsidR="002230CA" w:rsidRPr="0051698C" w:rsidRDefault="002230CA" w:rsidP="002230CA">
      <w:pPr>
        <w:pStyle w:val="NormalWeb"/>
        <w:spacing w:before="0" w:beforeAutospacing="0" w:after="0" w:afterAutospacing="0" w:line="220" w:lineRule="atLeast"/>
        <w:ind w:left="0"/>
        <w:rPr>
          <w:rFonts w:ascii="Arial" w:hAnsi="Arial" w:cs="Arial"/>
          <w:sz w:val="22"/>
          <w:szCs w:val="22"/>
        </w:rPr>
      </w:pPr>
    </w:p>
    <w:p w:rsidR="002A642A" w:rsidRPr="0051698C" w:rsidRDefault="00022E1F" w:rsidP="002230CA">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El envío</w:t>
      </w:r>
      <w:r w:rsidR="002A642A" w:rsidRPr="0051698C">
        <w:rPr>
          <w:rFonts w:ascii="Arial" w:hAnsi="Arial" w:cs="Arial"/>
          <w:sz w:val="22"/>
          <w:szCs w:val="22"/>
        </w:rPr>
        <w:t xml:space="preserve"> a la SUNAT del ejemplar del comprobante de pago</w:t>
      </w:r>
      <w:r w:rsidR="006A1A75" w:rsidRPr="0051698C">
        <w:rPr>
          <w:rFonts w:ascii="Arial" w:hAnsi="Arial" w:cs="Arial"/>
          <w:sz w:val="22"/>
          <w:szCs w:val="22"/>
        </w:rPr>
        <w:t xml:space="preserve"> electrónico</w:t>
      </w:r>
      <w:r w:rsidR="002A642A" w:rsidRPr="0051698C">
        <w:rPr>
          <w:rFonts w:ascii="Arial" w:hAnsi="Arial" w:cs="Arial"/>
          <w:sz w:val="22"/>
          <w:szCs w:val="22"/>
        </w:rPr>
        <w:t xml:space="preserve"> o de la nota electrónica, según corresponda, debe realizarse utilizando el aplicativo SEE – </w:t>
      </w:r>
      <w:r w:rsidR="00220AB1" w:rsidRPr="0051698C">
        <w:rPr>
          <w:rFonts w:ascii="Arial" w:hAnsi="Arial" w:cs="Arial"/>
          <w:sz w:val="22"/>
          <w:szCs w:val="22"/>
        </w:rPr>
        <w:t>Empresas Supervisadas</w:t>
      </w:r>
      <w:r w:rsidR="002A642A" w:rsidRPr="0051698C">
        <w:rPr>
          <w:rFonts w:ascii="Arial" w:hAnsi="Arial" w:cs="Arial"/>
          <w:sz w:val="22"/>
          <w:szCs w:val="22"/>
        </w:rPr>
        <w:t>, teniendo en cuenta lo siguiente:</w:t>
      </w:r>
    </w:p>
    <w:p w:rsidR="002A642A" w:rsidRPr="0051698C" w:rsidRDefault="00544527" w:rsidP="002A642A">
      <w:pPr>
        <w:pStyle w:val="NormalWeb"/>
        <w:ind w:left="0"/>
        <w:rPr>
          <w:rFonts w:ascii="Arial" w:hAnsi="Arial" w:cs="Arial"/>
          <w:sz w:val="22"/>
          <w:szCs w:val="22"/>
        </w:rPr>
      </w:pPr>
      <w:r w:rsidRPr="0051698C">
        <w:rPr>
          <w:rFonts w:ascii="Arial" w:hAnsi="Arial" w:cs="Arial"/>
          <w:sz w:val="22"/>
          <w:szCs w:val="22"/>
        </w:rPr>
        <w:t xml:space="preserve">10.1 </w:t>
      </w:r>
      <w:r w:rsidR="002A642A" w:rsidRPr="0051698C">
        <w:rPr>
          <w:rFonts w:ascii="Arial" w:hAnsi="Arial" w:cs="Arial"/>
          <w:sz w:val="22"/>
          <w:szCs w:val="22"/>
        </w:rPr>
        <w:t xml:space="preserve">Obligación de </w:t>
      </w:r>
      <w:r w:rsidR="00022E1F" w:rsidRPr="0051698C">
        <w:rPr>
          <w:rFonts w:ascii="Arial" w:hAnsi="Arial" w:cs="Arial"/>
          <w:sz w:val="22"/>
          <w:szCs w:val="22"/>
        </w:rPr>
        <w:t>enviar</w:t>
      </w:r>
      <w:r w:rsidR="002A642A" w:rsidRPr="0051698C">
        <w:rPr>
          <w:rFonts w:ascii="Arial" w:hAnsi="Arial" w:cs="Arial"/>
          <w:sz w:val="22"/>
          <w:szCs w:val="22"/>
        </w:rPr>
        <w:t xml:space="preserve"> y su plazo</w:t>
      </w:r>
    </w:p>
    <w:p w:rsidR="002A642A" w:rsidRPr="0051698C" w:rsidRDefault="002A642A" w:rsidP="002A642A">
      <w:pPr>
        <w:pStyle w:val="NormalWeb"/>
        <w:ind w:left="0"/>
        <w:rPr>
          <w:rFonts w:ascii="Arial" w:hAnsi="Arial" w:cs="Arial"/>
          <w:sz w:val="22"/>
          <w:szCs w:val="22"/>
        </w:rPr>
      </w:pPr>
      <w:r w:rsidRPr="0051698C">
        <w:rPr>
          <w:rFonts w:ascii="Arial" w:hAnsi="Arial" w:cs="Arial"/>
          <w:sz w:val="22"/>
          <w:szCs w:val="22"/>
        </w:rPr>
        <w:t>El emisor electrónico debe remitir a la SUNAT un ejemplar de lo emitido.</w:t>
      </w:r>
    </w:p>
    <w:p w:rsidR="002A642A" w:rsidRPr="0051698C" w:rsidRDefault="003F27AA" w:rsidP="00EC1FAA">
      <w:pPr>
        <w:pStyle w:val="NormalWeb"/>
        <w:ind w:left="0"/>
        <w:rPr>
          <w:rFonts w:ascii="Arial" w:hAnsi="Arial" w:cs="Arial"/>
          <w:sz w:val="22"/>
          <w:szCs w:val="22"/>
        </w:rPr>
      </w:pPr>
      <w:r w:rsidRPr="0051698C">
        <w:rPr>
          <w:rFonts w:ascii="Arial" w:hAnsi="Arial" w:cs="Arial"/>
          <w:sz w:val="22"/>
          <w:szCs w:val="22"/>
        </w:rPr>
        <w:t>El envío</w:t>
      </w:r>
      <w:r w:rsidR="002A642A" w:rsidRPr="0051698C">
        <w:rPr>
          <w:rFonts w:ascii="Arial" w:hAnsi="Arial" w:cs="Arial"/>
          <w:sz w:val="22"/>
          <w:szCs w:val="22"/>
        </w:rPr>
        <w:t xml:space="preserve"> se debe realizar en la fecha de emisión consignada en el comprobante de pago electrónico o la nota electrónica o, incluso, hasta </w:t>
      </w:r>
      <w:r w:rsidR="006A1A75" w:rsidRPr="0051698C">
        <w:rPr>
          <w:rFonts w:ascii="Arial" w:hAnsi="Arial" w:cs="Arial"/>
          <w:sz w:val="22"/>
          <w:szCs w:val="22"/>
        </w:rPr>
        <w:t xml:space="preserve">en </w:t>
      </w:r>
      <w:r w:rsidR="002A642A" w:rsidRPr="0051698C">
        <w:rPr>
          <w:rFonts w:ascii="Arial" w:hAnsi="Arial" w:cs="Arial"/>
          <w:sz w:val="22"/>
          <w:szCs w:val="22"/>
        </w:rPr>
        <w:t>un plazo máximo de siete días calendario contados desde el día</w:t>
      </w:r>
      <w:r w:rsidR="006A1A75" w:rsidRPr="0051698C">
        <w:rPr>
          <w:rFonts w:ascii="Arial" w:hAnsi="Arial" w:cs="Arial"/>
          <w:sz w:val="22"/>
          <w:szCs w:val="22"/>
        </w:rPr>
        <w:t xml:space="preserve"> calendario</w:t>
      </w:r>
      <w:r w:rsidR="002A642A" w:rsidRPr="0051698C">
        <w:rPr>
          <w:rFonts w:ascii="Arial" w:hAnsi="Arial" w:cs="Arial"/>
          <w:sz w:val="22"/>
          <w:szCs w:val="22"/>
        </w:rPr>
        <w:t xml:space="preserve"> siguiente a esa fecha.</w:t>
      </w:r>
    </w:p>
    <w:p w:rsidR="003366A7" w:rsidRPr="0051698C" w:rsidRDefault="003366A7" w:rsidP="003366A7">
      <w:pPr>
        <w:pStyle w:val="NormalWeb"/>
        <w:ind w:left="0"/>
        <w:rPr>
          <w:rFonts w:ascii="Arial" w:hAnsi="Arial" w:cs="Arial"/>
          <w:sz w:val="22"/>
          <w:szCs w:val="22"/>
        </w:rPr>
      </w:pPr>
      <w:r w:rsidRPr="0051698C">
        <w:rPr>
          <w:rFonts w:ascii="Arial" w:hAnsi="Arial" w:cs="Arial"/>
          <w:sz w:val="22"/>
          <w:szCs w:val="22"/>
        </w:rPr>
        <w:t>La fecha de emisión consignada en el comprobante de pago electrónico puede ser anterior a la fecha en que este se debe emitir según el primer párrafo del artículo 5 del RCP, si el emisor electrónico desea anticipar la emisión de acuerdo con el segundo párrafo de ese artículo.</w:t>
      </w:r>
    </w:p>
    <w:p w:rsidR="00544527" w:rsidRPr="0051698C" w:rsidRDefault="00544527" w:rsidP="00544527">
      <w:pPr>
        <w:pStyle w:val="NormalWeb"/>
        <w:ind w:left="0"/>
        <w:rPr>
          <w:rFonts w:ascii="Arial" w:hAnsi="Arial" w:cs="Arial"/>
          <w:sz w:val="22"/>
          <w:szCs w:val="22"/>
        </w:rPr>
      </w:pPr>
      <w:r w:rsidRPr="0051698C">
        <w:rPr>
          <w:rFonts w:ascii="Arial" w:hAnsi="Arial" w:cs="Arial"/>
          <w:sz w:val="22"/>
          <w:szCs w:val="22"/>
        </w:rPr>
        <w:t xml:space="preserve">Vencido el plazo </w:t>
      </w:r>
      <w:r w:rsidR="003366A7" w:rsidRPr="0051698C">
        <w:rPr>
          <w:rFonts w:ascii="Arial" w:hAnsi="Arial" w:cs="Arial"/>
          <w:sz w:val="22"/>
          <w:szCs w:val="22"/>
        </w:rPr>
        <w:t xml:space="preserve">antes </w:t>
      </w:r>
      <w:r w:rsidRPr="0051698C">
        <w:rPr>
          <w:rFonts w:ascii="Arial" w:hAnsi="Arial" w:cs="Arial"/>
          <w:sz w:val="22"/>
          <w:szCs w:val="22"/>
        </w:rPr>
        <w:t>señalado, lo no enviado no tendrá la calidad de comprobante de pago electrónico ni de nota electrónica, aun cuando hubiera sido entregada al usuario.</w:t>
      </w:r>
    </w:p>
    <w:p w:rsidR="00AE0193" w:rsidRPr="0051698C" w:rsidRDefault="003366A7" w:rsidP="00EC1FAA">
      <w:pPr>
        <w:pStyle w:val="NormalWeb"/>
        <w:ind w:left="0"/>
        <w:rPr>
          <w:rFonts w:ascii="Arial" w:hAnsi="Arial" w:cs="Arial"/>
          <w:sz w:val="22"/>
          <w:szCs w:val="22"/>
        </w:rPr>
      </w:pPr>
      <w:r w:rsidRPr="0051698C">
        <w:rPr>
          <w:rFonts w:ascii="Arial" w:hAnsi="Arial" w:cs="Arial"/>
          <w:sz w:val="22"/>
          <w:szCs w:val="22"/>
        </w:rPr>
        <w:t xml:space="preserve">10.2 </w:t>
      </w:r>
      <w:r w:rsidR="00AE0193" w:rsidRPr="0051698C">
        <w:rPr>
          <w:rFonts w:ascii="Arial" w:hAnsi="Arial" w:cs="Arial"/>
          <w:sz w:val="22"/>
          <w:szCs w:val="22"/>
        </w:rPr>
        <w:t>Respuesta ante</w:t>
      </w:r>
      <w:r w:rsidR="006A1A75" w:rsidRPr="0051698C">
        <w:rPr>
          <w:rFonts w:ascii="Arial" w:hAnsi="Arial" w:cs="Arial"/>
          <w:sz w:val="22"/>
          <w:szCs w:val="22"/>
        </w:rPr>
        <w:t xml:space="preserve"> el</w:t>
      </w:r>
      <w:r w:rsidR="00AE0193" w:rsidRPr="0051698C">
        <w:rPr>
          <w:rFonts w:ascii="Arial" w:hAnsi="Arial" w:cs="Arial"/>
          <w:sz w:val="22"/>
          <w:szCs w:val="22"/>
        </w:rPr>
        <w:t xml:space="preserve"> envío</w:t>
      </w:r>
    </w:p>
    <w:p w:rsidR="002A642A" w:rsidRPr="0051698C" w:rsidRDefault="002A642A" w:rsidP="00EC1FAA">
      <w:pPr>
        <w:pStyle w:val="NormalWeb"/>
        <w:ind w:left="0"/>
        <w:rPr>
          <w:rFonts w:ascii="Arial" w:hAnsi="Arial" w:cs="Arial"/>
          <w:sz w:val="22"/>
          <w:szCs w:val="22"/>
        </w:rPr>
      </w:pPr>
      <w:r w:rsidRPr="0051698C">
        <w:rPr>
          <w:rFonts w:ascii="Arial" w:hAnsi="Arial" w:cs="Arial"/>
          <w:sz w:val="22"/>
          <w:szCs w:val="22"/>
        </w:rPr>
        <w:t xml:space="preserve">Ante cada envío, la aplicación </w:t>
      </w:r>
      <w:r w:rsidR="00533290" w:rsidRPr="0051698C">
        <w:rPr>
          <w:rFonts w:ascii="Arial" w:hAnsi="Arial" w:cs="Arial"/>
          <w:sz w:val="22"/>
          <w:szCs w:val="22"/>
        </w:rPr>
        <w:t xml:space="preserve">SEE - </w:t>
      </w:r>
      <w:r w:rsidR="00220AB1" w:rsidRPr="0051698C">
        <w:rPr>
          <w:rFonts w:ascii="Arial" w:hAnsi="Arial" w:cs="Arial"/>
          <w:sz w:val="22"/>
          <w:szCs w:val="22"/>
        </w:rPr>
        <w:t>Empresas Supervisadas</w:t>
      </w:r>
      <w:r w:rsidRPr="0051698C">
        <w:rPr>
          <w:rFonts w:ascii="Arial" w:hAnsi="Arial" w:cs="Arial"/>
          <w:sz w:val="22"/>
          <w:szCs w:val="22"/>
        </w:rPr>
        <w:t xml:space="preserve"> muestra el estado del ejemplar enviado a la SUNAT. Los estados pueden ser:</w:t>
      </w:r>
    </w:p>
    <w:p w:rsidR="002A642A" w:rsidRPr="0051698C" w:rsidRDefault="002A642A" w:rsidP="00EC1FAA">
      <w:pPr>
        <w:pStyle w:val="NormalWeb"/>
        <w:ind w:left="0"/>
        <w:rPr>
          <w:rFonts w:ascii="Arial" w:hAnsi="Arial" w:cs="Arial"/>
          <w:sz w:val="22"/>
          <w:szCs w:val="22"/>
        </w:rPr>
      </w:pPr>
      <w:r w:rsidRPr="0051698C">
        <w:rPr>
          <w:rFonts w:ascii="Arial" w:hAnsi="Arial" w:cs="Arial"/>
          <w:sz w:val="22"/>
          <w:szCs w:val="22"/>
        </w:rPr>
        <w:t xml:space="preserve">a) Aceptado, si lo recibido cumple con las condiciones indicadas en el artículo </w:t>
      </w:r>
      <w:r w:rsidR="004043D0" w:rsidRPr="0051698C">
        <w:rPr>
          <w:rFonts w:ascii="Arial" w:hAnsi="Arial" w:cs="Arial"/>
          <w:sz w:val="22"/>
          <w:szCs w:val="22"/>
        </w:rPr>
        <w:t>6</w:t>
      </w:r>
      <w:r w:rsidRPr="0051698C">
        <w:rPr>
          <w:rFonts w:ascii="Arial" w:hAnsi="Arial" w:cs="Arial"/>
          <w:sz w:val="22"/>
          <w:szCs w:val="22"/>
        </w:rPr>
        <w:t>.</w:t>
      </w:r>
    </w:p>
    <w:p w:rsidR="006A1A75" w:rsidRPr="0051698C" w:rsidRDefault="002A642A" w:rsidP="00EC1FAA">
      <w:pPr>
        <w:pStyle w:val="NormalWeb"/>
        <w:ind w:left="0"/>
        <w:rPr>
          <w:rFonts w:ascii="Arial" w:hAnsi="Arial" w:cs="Arial"/>
          <w:sz w:val="22"/>
          <w:szCs w:val="22"/>
        </w:rPr>
      </w:pPr>
      <w:r w:rsidRPr="0051698C">
        <w:rPr>
          <w:rFonts w:ascii="Arial" w:hAnsi="Arial" w:cs="Arial"/>
          <w:sz w:val="22"/>
          <w:szCs w:val="22"/>
        </w:rPr>
        <w:t xml:space="preserve">b) Rechazado, si lo recibido no cumple con alguna de las condiciones indicadas en el </w:t>
      </w:r>
      <w:r w:rsidR="006A1A75" w:rsidRPr="0051698C">
        <w:rPr>
          <w:rFonts w:ascii="Arial" w:hAnsi="Arial" w:cs="Arial"/>
          <w:sz w:val="22"/>
          <w:szCs w:val="22"/>
        </w:rPr>
        <w:t xml:space="preserve">párrafo 6.1 del </w:t>
      </w:r>
      <w:r w:rsidRPr="0051698C">
        <w:rPr>
          <w:rFonts w:ascii="Arial" w:hAnsi="Arial" w:cs="Arial"/>
          <w:sz w:val="22"/>
          <w:szCs w:val="22"/>
        </w:rPr>
        <w:t xml:space="preserve">artículo </w:t>
      </w:r>
      <w:r w:rsidR="004043D0" w:rsidRPr="0051698C">
        <w:rPr>
          <w:rFonts w:ascii="Arial" w:hAnsi="Arial" w:cs="Arial"/>
          <w:sz w:val="22"/>
          <w:szCs w:val="22"/>
        </w:rPr>
        <w:t>6</w:t>
      </w:r>
      <w:r w:rsidRPr="0051698C">
        <w:rPr>
          <w:rFonts w:ascii="Arial" w:hAnsi="Arial" w:cs="Arial"/>
          <w:sz w:val="22"/>
          <w:szCs w:val="22"/>
        </w:rPr>
        <w:t xml:space="preserve">, distinta a la señalada en el </w:t>
      </w:r>
      <w:r w:rsidR="00DB0195" w:rsidRPr="0051698C">
        <w:rPr>
          <w:rFonts w:ascii="Arial" w:hAnsi="Arial" w:cs="Arial"/>
          <w:sz w:val="22"/>
          <w:szCs w:val="22"/>
        </w:rPr>
        <w:t>inciso</w:t>
      </w:r>
      <w:r w:rsidR="006F7BA1" w:rsidRPr="0051698C">
        <w:rPr>
          <w:rFonts w:ascii="Arial" w:hAnsi="Arial" w:cs="Arial"/>
          <w:sz w:val="22"/>
          <w:szCs w:val="22"/>
        </w:rPr>
        <w:t xml:space="preserve"> </w:t>
      </w:r>
      <w:r w:rsidR="006A1A75" w:rsidRPr="0051698C">
        <w:rPr>
          <w:rFonts w:ascii="Arial" w:hAnsi="Arial" w:cs="Arial"/>
          <w:sz w:val="22"/>
          <w:szCs w:val="22"/>
        </w:rPr>
        <w:t>f).</w:t>
      </w:r>
    </w:p>
    <w:p w:rsidR="002A642A" w:rsidRPr="0051698C" w:rsidRDefault="00B06397" w:rsidP="00EC1FAA">
      <w:pPr>
        <w:pStyle w:val="NormalWeb"/>
        <w:ind w:left="0"/>
        <w:rPr>
          <w:rFonts w:ascii="Arial" w:hAnsi="Arial" w:cs="Arial"/>
          <w:sz w:val="22"/>
          <w:szCs w:val="22"/>
        </w:rPr>
      </w:pPr>
      <w:r w:rsidRPr="0051698C">
        <w:rPr>
          <w:rFonts w:ascii="Arial" w:hAnsi="Arial" w:cs="Arial"/>
          <w:sz w:val="22"/>
          <w:szCs w:val="22"/>
        </w:rPr>
        <w:t xml:space="preserve">El usuario que utilice el recibo electrónico SP para ejercer el derecho al </w:t>
      </w:r>
      <w:r w:rsidRPr="0051698C">
        <w:rPr>
          <w:rFonts w:ascii="Arial" w:eastAsia="Times New Roman" w:hAnsi="Arial" w:cs="Arial"/>
          <w:sz w:val="22"/>
          <w:szCs w:val="22"/>
          <w:lang w:eastAsia="es-PE"/>
        </w:rPr>
        <w:t>crédito fiscal y/o para sustentar gasto o costo para efecto tributario debe consultar si el documento electrónico que le sirve de soporte a este tiene el estado aceptado. A tal efecto, dispone</w:t>
      </w:r>
      <w:r w:rsidR="003742EE" w:rsidRPr="0051698C">
        <w:rPr>
          <w:rFonts w:ascii="Arial" w:eastAsia="Times New Roman" w:hAnsi="Arial" w:cs="Arial"/>
          <w:sz w:val="22"/>
          <w:szCs w:val="22"/>
          <w:lang w:eastAsia="es-PE"/>
        </w:rPr>
        <w:t xml:space="preserve"> de</w:t>
      </w:r>
      <w:r w:rsidRPr="0051698C">
        <w:rPr>
          <w:rFonts w:ascii="Arial" w:eastAsia="Times New Roman" w:hAnsi="Arial" w:cs="Arial"/>
          <w:sz w:val="22"/>
          <w:szCs w:val="22"/>
          <w:lang w:eastAsia="es-PE"/>
        </w:rPr>
        <w:t xml:space="preserve"> la consulta a que se refiere el artículo 17.</w:t>
      </w:r>
      <w:r w:rsidRPr="0051698C">
        <w:rPr>
          <w:rFonts w:ascii="Arial" w:hAnsi="Arial" w:cs="Arial"/>
          <w:sz w:val="22"/>
          <w:szCs w:val="22"/>
        </w:rPr>
        <w:t xml:space="preserve"> </w:t>
      </w:r>
    </w:p>
    <w:p w:rsidR="002A642A" w:rsidRPr="0051698C" w:rsidRDefault="002A642A" w:rsidP="00EC1FAA">
      <w:pPr>
        <w:pStyle w:val="NormalWeb"/>
        <w:ind w:left="0"/>
        <w:rPr>
          <w:rFonts w:ascii="Arial" w:hAnsi="Arial" w:cs="Arial"/>
          <w:sz w:val="22"/>
          <w:szCs w:val="22"/>
        </w:rPr>
      </w:pPr>
      <w:bookmarkStart w:id="10" w:name="JD_Sobreelestadodecadaenvo"/>
      <w:bookmarkEnd w:id="10"/>
      <w:r w:rsidRPr="0051698C">
        <w:rPr>
          <w:rFonts w:ascii="Arial" w:hAnsi="Arial" w:cs="Arial"/>
          <w:sz w:val="22"/>
          <w:szCs w:val="22"/>
        </w:rPr>
        <w:lastRenderedPageBreak/>
        <w:t xml:space="preserve">Sobre el estado de cada envío, la aplicación </w:t>
      </w:r>
      <w:r w:rsidR="00533290" w:rsidRPr="0051698C">
        <w:rPr>
          <w:rFonts w:ascii="Arial" w:hAnsi="Arial" w:cs="Arial"/>
          <w:sz w:val="22"/>
          <w:szCs w:val="22"/>
        </w:rPr>
        <w:t xml:space="preserve">SEE - </w:t>
      </w:r>
      <w:r w:rsidR="00220AB1" w:rsidRPr="0051698C">
        <w:rPr>
          <w:rFonts w:ascii="Arial" w:hAnsi="Arial" w:cs="Arial"/>
          <w:sz w:val="22"/>
          <w:szCs w:val="22"/>
        </w:rPr>
        <w:t>Empresas Supervisadas</w:t>
      </w:r>
      <w:r w:rsidRPr="0051698C">
        <w:rPr>
          <w:rFonts w:ascii="Arial" w:hAnsi="Arial" w:cs="Arial"/>
          <w:sz w:val="22"/>
          <w:szCs w:val="22"/>
        </w:rPr>
        <w:t xml:space="preserve"> indica, por lo menos, la numeración del documento a que se refiere y la hora en que se recibió el aludido documento</w:t>
      </w:r>
      <w:r w:rsidR="00D63B45" w:rsidRPr="0051698C">
        <w:rPr>
          <w:rFonts w:ascii="Arial" w:hAnsi="Arial" w:cs="Arial"/>
          <w:sz w:val="22"/>
          <w:szCs w:val="22"/>
        </w:rPr>
        <w:t xml:space="preserve"> y</w:t>
      </w:r>
      <w:r w:rsidR="0034459F" w:rsidRPr="0051698C">
        <w:rPr>
          <w:rFonts w:ascii="Arial" w:hAnsi="Arial" w:cs="Arial"/>
          <w:sz w:val="22"/>
          <w:szCs w:val="22"/>
        </w:rPr>
        <w:t>,</w:t>
      </w:r>
      <w:r w:rsidR="00D63B45" w:rsidRPr="0051698C">
        <w:rPr>
          <w:rFonts w:ascii="Arial" w:hAnsi="Arial" w:cs="Arial"/>
          <w:sz w:val="22"/>
          <w:szCs w:val="22"/>
        </w:rPr>
        <w:t xml:space="preserve"> de corresponder, el </w:t>
      </w:r>
      <w:r w:rsidRPr="0051698C">
        <w:rPr>
          <w:rFonts w:ascii="Arial" w:hAnsi="Arial" w:cs="Arial"/>
          <w:sz w:val="22"/>
          <w:szCs w:val="22"/>
        </w:rPr>
        <w:t>motivo del rechazo.</w:t>
      </w:r>
    </w:p>
    <w:p w:rsidR="005D05D3" w:rsidRPr="0051698C" w:rsidRDefault="005D05D3" w:rsidP="005D05D3">
      <w:pPr>
        <w:pStyle w:val="NormalWeb"/>
        <w:ind w:left="0"/>
        <w:rPr>
          <w:rFonts w:ascii="Arial" w:hAnsi="Arial" w:cs="Arial"/>
          <w:sz w:val="22"/>
          <w:szCs w:val="22"/>
        </w:rPr>
      </w:pPr>
      <w:r w:rsidRPr="0051698C">
        <w:rPr>
          <w:rFonts w:ascii="Arial" w:hAnsi="Arial" w:cs="Arial"/>
          <w:b/>
          <w:bCs/>
          <w:sz w:val="22"/>
          <w:szCs w:val="22"/>
        </w:rPr>
        <w:t>Artículo 1</w:t>
      </w:r>
      <w:r w:rsidR="00D63B45" w:rsidRPr="0051698C">
        <w:rPr>
          <w:rFonts w:ascii="Arial" w:hAnsi="Arial" w:cs="Arial"/>
          <w:b/>
          <w:bCs/>
          <w:sz w:val="22"/>
          <w:szCs w:val="22"/>
        </w:rPr>
        <w:t>1</w:t>
      </w:r>
      <w:r w:rsidRPr="0051698C">
        <w:rPr>
          <w:rFonts w:ascii="Arial" w:hAnsi="Arial" w:cs="Arial"/>
          <w:b/>
          <w:bCs/>
          <w:sz w:val="22"/>
          <w:szCs w:val="22"/>
        </w:rPr>
        <w:t xml:space="preserve">. Comunicación de baja del comprobante de pago electrónico y de la nota electrónica </w:t>
      </w:r>
    </w:p>
    <w:p w:rsidR="005D05D3" w:rsidRPr="0051698C" w:rsidRDefault="005D05D3" w:rsidP="005D05D3">
      <w:pPr>
        <w:pStyle w:val="NormalWeb"/>
        <w:ind w:left="0"/>
        <w:rPr>
          <w:rFonts w:ascii="Arial" w:hAnsi="Arial" w:cs="Arial"/>
          <w:sz w:val="22"/>
          <w:szCs w:val="22"/>
        </w:rPr>
      </w:pPr>
      <w:r w:rsidRPr="0051698C">
        <w:rPr>
          <w:rFonts w:ascii="Arial" w:hAnsi="Arial" w:cs="Arial"/>
          <w:sz w:val="22"/>
          <w:szCs w:val="22"/>
        </w:rPr>
        <w:t>1</w:t>
      </w:r>
      <w:r w:rsidR="00EC1FAA" w:rsidRPr="0051698C">
        <w:rPr>
          <w:rFonts w:ascii="Arial" w:hAnsi="Arial" w:cs="Arial"/>
          <w:sz w:val="22"/>
          <w:szCs w:val="22"/>
        </w:rPr>
        <w:t>1</w:t>
      </w:r>
      <w:r w:rsidRPr="0051698C">
        <w:rPr>
          <w:rFonts w:ascii="Arial" w:hAnsi="Arial" w:cs="Arial"/>
          <w:sz w:val="22"/>
          <w:szCs w:val="22"/>
        </w:rPr>
        <w:t>.1 El emisor electrónico puede dar de baja la numeración de</w:t>
      </w:r>
      <w:r w:rsidR="00570415" w:rsidRPr="0051698C">
        <w:rPr>
          <w:rFonts w:ascii="Arial" w:hAnsi="Arial" w:cs="Arial"/>
          <w:sz w:val="22"/>
          <w:szCs w:val="22"/>
        </w:rPr>
        <w:t xml:space="preserve"> los documentos no otorgados, aun cuando tengan el estado aceptado.</w:t>
      </w:r>
    </w:p>
    <w:p w:rsidR="00570415" w:rsidRPr="0051698C" w:rsidRDefault="005D05D3" w:rsidP="005D05D3">
      <w:pPr>
        <w:pStyle w:val="NormalWeb"/>
        <w:ind w:left="0"/>
        <w:rPr>
          <w:rFonts w:ascii="Arial" w:hAnsi="Arial" w:cs="Arial"/>
          <w:sz w:val="22"/>
          <w:szCs w:val="22"/>
        </w:rPr>
      </w:pPr>
      <w:r w:rsidRPr="0051698C">
        <w:rPr>
          <w:rFonts w:ascii="Arial" w:hAnsi="Arial" w:cs="Arial"/>
          <w:sz w:val="22"/>
          <w:szCs w:val="22"/>
        </w:rPr>
        <w:t>1</w:t>
      </w:r>
      <w:r w:rsidR="006D5C67" w:rsidRPr="0051698C">
        <w:rPr>
          <w:rFonts w:ascii="Arial" w:hAnsi="Arial" w:cs="Arial"/>
          <w:sz w:val="22"/>
          <w:szCs w:val="22"/>
        </w:rPr>
        <w:t>1</w:t>
      </w:r>
      <w:r w:rsidRPr="0051698C">
        <w:rPr>
          <w:rFonts w:ascii="Arial" w:hAnsi="Arial" w:cs="Arial"/>
          <w:sz w:val="22"/>
          <w:szCs w:val="22"/>
        </w:rPr>
        <w:t xml:space="preserve">.2 </w:t>
      </w:r>
      <w:r w:rsidR="00570415" w:rsidRPr="0051698C">
        <w:rPr>
          <w:rFonts w:ascii="Arial" w:hAnsi="Arial" w:cs="Arial"/>
          <w:sz w:val="22"/>
          <w:szCs w:val="22"/>
        </w:rPr>
        <w:t>A tal efecto</w:t>
      </w:r>
      <w:r w:rsidR="00986FDF" w:rsidRPr="0051698C">
        <w:rPr>
          <w:rFonts w:ascii="Arial" w:hAnsi="Arial" w:cs="Arial"/>
          <w:sz w:val="22"/>
          <w:szCs w:val="22"/>
        </w:rPr>
        <w:t>,</w:t>
      </w:r>
      <w:r w:rsidR="00570415" w:rsidRPr="0051698C">
        <w:rPr>
          <w:rFonts w:ascii="Arial" w:hAnsi="Arial" w:cs="Arial"/>
          <w:sz w:val="22"/>
          <w:szCs w:val="22"/>
        </w:rPr>
        <w:t xml:space="preserve"> se debe enviar a la SUNAT la comunicación de la baja teniendo en cuenta lo siguiente:</w:t>
      </w:r>
    </w:p>
    <w:p w:rsidR="00570415" w:rsidRPr="0051698C" w:rsidRDefault="00570415" w:rsidP="00570415">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t xml:space="preserve">a) </w:t>
      </w:r>
      <w:r w:rsidR="00147846" w:rsidRPr="0051698C">
        <w:rPr>
          <w:rFonts w:ascii="Arial" w:hAnsi="Arial" w:cs="Arial"/>
          <w:sz w:val="22"/>
          <w:szCs w:val="22"/>
        </w:rPr>
        <w:t>Se d</w:t>
      </w:r>
      <w:r w:rsidRPr="0051698C">
        <w:rPr>
          <w:rFonts w:ascii="Arial" w:hAnsi="Arial" w:cs="Arial"/>
          <w:sz w:val="22"/>
          <w:szCs w:val="22"/>
        </w:rPr>
        <w:t>ebe enviar un archivo que cumpla con lo indicado en el anexo II.</w:t>
      </w:r>
    </w:p>
    <w:p w:rsidR="00986FDF" w:rsidRPr="0051698C" w:rsidRDefault="00570415" w:rsidP="00986FDF">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t xml:space="preserve">b) El envío se efectúa mediante la aplicación SEE – </w:t>
      </w:r>
      <w:r w:rsidR="00220AB1" w:rsidRPr="0051698C">
        <w:rPr>
          <w:rFonts w:ascii="Arial" w:hAnsi="Arial" w:cs="Arial"/>
          <w:sz w:val="22"/>
          <w:szCs w:val="22"/>
        </w:rPr>
        <w:t>Empresas Supervisadas</w:t>
      </w:r>
      <w:r w:rsidRPr="0051698C">
        <w:rPr>
          <w:rFonts w:ascii="Arial" w:hAnsi="Arial" w:cs="Arial"/>
          <w:sz w:val="22"/>
          <w:szCs w:val="22"/>
        </w:rPr>
        <w:t xml:space="preserve"> a más tardar hasta el sétimo día calendario siguiente </w:t>
      </w:r>
      <w:r w:rsidR="00147846" w:rsidRPr="0051698C">
        <w:rPr>
          <w:rFonts w:ascii="Arial" w:hAnsi="Arial" w:cs="Arial"/>
          <w:sz w:val="22"/>
          <w:szCs w:val="22"/>
        </w:rPr>
        <w:t>al día calendario en que obtuvo</w:t>
      </w:r>
      <w:r w:rsidR="00986FDF" w:rsidRPr="0051698C">
        <w:rPr>
          <w:rFonts w:ascii="Arial" w:hAnsi="Arial" w:cs="Arial"/>
          <w:sz w:val="22"/>
          <w:szCs w:val="22"/>
        </w:rPr>
        <w:t xml:space="preserve"> el estado aceptado.</w:t>
      </w:r>
    </w:p>
    <w:p w:rsidR="005D05D3" w:rsidRPr="0051698C" w:rsidRDefault="00986FDF" w:rsidP="00986FDF">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t xml:space="preserve">c) </w:t>
      </w:r>
      <w:r w:rsidR="005D05D3" w:rsidRPr="0051698C">
        <w:rPr>
          <w:rFonts w:ascii="Arial" w:hAnsi="Arial" w:cs="Arial"/>
          <w:sz w:val="22"/>
          <w:szCs w:val="22"/>
        </w:rPr>
        <w:t>La comunicación de baja puede incluir uno o más documentos electrónicos, siempre que todos hayan sido emitidos en un mismo día.</w:t>
      </w:r>
    </w:p>
    <w:p w:rsidR="005D05D3" w:rsidRPr="0051698C" w:rsidRDefault="005D05D3" w:rsidP="005D05D3">
      <w:pPr>
        <w:pStyle w:val="NormalWeb"/>
        <w:ind w:left="0"/>
        <w:rPr>
          <w:rFonts w:ascii="Arial" w:hAnsi="Arial" w:cs="Arial"/>
          <w:sz w:val="22"/>
          <w:szCs w:val="22"/>
        </w:rPr>
      </w:pPr>
      <w:r w:rsidRPr="0051698C">
        <w:rPr>
          <w:rFonts w:ascii="Arial" w:hAnsi="Arial" w:cs="Arial"/>
          <w:sz w:val="22"/>
          <w:szCs w:val="22"/>
        </w:rPr>
        <w:t>1</w:t>
      </w:r>
      <w:r w:rsidR="00986FDF" w:rsidRPr="0051698C">
        <w:rPr>
          <w:rFonts w:ascii="Arial" w:hAnsi="Arial" w:cs="Arial"/>
          <w:sz w:val="22"/>
          <w:szCs w:val="22"/>
        </w:rPr>
        <w:t>1</w:t>
      </w:r>
      <w:r w:rsidRPr="0051698C">
        <w:rPr>
          <w:rFonts w:ascii="Arial" w:hAnsi="Arial" w:cs="Arial"/>
          <w:sz w:val="22"/>
          <w:szCs w:val="22"/>
        </w:rPr>
        <w:t>.3 Se considera que el emisor electrónico ha remitido a la SUNAT la comunicación de baja si</w:t>
      </w:r>
      <w:r w:rsidR="00DC2FE3" w:rsidRPr="0051698C">
        <w:rPr>
          <w:rFonts w:ascii="Arial" w:hAnsi="Arial" w:cs="Arial"/>
          <w:sz w:val="22"/>
          <w:szCs w:val="22"/>
        </w:rPr>
        <w:t xml:space="preserve"> esta fue enviada dentro del plazo indicado en </w:t>
      </w:r>
      <w:r w:rsidR="008E3AC5" w:rsidRPr="0051698C">
        <w:rPr>
          <w:rFonts w:ascii="Arial" w:hAnsi="Arial" w:cs="Arial"/>
          <w:sz w:val="22"/>
          <w:szCs w:val="22"/>
        </w:rPr>
        <w:t>el inciso b) del párrafo 11.2 y cumple con lo indicado en el anexo II.</w:t>
      </w:r>
    </w:p>
    <w:p w:rsidR="00496C8E" w:rsidRPr="0051698C" w:rsidRDefault="008E3AC5" w:rsidP="005D05D3">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t xml:space="preserve">11.4 </w:t>
      </w:r>
      <w:r w:rsidR="005D05D3" w:rsidRPr="0051698C">
        <w:rPr>
          <w:rFonts w:ascii="Arial" w:hAnsi="Arial" w:cs="Arial"/>
          <w:sz w:val="22"/>
          <w:szCs w:val="22"/>
        </w:rPr>
        <w:t xml:space="preserve">Ante cada envío, la aplicación SEE – </w:t>
      </w:r>
      <w:r w:rsidR="00220AB1" w:rsidRPr="0051698C">
        <w:rPr>
          <w:rFonts w:ascii="Arial" w:hAnsi="Arial" w:cs="Arial"/>
          <w:sz w:val="22"/>
          <w:szCs w:val="22"/>
        </w:rPr>
        <w:t>Empresas Supervisadas</w:t>
      </w:r>
      <w:r w:rsidR="005D05D3" w:rsidRPr="0051698C">
        <w:rPr>
          <w:rFonts w:ascii="Arial" w:hAnsi="Arial" w:cs="Arial"/>
          <w:sz w:val="22"/>
          <w:szCs w:val="22"/>
        </w:rPr>
        <w:t xml:space="preserve"> muestra el estado de la comunicación efectuada</w:t>
      </w:r>
      <w:r w:rsidRPr="0051698C">
        <w:rPr>
          <w:rFonts w:ascii="Arial" w:hAnsi="Arial" w:cs="Arial"/>
          <w:sz w:val="22"/>
          <w:szCs w:val="22"/>
        </w:rPr>
        <w:t>:</w:t>
      </w:r>
    </w:p>
    <w:p w:rsidR="008E3AC5" w:rsidRPr="0051698C" w:rsidRDefault="008E3AC5" w:rsidP="008E3AC5">
      <w:pPr>
        <w:pStyle w:val="NormalWeb"/>
        <w:ind w:left="0"/>
        <w:rPr>
          <w:rFonts w:ascii="Arial" w:hAnsi="Arial" w:cs="Arial"/>
          <w:sz w:val="22"/>
          <w:szCs w:val="22"/>
        </w:rPr>
      </w:pPr>
      <w:bookmarkStart w:id="11" w:name="JD_bidocumplelacondicin"/>
      <w:bookmarkEnd w:id="11"/>
      <w:r w:rsidRPr="0051698C">
        <w:rPr>
          <w:rFonts w:ascii="Arial" w:hAnsi="Arial" w:cs="Arial"/>
          <w:sz w:val="22"/>
          <w:szCs w:val="22"/>
        </w:rPr>
        <w:t xml:space="preserve">a) Aceptada, si lo recibido cumple </w:t>
      </w:r>
      <w:r w:rsidR="006A1DAA" w:rsidRPr="0051698C">
        <w:rPr>
          <w:rFonts w:ascii="Arial" w:hAnsi="Arial" w:cs="Arial"/>
          <w:sz w:val="22"/>
          <w:szCs w:val="22"/>
        </w:rPr>
        <w:t xml:space="preserve">con lo señalado </w:t>
      </w:r>
      <w:r w:rsidRPr="0051698C">
        <w:rPr>
          <w:rFonts w:ascii="Arial" w:hAnsi="Arial" w:cs="Arial"/>
          <w:sz w:val="22"/>
          <w:szCs w:val="22"/>
        </w:rPr>
        <w:t xml:space="preserve">en el inciso a) del párrafo </w:t>
      </w:r>
      <w:r w:rsidR="006A1DAA" w:rsidRPr="0051698C">
        <w:rPr>
          <w:rFonts w:ascii="Arial" w:hAnsi="Arial" w:cs="Arial"/>
          <w:sz w:val="22"/>
          <w:szCs w:val="22"/>
        </w:rPr>
        <w:t>11.2</w:t>
      </w:r>
      <w:r w:rsidRPr="0051698C">
        <w:rPr>
          <w:rFonts w:ascii="Arial" w:hAnsi="Arial" w:cs="Arial"/>
          <w:sz w:val="22"/>
          <w:szCs w:val="22"/>
        </w:rPr>
        <w:t>.</w:t>
      </w:r>
    </w:p>
    <w:p w:rsidR="008E3AC5" w:rsidRPr="0051698C" w:rsidRDefault="008E3AC5" w:rsidP="008E3AC5">
      <w:pPr>
        <w:pStyle w:val="NormalWeb"/>
        <w:ind w:left="0"/>
        <w:rPr>
          <w:rFonts w:ascii="Arial" w:hAnsi="Arial" w:cs="Arial"/>
          <w:sz w:val="22"/>
          <w:szCs w:val="22"/>
        </w:rPr>
      </w:pPr>
      <w:r w:rsidRPr="0051698C">
        <w:rPr>
          <w:rFonts w:ascii="Arial" w:hAnsi="Arial" w:cs="Arial"/>
          <w:sz w:val="22"/>
          <w:szCs w:val="22"/>
        </w:rPr>
        <w:t>b) Rechazada, si lo recibido no cumple con l</w:t>
      </w:r>
      <w:r w:rsidR="006A1DAA" w:rsidRPr="0051698C">
        <w:rPr>
          <w:rFonts w:ascii="Arial" w:hAnsi="Arial" w:cs="Arial"/>
          <w:sz w:val="22"/>
          <w:szCs w:val="22"/>
        </w:rPr>
        <w:t>o señalado</w:t>
      </w:r>
      <w:r w:rsidRPr="0051698C">
        <w:rPr>
          <w:rFonts w:ascii="Arial" w:hAnsi="Arial" w:cs="Arial"/>
          <w:sz w:val="22"/>
          <w:szCs w:val="22"/>
        </w:rPr>
        <w:t xml:space="preserve"> en el inciso a) del párrafo</w:t>
      </w:r>
      <w:r w:rsidR="006A1DAA" w:rsidRPr="0051698C">
        <w:rPr>
          <w:rFonts w:ascii="Arial" w:hAnsi="Arial" w:cs="Arial"/>
          <w:sz w:val="22"/>
          <w:szCs w:val="22"/>
        </w:rPr>
        <w:t xml:space="preserve"> 11.2</w:t>
      </w:r>
    </w:p>
    <w:p w:rsidR="00C64DCC" w:rsidRPr="0051698C" w:rsidRDefault="007C0E09" w:rsidP="00C64DCC">
      <w:pPr>
        <w:pStyle w:val="NormalWeb"/>
        <w:spacing w:before="0" w:beforeAutospacing="0" w:after="0" w:afterAutospacing="0" w:line="220" w:lineRule="atLeast"/>
        <w:jc w:val="center"/>
        <w:rPr>
          <w:rFonts w:ascii="Arial" w:hAnsi="Arial" w:cs="Arial"/>
          <w:b/>
          <w:bCs/>
          <w:sz w:val="22"/>
          <w:szCs w:val="22"/>
        </w:rPr>
      </w:pPr>
      <w:r w:rsidRPr="0051698C">
        <w:rPr>
          <w:rFonts w:ascii="Arial" w:hAnsi="Arial" w:cs="Arial"/>
          <w:b/>
          <w:bCs/>
          <w:sz w:val="22"/>
          <w:szCs w:val="22"/>
        </w:rPr>
        <w:t>TÍTULO IV</w:t>
      </w:r>
    </w:p>
    <w:p w:rsidR="007C0E09" w:rsidRPr="0051698C" w:rsidRDefault="007C0E09" w:rsidP="00C64DCC">
      <w:pPr>
        <w:pStyle w:val="NormalWeb"/>
        <w:spacing w:before="0" w:beforeAutospacing="0" w:after="0" w:afterAutospacing="0" w:line="220" w:lineRule="atLeast"/>
        <w:jc w:val="center"/>
        <w:rPr>
          <w:rFonts w:ascii="Arial" w:hAnsi="Arial" w:cs="Arial"/>
          <w:sz w:val="22"/>
          <w:szCs w:val="22"/>
        </w:rPr>
      </w:pPr>
      <w:r w:rsidRPr="0051698C">
        <w:rPr>
          <w:rFonts w:ascii="Arial" w:hAnsi="Arial" w:cs="Arial"/>
          <w:b/>
          <w:bCs/>
          <w:sz w:val="22"/>
          <w:szCs w:val="22"/>
        </w:rPr>
        <w:t>NOTA DE CRÉDITO ELECTRÓNICA Y NOTA DE DÉBITO ELECTRÓNICA</w:t>
      </w:r>
    </w:p>
    <w:p w:rsidR="00F069D7" w:rsidRPr="0051698C" w:rsidRDefault="00F069D7" w:rsidP="008E3AC5">
      <w:pPr>
        <w:pStyle w:val="NormalWeb"/>
        <w:ind w:left="0"/>
        <w:rPr>
          <w:rFonts w:ascii="Arial" w:hAnsi="Arial" w:cs="Arial"/>
          <w:sz w:val="22"/>
          <w:szCs w:val="22"/>
        </w:rPr>
      </w:pPr>
      <w:r w:rsidRPr="0051698C">
        <w:rPr>
          <w:rFonts w:ascii="Arial" w:hAnsi="Arial" w:cs="Arial"/>
          <w:b/>
          <w:bCs/>
          <w:sz w:val="22"/>
          <w:szCs w:val="22"/>
        </w:rPr>
        <w:t>Artículo 1</w:t>
      </w:r>
      <w:r w:rsidR="007C0E09" w:rsidRPr="0051698C">
        <w:rPr>
          <w:rFonts w:ascii="Arial" w:hAnsi="Arial" w:cs="Arial"/>
          <w:b/>
          <w:bCs/>
          <w:sz w:val="22"/>
          <w:szCs w:val="22"/>
        </w:rPr>
        <w:t>2</w:t>
      </w:r>
      <w:r w:rsidRPr="0051698C">
        <w:rPr>
          <w:rFonts w:ascii="Arial" w:hAnsi="Arial" w:cs="Arial"/>
          <w:b/>
          <w:bCs/>
          <w:sz w:val="22"/>
          <w:szCs w:val="22"/>
        </w:rPr>
        <w:t xml:space="preserve">. Nota </w:t>
      </w:r>
      <w:r w:rsidR="007C0E09" w:rsidRPr="0051698C">
        <w:rPr>
          <w:rFonts w:ascii="Arial" w:hAnsi="Arial" w:cs="Arial"/>
          <w:b/>
          <w:bCs/>
          <w:sz w:val="22"/>
          <w:szCs w:val="22"/>
        </w:rPr>
        <w:t xml:space="preserve"> de crédito electrónica</w:t>
      </w:r>
    </w:p>
    <w:p w:rsidR="007C0E09" w:rsidRPr="0051698C" w:rsidRDefault="007C0E09" w:rsidP="007C0E09">
      <w:pPr>
        <w:pStyle w:val="NormalWeb"/>
        <w:ind w:left="0"/>
        <w:rPr>
          <w:rFonts w:ascii="Arial" w:hAnsi="Arial" w:cs="Arial"/>
          <w:sz w:val="22"/>
          <w:szCs w:val="22"/>
        </w:rPr>
      </w:pPr>
      <w:r w:rsidRPr="0051698C">
        <w:rPr>
          <w:rFonts w:ascii="Arial" w:hAnsi="Arial" w:cs="Arial"/>
          <w:sz w:val="22"/>
          <w:szCs w:val="22"/>
        </w:rPr>
        <w:t>La nota de crédito electrónica se r</w:t>
      </w:r>
      <w:r w:rsidR="006A1DAA" w:rsidRPr="0051698C">
        <w:rPr>
          <w:rFonts w:ascii="Arial" w:hAnsi="Arial" w:cs="Arial"/>
          <w:sz w:val="22"/>
          <w:szCs w:val="22"/>
        </w:rPr>
        <w:t>ige</w:t>
      </w:r>
      <w:r w:rsidRPr="0051698C">
        <w:rPr>
          <w:rFonts w:ascii="Arial" w:hAnsi="Arial" w:cs="Arial"/>
          <w:sz w:val="22"/>
          <w:szCs w:val="22"/>
        </w:rPr>
        <w:t xml:space="preserve"> por las siguientes disposiciones:</w:t>
      </w:r>
    </w:p>
    <w:p w:rsidR="007C0E09" w:rsidRPr="0051698C" w:rsidRDefault="007C0E09" w:rsidP="007C0E09">
      <w:pPr>
        <w:pStyle w:val="NormalWeb"/>
        <w:ind w:left="0"/>
        <w:rPr>
          <w:rFonts w:ascii="Arial" w:hAnsi="Arial" w:cs="Arial"/>
          <w:sz w:val="22"/>
          <w:szCs w:val="22"/>
        </w:rPr>
      </w:pPr>
      <w:r w:rsidRPr="0051698C">
        <w:rPr>
          <w:rFonts w:ascii="Arial" w:hAnsi="Arial" w:cs="Arial"/>
          <w:sz w:val="22"/>
          <w:szCs w:val="22"/>
        </w:rPr>
        <w:lastRenderedPageBreak/>
        <w:t>12.1 Se emit</w:t>
      </w:r>
      <w:r w:rsidR="006A1DAA" w:rsidRPr="0051698C">
        <w:rPr>
          <w:rFonts w:ascii="Arial" w:hAnsi="Arial" w:cs="Arial"/>
          <w:sz w:val="22"/>
          <w:szCs w:val="22"/>
        </w:rPr>
        <w:t>e</w:t>
      </w:r>
      <w:r w:rsidRPr="0051698C">
        <w:rPr>
          <w:rFonts w:ascii="Arial" w:hAnsi="Arial" w:cs="Arial"/>
          <w:sz w:val="22"/>
          <w:szCs w:val="22"/>
        </w:rPr>
        <w:t xml:space="preserve"> únicamente respecto del comprobante de pago electrónico que cuente con el estado aceptado, que haya sido otorgado al mismo usuario con anterioridad, siendo de aplicación lo establecido en los incisos 1.1 y 1.4 del numeral 1 del artículo 10 del RCP.</w:t>
      </w:r>
    </w:p>
    <w:p w:rsidR="006A1DAA" w:rsidRPr="0051698C" w:rsidRDefault="006A1DAA" w:rsidP="007C0E09">
      <w:pPr>
        <w:pStyle w:val="NormalWeb"/>
        <w:ind w:left="0"/>
        <w:rPr>
          <w:rFonts w:ascii="Arial" w:hAnsi="Arial" w:cs="Arial"/>
          <w:sz w:val="22"/>
          <w:szCs w:val="22"/>
        </w:rPr>
      </w:pPr>
      <w:r w:rsidRPr="0051698C">
        <w:rPr>
          <w:rFonts w:ascii="Arial" w:hAnsi="Arial" w:cs="Arial"/>
          <w:sz w:val="22"/>
          <w:szCs w:val="22"/>
        </w:rPr>
        <w:t xml:space="preserve">12.2 </w:t>
      </w:r>
      <w:r w:rsidR="007C0E09" w:rsidRPr="0051698C">
        <w:rPr>
          <w:rFonts w:ascii="Arial" w:hAnsi="Arial" w:cs="Arial"/>
          <w:sz w:val="22"/>
          <w:szCs w:val="22"/>
        </w:rPr>
        <w:t>Una nota de crédito electrónica solo puede modificar un comprobante de pago electrónico</w:t>
      </w:r>
      <w:r w:rsidRPr="0051698C">
        <w:rPr>
          <w:rFonts w:ascii="Arial" w:hAnsi="Arial" w:cs="Arial"/>
          <w:sz w:val="22"/>
          <w:szCs w:val="22"/>
        </w:rPr>
        <w:t>.</w:t>
      </w:r>
    </w:p>
    <w:p w:rsidR="00460754" w:rsidRPr="0051698C" w:rsidRDefault="00460754" w:rsidP="00460754">
      <w:pPr>
        <w:pStyle w:val="NormalWeb"/>
        <w:ind w:left="0"/>
        <w:rPr>
          <w:rFonts w:ascii="Arial" w:hAnsi="Arial" w:cs="Arial"/>
          <w:sz w:val="22"/>
          <w:szCs w:val="22"/>
        </w:rPr>
      </w:pPr>
      <w:bookmarkStart w:id="12" w:name="JD_300-2014-SUNAT-23"/>
      <w:bookmarkEnd w:id="12"/>
      <w:r w:rsidRPr="0051698C">
        <w:rPr>
          <w:rFonts w:ascii="Arial" w:hAnsi="Arial" w:cs="Arial"/>
          <w:b/>
          <w:bCs/>
          <w:sz w:val="22"/>
          <w:szCs w:val="22"/>
        </w:rPr>
        <w:t xml:space="preserve">Artículo </w:t>
      </w:r>
      <w:r w:rsidR="001A7B81" w:rsidRPr="0051698C">
        <w:rPr>
          <w:rFonts w:ascii="Arial" w:hAnsi="Arial" w:cs="Arial"/>
          <w:b/>
          <w:bCs/>
          <w:sz w:val="22"/>
          <w:szCs w:val="22"/>
        </w:rPr>
        <w:t>13</w:t>
      </w:r>
      <w:r w:rsidRPr="0051698C">
        <w:rPr>
          <w:rFonts w:ascii="Arial" w:hAnsi="Arial" w:cs="Arial"/>
          <w:b/>
          <w:bCs/>
          <w:sz w:val="22"/>
          <w:szCs w:val="22"/>
        </w:rPr>
        <w:t>.- N</w:t>
      </w:r>
      <w:r w:rsidR="00A64EE0" w:rsidRPr="0051698C">
        <w:rPr>
          <w:rFonts w:ascii="Arial" w:hAnsi="Arial" w:cs="Arial"/>
          <w:b/>
          <w:bCs/>
          <w:sz w:val="22"/>
          <w:szCs w:val="22"/>
        </w:rPr>
        <w:t>ota de débito electrónica</w:t>
      </w:r>
    </w:p>
    <w:p w:rsidR="00460754" w:rsidRPr="0051698C" w:rsidRDefault="00460754" w:rsidP="00993D6A">
      <w:pPr>
        <w:pStyle w:val="NormalWeb"/>
        <w:ind w:left="0"/>
        <w:rPr>
          <w:rFonts w:ascii="Arial" w:hAnsi="Arial" w:cs="Arial"/>
          <w:sz w:val="22"/>
          <w:szCs w:val="22"/>
        </w:rPr>
      </w:pPr>
      <w:r w:rsidRPr="0051698C">
        <w:rPr>
          <w:rFonts w:ascii="Arial" w:hAnsi="Arial" w:cs="Arial"/>
          <w:sz w:val="22"/>
          <w:szCs w:val="22"/>
        </w:rPr>
        <w:t>La nota de débito electrónica se rige por las siguientes disposiciones:</w:t>
      </w:r>
    </w:p>
    <w:p w:rsidR="00460754" w:rsidRPr="0051698C" w:rsidRDefault="00993D6A" w:rsidP="00993D6A">
      <w:pPr>
        <w:pStyle w:val="NormalWeb"/>
        <w:ind w:left="0"/>
        <w:rPr>
          <w:rFonts w:ascii="Arial" w:hAnsi="Arial" w:cs="Arial"/>
          <w:sz w:val="22"/>
          <w:szCs w:val="22"/>
        </w:rPr>
      </w:pPr>
      <w:r w:rsidRPr="0051698C">
        <w:rPr>
          <w:rFonts w:ascii="Arial" w:hAnsi="Arial" w:cs="Arial"/>
          <w:sz w:val="22"/>
          <w:szCs w:val="22"/>
        </w:rPr>
        <w:t>13</w:t>
      </w:r>
      <w:r w:rsidR="00460754" w:rsidRPr="0051698C">
        <w:rPr>
          <w:rFonts w:ascii="Arial" w:hAnsi="Arial" w:cs="Arial"/>
          <w:sz w:val="22"/>
          <w:szCs w:val="22"/>
        </w:rPr>
        <w:t>.1. Se emite únicamente respecto de</w:t>
      </w:r>
      <w:r w:rsidRPr="0051698C">
        <w:rPr>
          <w:rFonts w:ascii="Arial" w:hAnsi="Arial" w:cs="Arial"/>
          <w:sz w:val="22"/>
          <w:szCs w:val="22"/>
        </w:rPr>
        <w:t>l comprobante de pago electrónico</w:t>
      </w:r>
      <w:r w:rsidR="00460754" w:rsidRPr="0051698C">
        <w:rPr>
          <w:rFonts w:ascii="Arial" w:hAnsi="Arial" w:cs="Arial"/>
          <w:sz w:val="22"/>
          <w:szCs w:val="22"/>
        </w:rPr>
        <w:t xml:space="preserve"> que cuente con </w:t>
      </w:r>
      <w:r w:rsidRPr="0051698C">
        <w:rPr>
          <w:rFonts w:ascii="Arial" w:hAnsi="Arial" w:cs="Arial"/>
          <w:sz w:val="22"/>
          <w:szCs w:val="22"/>
        </w:rPr>
        <w:t>el estado aceptado</w:t>
      </w:r>
      <w:r w:rsidR="00460754" w:rsidRPr="0051698C">
        <w:rPr>
          <w:rFonts w:ascii="Arial" w:hAnsi="Arial" w:cs="Arial"/>
          <w:sz w:val="22"/>
          <w:szCs w:val="22"/>
        </w:rPr>
        <w:t>, que haya sido otorgad</w:t>
      </w:r>
      <w:r w:rsidRPr="0051698C">
        <w:rPr>
          <w:rFonts w:ascii="Arial" w:hAnsi="Arial" w:cs="Arial"/>
          <w:sz w:val="22"/>
          <w:szCs w:val="22"/>
        </w:rPr>
        <w:t>o</w:t>
      </w:r>
      <w:r w:rsidR="00460754" w:rsidRPr="0051698C">
        <w:rPr>
          <w:rFonts w:ascii="Arial" w:hAnsi="Arial" w:cs="Arial"/>
          <w:sz w:val="22"/>
          <w:szCs w:val="22"/>
        </w:rPr>
        <w:t xml:space="preserve"> al mismo usuario con anterioridad, siendo de aplicación lo dispuesto en el primer párrafo del inciso a) del numeral 2.1 del artículo 10 del R</w:t>
      </w:r>
      <w:r w:rsidRPr="0051698C">
        <w:rPr>
          <w:rFonts w:ascii="Arial" w:hAnsi="Arial" w:cs="Arial"/>
          <w:sz w:val="22"/>
          <w:szCs w:val="22"/>
        </w:rPr>
        <w:t>CP</w:t>
      </w:r>
      <w:r w:rsidR="00460754" w:rsidRPr="0051698C">
        <w:rPr>
          <w:rFonts w:ascii="Arial" w:hAnsi="Arial" w:cs="Arial"/>
          <w:sz w:val="22"/>
          <w:szCs w:val="22"/>
        </w:rPr>
        <w:t>.</w:t>
      </w:r>
    </w:p>
    <w:p w:rsidR="00993D6A" w:rsidRPr="0051698C" w:rsidRDefault="006A1DAA" w:rsidP="00993D6A">
      <w:pPr>
        <w:pStyle w:val="NormalWeb"/>
        <w:ind w:left="0"/>
        <w:rPr>
          <w:rFonts w:ascii="Arial" w:hAnsi="Arial" w:cs="Arial"/>
          <w:sz w:val="22"/>
          <w:szCs w:val="22"/>
        </w:rPr>
      </w:pPr>
      <w:r w:rsidRPr="0051698C">
        <w:rPr>
          <w:rFonts w:ascii="Arial" w:hAnsi="Arial" w:cs="Arial"/>
          <w:sz w:val="22"/>
          <w:szCs w:val="22"/>
        </w:rPr>
        <w:t xml:space="preserve">13.2 </w:t>
      </w:r>
      <w:r w:rsidR="00460754" w:rsidRPr="0051698C">
        <w:rPr>
          <w:rFonts w:ascii="Arial" w:hAnsi="Arial" w:cs="Arial"/>
          <w:sz w:val="22"/>
          <w:szCs w:val="22"/>
        </w:rPr>
        <w:t xml:space="preserve">Una nota de débito electrónica </w:t>
      </w:r>
      <w:r w:rsidR="00993D6A" w:rsidRPr="0051698C">
        <w:rPr>
          <w:rFonts w:ascii="Arial" w:hAnsi="Arial" w:cs="Arial"/>
          <w:sz w:val="22"/>
          <w:szCs w:val="22"/>
        </w:rPr>
        <w:t>solo puede modificar un comprobante de pago electrónico</w:t>
      </w:r>
      <w:r w:rsidRPr="0051698C">
        <w:rPr>
          <w:rFonts w:ascii="Arial" w:hAnsi="Arial" w:cs="Arial"/>
          <w:sz w:val="22"/>
          <w:szCs w:val="22"/>
        </w:rPr>
        <w:t>.</w:t>
      </w:r>
    </w:p>
    <w:p w:rsidR="001D232F" w:rsidRPr="0051698C" w:rsidRDefault="001D232F" w:rsidP="001D232F">
      <w:pPr>
        <w:pStyle w:val="NormalWeb"/>
        <w:spacing w:before="0" w:beforeAutospacing="0" w:after="0" w:afterAutospacing="0"/>
        <w:ind w:left="0"/>
        <w:rPr>
          <w:rFonts w:ascii="Arial" w:hAnsi="Arial" w:cs="Arial"/>
          <w:b/>
          <w:sz w:val="22"/>
          <w:szCs w:val="22"/>
        </w:rPr>
      </w:pPr>
      <w:r w:rsidRPr="0051698C">
        <w:rPr>
          <w:rFonts w:ascii="Arial" w:hAnsi="Arial" w:cs="Arial"/>
          <w:b/>
          <w:bCs/>
          <w:sz w:val="22"/>
          <w:szCs w:val="22"/>
        </w:rPr>
        <w:t>Artículo 1</w:t>
      </w:r>
      <w:r w:rsidR="00993D6A" w:rsidRPr="0051698C">
        <w:rPr>
          <w:rFonts w:ascii="Arial" w:hAnsi="Arial" w:cs="Arial"/>
          <w:b/>
          <w:bCs/>
          <w:sz w:val="22"/>
          <w:szCs w:val="22"/>
        </w:rPr>
        <w:t>4</w:t>
      </w:r>
      <w:r w:rsidRPr="0051698C">
        <w:rPr>
          <w:rFonts w:ascii="Arial" w:hAnsi="Arial" w:cs="Arial"/>
          <w:b/>
          <w:bCs/>
          <w:sz w:val="22"/>
          <w:szCs w:val="22"/>
        </w:rPr>
        <w:t>. Notas</w:t>
      </w:r>
      <w:r w:rsidR="008F4CB2" w:rsidRPr="0051698C">
        <w:rPr>
          <w:rFonts w:ascii="Arial" w:hAnsi="Arial" w:cs="Arial"/>
          <w:b/>
          <w:bCs/>
          <w:sz w:val="22"/>
          <w:szCs w:val="22"/>
        </w:rPr>
        <w:t xml:space="preserve"> </w:t>
      </w:r>
      <w:r w:rsidRPr="0051698C">
        <w:rPr>
          <w:rFonts w:ascii="Arial" w:hAnsi="Arial" w:cs="Arial"/>
          <w:b/>
          <w:bCs/>
          <w:sz w:val="22"/>
          <w:szCs w:val="22"/>
        </w:rPr>
        <w:t xml:space="preserve">electrónicas respecto de comprobantes no emitidos en el SEE – </w:t>
      </w:r>
      <w:r w:rsidR="00220AB1" w:rsidRPr="0051698C">
        <w:rPr>
          <w:rFonts w:ascii="Arial" w:hAnsi="Arial" w:cs="Arial"/>
          <w:b/>
          <w:sz w:val="22"/>
          <w:szCs w:val="22"/>
        </w:rPr>
        <w:t>Empresas Supervisadas</w:t>
      </w:r>
      <w:r w:rsidRPr="0051698C">
        <w:rPr>
          <w:rFonts w:ascii="Arial" w:hAnsi="Arial" w:cs="Arial"/>
          <w:b/>
          <w:bCs/>
          <w:sz w:val="22"/>
          <w:szCs w:val="22"/>
        </w:rPr>
        <w:t xml:space="preserve"> </w:t>
      </w:r>
    </w:p>
    <w:p w:rsidR="00642985" w:rsidRPr="0051698C" w:rsidRDefault="00642985" w:rsidP="00642985">
      <w:pPr>
        <w:pStyle w:val="NormalWeb"/>
        <w:spacing w:before="0" w:beforeAutospacing="0" w:after="0" w:afterAutospacing="0" w:line="220" w:lineRule="atLeast"/>
        <w:ind w:left="0"/>
        <w:rPr>
          <w:rFonts w:ascii="Arial" w:hAnsi="Arial" w:cs="Arial"/>
          <w:bCs/>
          <w:sz w:val="22"/>
          <w:szCs w:val="22"/>
        </w:rPr>
      </w:pPr>
    </w:p>
    <w:p w:rsidR="00550746" w:rsidRPr="0051698C" w:rsidRDefault="00533290" w:rsidP="001D232F">
      <w:pPr>
        <w:pStyle w:val="NormalWeb"/>
        <w:spacing w:before="0" w:beforeAutospacing="0" w:after="0" w:afterAutospacing="0" w:line="220" w:lineRule="atLeast"/>
        <w:ind w:left="0"/>
        <w:rPr>
          <w:rFonts w:ascii="Arial" w:hAnsi="Arial" w:cs="Arial"/>
          <w:sz w:val="22"/>
          <w:szCs w:val="22"/>
        </w:rPr>
      </w:pPr>
      <w:r w:rsidRPr="0051698C">
        <w:rPr>
          <w:rFonts w:ascii="Arial" w:hAnsi="Arial" w:cs="Arial"/>
          <w:bCs/>
          <w:sz w:val="22"/>
          <w:szCs w:val="22"/>
        </w:rPr>
        <w:t xml:space="preserve">14.1 </w:t>
      </w:r>
      <w:r w:rsidR="00550746" w:rsidRPr="0051698C">
        <w:rPr>
          <w:rFonts w:ascii="Arial" w:hAnsi="Arial" w:cs="Arial"/>
          <w:bCs/>
          <w:sz w:val="22"/>
          <w:szCs w:val="22"/>
        </w:rPr>
        <w:t xml:space="preserve">El emisor electrónico puede emitir a través del </w:t>
      </w:r>
      <w:r w:rsidRPr="0051698C">
        <w:rPr>
          <w:rFonts w:ascii="Arial" w:hAnsi="Arial" w:cs="Arial"/>
          <w:bCs/>
          <w:sz w:val="22"/>
          <w:szCs w:val="22"/>
        </w:rPr>
        <w:t xml:space="preserve">SEE - </w:t>
      </w:r>
      <w:r w:rsidR="00220AB1" w:rsidRPr="0051698C">
        <w:rPr>
          <w:rFonts w:ascii="Arial" w:hAnsi="Arial" w:cs="Arial"/>
          <w:sz w:val="22"/>
          <w:szCs w:val="22"/>
        </w:rPr>
        <w:t>Empresas Supervisadas</w:t>
      </w:r>
      <w:r w:rsidR="00550746" w:rsidRPr="0051698C">
        <w:rPr>
          <w:rFonts w:ascii="Arial" w:hAnsi="Arial" w:cs="Arial"/>
          <w:bCs/>
          <w:sz w:val="22"/>
          <w:szCs w:val="22"/>
        </w:rPr>
        <w:t xml:space="preserve"> una nota electrónica</w:t>
      </w:r>
      <w:r w:rsidR="00550746" w:rsidRPr="0051698C">
        <w:rPr>
          <w:rFonts w:ascii="Arial" w:hAnsi="Arial" w:cs="Arial"/>
          <w:sz w:val="22"/>
          <w:szCs w:val="22"/>
        </w:rPr>
        <w:t xml:space="preserve"> respecto de</w:t>
      </w:r>
      <w:r w:rsidR="00444982" w:rsidRPr="0051698C">
        <w:rPr>
          <w:rFonts w:ascii="Arial" w:hAnsi="Arial" w:cs="Arial"/>
          <w:sz w:val="22"/>
          <w:szCs w:val="22"/>
        </w:rPr>
        <w:t xml:space="preserve"> </w:t>
      </w:r>
      <w:r w:rsidR="00B23C93" w:rsidRPr="0051698C">
        <w:rPr>
          <w:rFonts w:ascii="Arial" w:hAnsi="Arial" w:cs="Arial"/>
          <w:sz w:val="22"/>
          <w:szCs w:val="22"/>
        </w:rPr>
        <w:t xml:space="preserve">un </w:t>
      </w:r>
      <w:r w:rsidR="008F4CB2" w:rsidRPr="0051698C">
        <w:rPr>
          <w:rFonts w:ascii="Arial" w:hAnsi="Arial" w:cs="Arial"/>
          <w:sz w:val="22"/>
          <w:szCs w:val="22"/>
        </w:rPr>
        <w:t>comprobante de pago electrónico</w:t>
      </w:r>
      <w:r w:rsidR="006A1DAA" w:rsidRPr="0051698C">
        <w:rPr>
          <w:rFonts w:ascii="Arial" w:hAnsi="Arial" w:cs="Arial"/>
          <w:sz w:val="22"/>
          <w:szCs w:val="22"/>
        </w:rPr>
        <w:t xml:space="preserve"> emitido a través del SEE – Del contribuyente</w:t>
      </w:r>
      <w:r w:rsidR="00993D6A" w:rsidRPr="0051698C">
        <w:rPr>
          <w:rFonts w:ascii="Arial" w:hAnsi="Arial" w:cs="Arial"/>
          <w:sz w:val="22"/>
          <w:szCs w:val="22"/>
        </w:rPr>
        <w:t xml:space="preserve"> que</w:t>
      </w:r>
      <w:r w:rsidR="00DD224D" w:rsidRPr="0051698C">
        <w:rPr>
          <w:rFonts w:ascii="Arial" w:hAnsi="Arial" w:cs="Arial"/>
          <w:sz w:val="22"/>
          <w:szCs w:val="22"/>
        </w:rPr>
        <w:t xml:space="preserve"> cuent</w:t>
      </w:r>
      <w:r w:rsidR="008F4CB2" w:rsidRPr="0051698C">
        <w:rPr>
          <w:rFonts w:ascii="Arial" w:hAnsi="Arial" w:cs="Arial"/>
          <w:sz w:val="22"/>
          <w:szCs w:val="22"/>
        </w:rPr>
        <w:t xml:space="preserve">e con </w:t>
      </w:r>
      <w:r w:rsidR="006A1DAA" w:rsidRPr="0051698C">
        <w:rPr>
          <w:rFonts w:ascii="Arial" w:hAnsi="Arial" w:cs="Arial"/>
          <w:sz w:val="22"/>
          <w:szCs w:val="22"/>
        </w:rPr>
        <w:t xml:space="preserve">una constancia de recepción con </w:t>
      </w:r>
      <w:r w:rsidR="008F4CB2" w:rsidRPr="0051698C">
        <w:rPr>
          <w:rFonts w:ascii="Arial" w:hAnsi="Arial" w:cs="Arial"/>
          <w:sz w:val="22"/>
          <w:szCs w:val="22"/>
        </w:rPr>
        <w:t>el estado aceptado</w:t>
      </w:r>
      <w:r w:rsidR="00AF5047" w:rsidRPr="0051698C">
        <w:rPr>
          <w:rFonts w:ascii="Arial" w:hAnsi="Arial" w:cs="Arial"/>
          <w:sz w:val="22"/>
          <w:szCs w:val="22"/>
        </w:rPr>
        <w:t xml:space="preserve"> </w:t>
      </w:r>
      <w:r w:rsidR="00550746" w:rsidRPr="0051698C">
        <w:rPr>
          <w:rFonts w:ascii="Arial" w:hAnsi="Arial" w:cs="Arial"/>
          <w:sz w:val="22"/>
          <w:szCs w:val="22"/>
        </w:rPr>
        <w:t>o</w:t>
      </w:r>
      <w:r w:rsidR="00460754" w:rsidRPr="0051698C">
        <w:rPr>
          <w:rFonts w:ascii="Arial" w:hAnsi="Arial" w:cs="Arial"/>
          <w:sz w:val="22"/>
          <w:szCs w:val="22"/>
        </w:rPr>
        <w:t xml:space="preserve"> respecto del documento autorizado que emit</w:t>
      </w:r>
      <w:r w:rsidR="0072612D" w:rsidRPr="0051698C">
        <w:rPr>
          <w:rFonts w:ascii="Arial" w:hAnsi="Arial" w:cs="Arial"/>
          <w:sz w:val="22"/>
          <w:szCs w:val="22"/>
        </w:rPr>
        <w:t>ió</w:t>
      </w:r>
      <w:r w:rsidR="00E013EE" w:rsidRPr="0051698C">
        <w:rPr>
          <w:rFonts w:ascii="Arial" w:hAnsi="Arial" w:cs="Arial"/>
          <w:sz w:val="22"/>
          <w:szCs w:val="22"/>
        </w:rPr>
        <w:t xml:space="preserve"> según el RCP</w:t>
      </w:r>
      <w:r w:rsidR="00CA671B" w:rsidRPr="0051698C">
        <w:rPr>
          <w:rFonts w:ascii="Arial" w:hAnsi="Arial" w:cs="Arial"/>
          <w:sz w:val="22"/>
          <w:szCs w:val="22"/>
        </w:rPr>
        <w:t xml:space="preserve"> </w:t>
      </w:r>
      <w:r w:rsidR="00741DAC" w:rsidRPr="0051698C">
        <w:rPr>
          <w:rFonts w:ascii="Arial" w:hAnsi="Arial" w:cs="Arial"/>
          <w:sz w:val="22"/>
          <w:szCs w:val="22"/>
        </w:rPr>
        <w:t xml:space="preserve">o que emita </w:t>
      </w:r>
      <w:r w:rsidR="00CA671B" w:rsidRPr="0051698C">
        <w:rPr>
          <w:rFonts w:ascii="Arial" w:hAnsi="Arial" w:cs="Arial"/>
          <w:sz w:val="22"/>
          <w:szCs w:val="22"/>
        </w:rPr>
        <w:t xml:space="preserve">conforme a lo dispuesto por </w:t>
      </w:r>
      <w:r w:rsidR="00D808F4" w:rsidRPr="0051698C">
        <w:rPr>
          <w:rFonts w:ascii="Arial" w:hAnsi="Arial" w:cs="Arial"/>
          <w:sz w:val="22"/>
          <w:szCs w:val="22"/>
        </w:rPr>
        <w:t>el artículo 4-B</w:t>
      </w:r>
      <w:r w:rsidR="00550746" w:rsidRPr="0051698C">
        <w:rPr>
          <w:rFonts w:ascii="Arial" w:hAnsi="Arial" w:cs="Arial"/>
          <w:sz w:val="22"/>
          <w:szCs w:val="22"/>
        </w:rPr>
        <w:t xml:space="preserve"> de la Resolución de Superintendencia N.° 300-2014/SUNAT y normas modificatorias</w:t>
      </w:r>
      <w:r w:rsidR="00460754" w:rsidRPr="0051698C">
        <w:rPr>
          <w:rFonts w:ascii="Arial" w:hAnsi="Arial" w:cs="Arial"/>
          <w:sz w:val="22"/>
          <w:szCs w:val="22"/>
        </w:rPr>
        <w:t>.</w:t>
      </w:r>
      <w:r w:rsidR="00BF1110" w:rsidRPr="0051698C">
        <w:rPr>
          <w:rFonts w:ascii="Arial" w:hAnsi="Arial" w:cs="Arial"/>
          <w:sz w:val="22"/>
          <w:szCs w:val="22"/>
        </w:rPr>
        <w:t xml:space="preserve"> </w:t>
      </w:r>
    </w:p>
    <w:p w:rsidR="00303A1D" w:rsidRPr="0051698C" w:rsidRDefault="00533290" w:rsidP="00901CE5">
      <w:pPr>
        <w:pStyle w:val="NormalWeb"/>
        <w:ind w:left="0"/>
        <w:rPr>
          <w:rFonts w:ascii="Arial" w:hAnsi="Arial" w:cs="Arial"/>
          <w:sz w:val="22"/>
          <w:szCs w:val="22"/>
        </w:rPr>
      </w:pPr>
      <w:r w:rsidRPr="0051698C">
        <w:rPr>
          <w:rFonts w:ascii="Arial" w:hAnsi="Arial" w:cs="Arial"/>
          <w:sz w:val="22"/>
          <w:szCs w:val="22"/>
        </w:rPr>
        <w:t xml:space="preserve">14.2 </w:t>
      </w:r>
      <w:r w:rsidR="00303A1D" w:rsidRPr="0051698C">
        <w:rPr>
          <w:rFonts w:ascii="Arial" w:hAnsi="Arial" w:cs="Arial"/>
          <w:sz w:val="22"/>
          <w:szCs w:val="22"/>
        </w:rPr>
        <w:t xml:space="preserve">A las notas electrónicas que se emitan respecto de los comprobantes de pago indicados en el párrafo anterior se les aplica la obligación de enviarlas a la SUNAT según el artículo </w:t>
      </w:r>
      <w:r w:rsidR="003F27AA" w:rsidRPr="0051698C">
        <w:rPr>
          <w:rFonts w:ascii="Arial" w:hAnsi="Arial" w:cs="Arial"/>
          <w:sz w:val="22"/>
          <w:szCs w:val="22"/>
        </w:rPr>
        <w:t>10</w:t>
      </w:r>
      <w:r w:rsidR="00303A1D" w:rsidRPr="0051698C">
        <w:rPr>
          <w:rFonts w:ascii="Arial" w:hAnsi="Arial" w:cs="Arial"/>
          <w:sz w:val="22"/>
          <w:szCs w:val="22"/>
        </w:rPr>
        <w:t>, así como las demás disposiciones referidas a las notas electrónicas que prevé esta resolución, salvo que se disponga expresamente algo distinto.</w:t>
      </w:r>
    </w:p>
    <w:p w:rsidR="00B31F3B" w:rsidRPr="0051698C" w:rsidRDefault="00460754" w:rsidP="00286D94">
      <w:pPr>
        <w:jc w:val="center"/>
        <w:rPr>
          <w:rFonts w:ascii="Arial" w:eastAsia="Times New Roman" w:hAnsi="Arial" w:cs="Arial"/>
          <w:b/>
          <w:bCs/>
          <w:color w:val="000000"/>
          <w:lang w:eastAsia="es-PE"/>
        </w:rPr>
      </w:pPr>
      <w:bookmarkStart w:id="13" w:name="JD_tculo12.-ENVOALASUN"/>
      <w:bookmarkStart w:id="14" w:name="JD_22.3.Excepci"/>
      <w:bookmarkEnd w:id="13"/>
      <w:bookmarkEnd w:id="14"/>
      <w:r w:rsidRPr="0051698C">
        <w:rPr>
          <w:rFonts w:ascii="Arial" w:eastAsia="Times New Roman" w:hAnsi="Arial" w:cs="Arial"/>
          <w:b/>
          <w:bCs/>
          <w:color w:val="000000"/>
          <w:lang w:eastAsia="es-PE"/>
        </w:rPr>
        <w:t>TÍTULO</w:t>
      </w:r>
      <w:r w:rsidR="00B31F3B" w:rsidRPr="0051698C">
        <w:rPr>
          <w:rFonts w:ascii="Arial" w:eastAsia="Times New Roman" w:hAnsi="Arial" w:cs="Arial"/>
          <w:b/>
          <w:bCs/>
          <w:color w:val="000000"/>
          <w:lang w:eastAsia="es-PE"/>
        </w:rPr>
        <w:t xml:space="preserve"> V</w:t>
      </w:r>
    </w:p>
    <w:p w:rsidR="00B31F3B" w:rsidRPr="0051698C" w:rsidRDefault="00B31F3B" w:rsidP="00B31F3B">
      <w:pPr>
        <w:jc w:val="center"/>
        <w:rPr>
          <w:rFonts w:ascii="Arial" w:eastAsia="Times New Roman" w:hAnsi="Arial" w:cs="Arial"/>
          <w:b/>
          <w:bCs/>
          <w:color w:val="000000"/>
          <w:lang w:eastAsia="es-PE"/>
        </w:rPr>
      </w:pPr>
      <w:r w:rsidRPr="0051698C">
        <w:rPr>
          <w:rFonts w:ascii="Arial" w:eastAsia="Times New Roman" w:hAnsi="Arial" w:cs="Arial"/>
          <w:b/>
          <w:bCs/>
          <w:color w:val="000000"/>
          <w:lang w:eastAsia="es-PE"/>
        </w:rPr>
        <w:t xml:space="preserve">OTRAS </w:t>
      </w:r>
      <w:r w:rsidR="00127DB0" w:rsidRPr="0051698C">
        <w:rPr>
          <w:rFonts w:ascii="Arial" w:eastAsia="Times New Roman" w:hAnsi="Arial" w:cs="Arial"/>
          <w:b/>
          <w:bCs/>
          <w:color w:val="000000"/>
          <w:lang w:eastAsia="es-PE"/>
        </w:rPr>
        <w:t>DISPOSICIONES</w:t>
      </w:r>
    </w:p>
    <w:p w:rsidR="002230CA" w:rsidRPr="0051698C" w:rsidRDefault="002230CA" w:rsidP="003A70F8">
      <w:pPr>
        <w:jc w:val="both"/>
        <w:rPr>
          <w:rFonts w:ascii="Arial" w:eastAsia="Times New Roman" w:hAnsi="Arial" w:cs="Arial"/>
          <w:b/>
          <w:bCs/>
          <w:color w:val="000000"/>
          <w:lang w:eastAsia="es-PE"/>
        </w:rPr>
      </w:pPr>
    </w:p>
    <w:p w:rsidR="003A70F8" w:rsidRPr="0051698C" w:rsidRDefault="003A70F8" w:rsidP="003A70F8">
      <w:pPr>
        <w:jc w:val="both"/>
        <w:rPr>
          <w:rFonts w:ascii="Arial" w:eastAsia="Times New Roman" w:hAnsi="Arial" w:cs="Arial"/>
          <w:b/>
          <w:bCs/>
          <w:color w:val="000000"/>
          <w:lang w:eastAsia="es-PE"/>
        </w:rPr>
      </w:pPr>
      <w:r w:rsidRPr="0051698C">
        <w:rPr>
          <w:rFonts w:ascii="Arial" w:eastAsia="Times New Roman" w:hAnsi="Arial" w:cs="Arial"/>
          <w:b/>
          <w:bCs/>
          <w:color w:val="000000"/>
          <w:lang w:eastAsia="es-PE"/>
        </w:rPr>
        <w:lastRenderedPageBreak/>
        <w:t>Artículo 15. Puesta a disposición del usuario</w:t>
      </w:r>
    </w:p>
    <w:p w:rsidR="003A70F8" w:rsidRPr="0051698C" w:rsidRDefault="003A70F8" w:rsidP="003A70F8">
      <w:pPr>
        <w:pStyle w:val="NormalWeb"/>
        <w:tabs>
          <w:tab w:val="left" w:pos="0"/>
        </w:tabs>
        <w:ind w:left="0"/>
        <w:rPr>
          <w:rFonts w:ascii="Arial" w:hAnsi="Arial" w:cs="Arial"/>
          <w:sz w:val="22"/>
          <w:szCs w:val="22"/>
        </w:rPr>
      </w:pPr>
      <w:r w:rsidRPr="0051698C">
        <w:rPr>
          <w:rFonts w:ascii="Arial" w:hAnsi="Arial" w:cs="Arial"/>
          <w:sz w:val="22"/>
          <w:szCs w:val="22"/>
          <w:lang w:val="es-PE"/>
        </w:rPr>
        <w:t>15.1 E</w:t>
      </w:r>
      <w:r w:rsidRPr="0051698C">
        <w:rPr>
          <w:rFonts w:ascii="Arial" w:hAnsi="Arial" w:cs="Arial"/>
          <w:sz w:val="22"/>
          <w:szCs w:val="22"/>
        </w:rPr>
        <w:t xml:space="preserve">l emisor electrónico debe poner a disposición del usuario, a través del medio electrónico que él decida, la información completa de los comprobantes de pago electrónicos y de las notas electrónicas que le haya otorgado, por el plazo de </w:t>
      </w:r>
      <w:r w:rsidR="000C2F3B" w:rsidRPr="0051698C">
        <w:rPr>
          <w:rFonts w:ascii="Arial" w:hAnsi="Arial" w:cs="Arial"/>
          <w:sz w:val="22"/>
          <w:szCs w:val="22"/>
        </w:rPr>
        <w:t>un año</w:t>
      </w:r>
      <w:r w:rsidRPr="0051698C">
        <w:rPr>
          <w:rFonts w:ascii="Arial" w:hAnsi="Arial" w:cs="Arial"/>
          <w:sz w:val="22"/>
          <w:szCs w:val="22"/>
        </w:rPr>
        <w:t xml:space="preserve">, contado desde la fecha de emisión de aquellos. </w:t>
      </w:r>
    </w:p>
    <w:p w:rsidR="00036DF2" w:rsidRPr="0051698C" w:rsidRDefault="003A70F8" w:rsidP="003A70F8">
      <w:pPr>
        <w:jc w:val="both"/>
        <w:rPr>
          <w:rFonts w:ascii="Arial" w:eastAsia="Times New Roman" w:hAnsi="Arial" w:cs="Arial"/>
          <w:bCs/>
          <w:color w:val="000000"/>
          <w:lang w:eastAsia="es-PE"/>
        </w:rPr>
      </w:pPr>
      <w:r w:rsidRPr="0051698C">
        <w:rPr>
          <w:rFonts w:ascii="Arial" w:hAnsi="Arial" w:cs="Arial"/>
        </w:rPr>
        <w:t xml:space="preserve">15.2 El emisor electrónico debe definir una forma </w:t>
      </w:r>
      <w:r w:rsidRPr="007009A9">
        <w:rPr>
          <w:rFonts w:ascii="Arial" w:hAnsi="Arial" w:cs="Arial"/>
        </w:rPr>
        <w:t>de autenticación que garantice que s</w:t>
      </w:r>
      <w:r w:rsidR="00824AA6" w:rsidRPr="007009A9">
        <w:rPr>
          <w:rFonts w:ascii="Arial" w:hAnsi="Arial" w:cs="Arial"/>
        </w:rPr>
        <w:t>o</w:t>
      </w:r>
      <w:r w:rsidRPr="007009A9">
        <w:rPr>
          <w:rFonts w:ascii="Arial" w:hAnsi="Arial" w:cs="Arial"/>
        </w:rPr>
        <w:t>lo el usuario podrá acceder a su información.</w:t>
      </w:r>
    </w:p>
    <w:p w:rsidR="00036DF2" w:rsidRPr="0051698C" w:rsidRDefault="00036DF2" w:rsidP="00C6741B">
      <w:pPr>
        <w:jc w:val="both"/>
        <w:rPr>
          <w:rFonts w:ascii="Arial" w:eastAsia="Times New Roman" w:hAnsi="Arial" w:cs="Arial"/>
          <w:b/>
          <w:bCs/>
          <w:color w:val="000000"/>
          <w:lang w:eastAsia="es-PE"/>
        </w:rPr>
      </w:pPr>
    </w:p>
    <w:p w:rsidR="0060308F" w:rsidRPr="0051698C" w:rsidRDefault="0060308F" w:rsidP="0060308F">
      <w:pPr>
        <w:jc w:val="both"/>
        <w:rPr>
          <w:rFonts w:ascii="Arial" w:eastAsia="Times New Roman" w:hAnsi="Arial" w:cs="Arial"/>
          <w:b/>
          <w:bCs/>
          <w:color w:val="000000"/>
          <w:lang w:eastAsia="es-PE"/>
        </w:rPr>
      </w:pPr>
      <w:r w:rsidRPr="0051698C">
        <w:rPr>
          <w:rFonts w:ascii="Arial" w:eastAsia="Times New Roman" w:hAnsi="Arial" w:cs="Arial"/>
          <w:b/>
          <w:bCs/>
          <w:color w:val="000000"/>
          <w:lang w:eastAsia="es-PE"/>
        </w:rPr>
        <w:t>Artículo 16. Pérdida de la representación impresa o digital</w:t>
      </w:r>
    </w:p>
    <w:p w:rsidR="0060308F" w:rsidRPr="0051698C" w:rsidRDefault="0060308F" w:rsidP="0060308F">
      <w:pPr>
        <w:jc w:val="both"/>
        <w:rPr>
          <w:rFonts w:ascii="Arial" w:eastAsia="Times New Roman" w:hAnsi="Arial" w:cs="Arial"/>
          <w:b/>
          <w:bCs/>
          <w:color w:val="000000"/>
          <w:lang w:eastAsia="es-PE"/>
        </w:rPr>
      </w:pPr>
    </w:p>
    <w:p w:rsidR="0060308F" w:rsidRPr="0051698C" w:rsidRDefault="0060308F" w:rsidP="0060308F">
      <w:pPr>
        <w:jc w:val="both"/>
        <w:rPr>
          <w:rFonts w:ascii="Arial" w:eastAsia="Times New Roman" w:hAnsi="Arial" w:cs="Arial"/>
          <w:bCs/>
          <w:color w:val="000000"/>
          <w:lang w:eastAsia="es-PE"/>
        </w:rPr>
      </w:pPr>
      <w:r w:rsidRPr="0051698C">
        <w:rPr>
          <w:rFonts w:ascii="Arial" w:eastAsia="Times New Roman" w:hAnsi="Arial" w:cs="Arial"/>
          <w:bCs/>
          <w:color w:val="000000"/>
          <w:lang w:eastAsia="es-PE"/>
        </w:rPr>
        <w:t>En caso de pérdida, destrucción por siniestro, asaltos y otros de la representación impresa o digital del comprobante de pago electrónico o de la nota electrónica, el usuario puede solicitar al emisor electrónico que le extienda una nueva representación impresa o digital.</w:t>
      </w:r>
    </w:p>
    <w:p w:rsidR="0060308F" w:rsidRPr="0051698C" w:rsidRDefault="0060308F" w:rsidP="00C6741B">
      <w:pPr>
        <w:jc w:val="both"/>
        <w:rPr>
          <w:rFonts w:ascii="Arial" w:eastAsia="Times New Roman" w:hAnsi="Arial" w:cs="Arial"/>
          <w:b/>
          <w:bCs/>
          <w:color w:val="000000"/>
          <w:lang w:eastAsia="es-PE"/>
        </w:rPr>
      </w:pPr>
    </w:p>
    <w:p w:rsidR="003A70F8" w:rsidRPr="0051698C" w:rsidRDefault="003A70F8" w:rsidP="003A70F8">
      <w:pPr>
        <w:jc w:val="both"/>
        <w:rPr>
          <w:rFonts w:ascii="Arial" w:eastAsia="Times New Roman" w:hAnsi="Arial" w:cs="Arial"/>
          <w:color w:val="000000"/>
          <w:lang w:eastAsia="es-PE"/>
        </w:rPr>
      </w:pPr>
      <w:r w:rsidRPr="0051698C">
        <w:rPr>
          <w:rFonts w:ascii="Arial" w:eastAsia="Times New Roman" w:hAnsi="Arial" w:cs="Arial"/>
          <w:b/>
          <w:bCs/>
          <w:color w:val="000000"/>
          <w:lang w:eastAsia="es-PE"/>
        </w:rPr>
        <w:t>Artículo 1</w:t>
      </w:r>
      <w:r w:rsidR="0060308F" w:rsidRPr="0051698C">
        <w:rPr>
          <w:rFonts w:ascii="Arial" w:eastAsia="Times New Roman" w:hAnsi="Arial" w:cs="Arial"/>
          <w:b/>
          <w:bCs/>
          <w:color w:val="000000"/>
          <w:lang w:eastAsia="es-PE"/>
        </w:rPr>
        <w:t>7</w:t>
      </w:r>
      <w:r w:rsidRPr="0051698C">
        <w:rPr>
          <w:rFonts w:ascii="Arial" w:eastAsia="Times New Roman" w:hAnsi="Arial" w:cs="Arial"/>
          <w:b/>
          <w:bCs/>
          <w:color w:val="000000"/>
          <w:lang w:eastAsia="es-PE"/>
        </w:rPr>
        <w:t xml:space="preserve">. Consulta </w:t>
      </w:r>
    </w:p>
    <w:p w:rsidR="003A70F8" w:rsidRPr="0051698C" w:rsidRDefault="003A70F8" w:rsidP="003A70F8">
      <w:pPr>
        <w:jc w:val="both"/>
        <w:rPr>
          <w:rFonts w:ascii="Arial" w:eastAsia="Times New Roman" w:hAnsi="Arial" w:cs="Arial"/>
          <w:color w:val="000000"/>
          <w:lang w:eastAsia="es-PE"/>
        </w:rPr>
      </w:pPr>
    </w:p>
    <w:p w:rsidR="003A70F8" w:rsidRPr="0051698C" w:rsidRDefault="003A70F8" w:rsidP="003A70F8">
      <w:pPr>
        <w:jc w:val="both"/>
        <w:rPr>
          <w:rFonts w:ascii="Arial" w:eastAsia="Times New Roman" w:hAnsi="Arial" w:cs="Arial"/>
          <w:color w:val="000000"/>
          <w:lang w:eastAsia="es-PE"/>
        </w:rPr>
      </w:pPr>
      <w:r w:rsidRPr="0051698C">
        <w:rPr>
          <w:rFonts w:ascii="Arial" w:eastAsia="Times New Roman" w:hAnsi="Arial" w:cs="Arial"/>
          <w:color w:val="000000"/>
          <w:lang w:eastAsia="es-PE"/>
        </w:rPr>
        <w:t>1</w:t>
      </w:r>
      <w:r w:rsidR="006B1CF1" w:rsidRPr="0051698C">
        <w:rPr>
          <w:rFonts w:ascii="Arial" w:eastAsia="Times New Roman" w:hAnsi="Arial" w:cs="Arial"/>
          <w:color w:val="000000"/>
          <w:lang w:eastAsia="es-PE"/>
        </w:rPr>
        <w:t>7</w:t>
      </w:r>
      <w:r w:rsidRPr="0051698C">
        <w:rPr>
          <w:rFonts w:ascii="Arial" w:eastAsia="Times New Roman" w:hAnsi="Arial" w:cs="Arial"/>
          <w:color w:val="000000"/>
          <w:lang w:eastAsia="es-PE"/>
        </w:rPr>
        <w:t>.1 La SUNAT mediante SUNAT Virtual pone a disposición del emisor electrónico y del usuario la posibilidad de consultar:</w:t>
      </w:r>
    </w:p>
    <w:p w:rsidR="003A70F8" w:rsidRPr="0051698C" w:rsidRDefault="003A70F8" w:rsidP="003A70F8">
      <w:pPr>
        <w:jc w:val="both"/>
        <w:rPr>
          <w:rFonts w:ascii="Arial" w:eastAsia="Times New Roman" w:hAnsi="Arial" w:cs="Arial"/>
          <w:color w:val="000000"/>
          <w:lang w:eastAsia="es-PE"/>
        </w:rPr>
      </w:pPr>
    </w:p>
    <w:p w:rsidR="003A70F8" w:rsidRPr="0051698C" w:rsidRDefault="003A70F8" w:rsidP="003A70F8">
      <w:pPr>
        <w:pStyle w:val="Prrafodelista"/>
        <w:numPr>
          <w:ilvl w:val="0"/>
          <w:numId w:val="7"/>
        </w:numPr>
        <w:tabs>
          <w:tab w:val="left" w:pos="284"/>
        </w:tabs>
        <w:ind w:left="0" w:firstLine="0"/>
        <w:jc w:val="both"/>
        <w:rPr>
          <w:rFonts w:ascii="Arial" w:eastAsia="Times New Roman" w:hAnsi="Arial" w:cs="Arial"/>
          <w:color w:val="000000"/>
          <w:lang w:eastAsia="es-PE"/>
        </w:rPr>
      </w:pPr>
      <w:r w:rsidRPr="0051698C">
        <w:rPr>
          <w:rFonts w:ascii="Arial" w:eastAsia="Times New Roman" w:hAnsi="Arial" w:cs="Arial"/>
          <w:color w:val="000000"/>
          <w:lang w:eastAsia="es-PE"/>
        </w:rPr>
        <w:t xml:space="preserve">Si los documentos electrónicos emitidos en el SEE – </w:t>
      </w:r>
      <w:r w:rsidR="00220AB1" w:rsidRPr="0051698C">
        <w:rPr>
          <w:rFonts w:ascii="Arial" w:hAnsi="Arial" w:cs="Arial"/>
        </w:rPr>
        <w:t>Empresas Supervisadas</w:t>
      </w:r>
      <w:r w:rsidRPr="0051698C">
        <w:rPr>
          <w:rFonts w:ascii="Arial" w:eastAsia="Times New Roman" w:hAnsi="Arial" w:cs="Arial"/>
          <w:color w:val="000000"/>
          <w:lang w:eastAsia="es-PE"/>
        </w:rPr>
        <w:t xml:space="preserve"> cumplen con las condiciones de emisión respectivas.</w:t>
      </w:r>
    </w:p>
    <w:p w:rsidR="003A70F8" w:rsidRPr="0051698C" w:rsidRDefault="003A70F8" w:rsidP="003A70F8">
      <w:pPr>
        <w:pStyle w:val="Prrafodelista"/>
        <w:numPr>
          <w:ilvl w:val="0"/>
          <w:numId w:val="7"/>
        </w:numPr>
        <w:tabs>
          <w:tab w:val="left" w:pos="284"/>
        </w:tabs>
        <w:ind w:left="0" w:firstLine="0"/>
        <w:jc w:val="both"/>
        <w:rPr>
          <w:rFonts w:ascii="Arial" w:eastAsia="Times New Roman" w:hAnsi="Arial" w:cs="Arial"/>
          <w:color w:val="000000"/>
          <w:lang w:eastAsia="es-PE"/>
        </w:rPr>
      </w:pPr>
      <w:r w:rsidRPr="0051698C">
        <w:rPr>
          <w:rFonts w:ascii="Arial" w:eastAsia="Times New Roman" w:hAnsi="Arial" w:cs="Arial"/>
          <w:color w:val="000000"/>
          <w:lang w:eastAsia="es-PE"/>
        </w:rPr>
        <w:t xml:space="preserve">La información consignada sobre las condiciones de emisión y los requisitos mínimos de lo emitido en el SEE - </w:t>
      </w:r>
      <w:r w:rsidR="00220AB1" w:rsidRPr="0051698C">
        <w:rPr>
          <w:rFonts w:ascii="Arial" w:eastAsia="Times New Roman" w:hAnsi="Arial" w:cs="Arial"/>
          <w:color w:val="000000"/>
          <w:lang w:eastAsia="es-PE"/>
        </w:rPr>
        <w:t>Empresas Supervisadas</w:t>
      </w:r>
      <w:r w:rsidRPr="0051698C">
        <w:rPr>
          <w:rFonts w:ascii="Arial" w:eastAsia="Times New Roman" w:hAnsi="Arial" w:cs="Arial"/>
          <w:color w:val="000000"/>
          <w:lang w:eastAsia="es-PE"/>
        </w:rPr>
        <w:t xml:space="preserve">. </w:t>
      </w:r>
    </w:p>
    <w:p w:rsidR="003A70F8" w:rsidRPr="0051698C" w:rsidRDefault="003A70F8" w:rsidP="003A70F8">
      <w:pPr>
        <w:pStyle w:val="Prrafodelista"/>
        <w:jc w:val="both"/>
        <w:rPr>
          <w:rFonts w:ascii="Arial" w:eastAsia="Times New Roman" w:hAnsi="Arial" w:cs="Arial"/>
          <w:color w:val="000000"/>
          <w:lang w:eastAsia="es-PE"/>
        </w:rPr>
      </w:pPr>
    </w:p>
    <w:p w:rsidR="003A70F8" w:rsidRPr="0051698C" w:rsidRDefault="003A70F8" w:rsidP="003A70F8">
      <w:pPr>
        <w:tabs>
          <w:tab w:val="left" w:pos="567"/>
        </w:tabs>
        <w:jc w:val="both"/>
        <w:rPr>
          <w:rFonts w:ascii="Arial" w:eastAsia="Times New Roman" w:hAnsi="Arial" w:cs="Arial"/>
          <w:color w:val="000000"/>
          <w:lang w:eastAsia="es-PE"/>
        </w:rPr>
      </w:pPr>
      <w:r w:rsidRPr="0051698C">
        <w:rPr>
          <w:rFonts w:ascii="Arial" w:eastAsia="Times New Roman" w:hAnsi="Arial" w:cs="Arial"/>
          <w:lang w:eastAsia="es-PE"/>
        </w:rPr>
        <w:t>1</w:t>
      </w:r>
      <w:r w:rsidR="006B1CF1" w:rsidRPr="0051698C">
        <w:rPr>
          <w:rFonts w:ascii="Arial" w:eastAsia="Times New Roman" w:hAnsi="Arial" w:cs="Arial"/>
          <w:lang w:eastAsia="es-PE"/>
        </w:rPr>
        <w:t>7</w:t>
      </w:r>
      <w:r w:rsidRPr="0051698C">
        <w:rPr>
          <w:rFonts w:ascii="Arial" w:eastAsia="Times New Roman" w:hAnsi="Arial" w:cs="Arial"/>
          <w:lang w:eastAsia="es-PE"/>
        </w:rPr>
        <w:t>.</w:t>
      </w:r>
      <w:r w:rsidR="006B1CF1" w:rsidRPr="0051698C">
        <w:rPr>
          <w:rFonts w:ascii="Arial" w:eastAsia="Times New Roman" w:hAnsi="Arial" w:cs="Arial"/>
          <w:lang w:eastAsia="es-PE"/>
        </w:rPr>
        <w:t>2</w:t>
      </w:r>
      <w:r w:rsidRPr="0051698C">
        <w:rPr>
          <w:rFonts w:ascii="Arial" w:eastAsia="Times New Roman" w:hAnsi="Arial" w:cs="Arial"/>
          <w:lang w:eastAsia="es-PE"/>
        </w:rPr>
        <w:t xml:space="preserve"> Se debe tener clave SOL para realizar lo indicado en </w:t>
      </w:r>
      <w:r w:rsidR="006B1CF1" w:rsidRPr="0051698C">
        <w:rPr>
          <w:rFonts w:ascii="Arial" w:eastAsia="Times New Roman" w:hAnsi="Arial" w:cs="Arial"/>
          <w:lang w:eastAsia="es-PE"/>
        </w:rPr>
        <w:t>el</w:t>
      </w:r>
      <w:r w:rsidRPr="0051698C">
        <w:rPr>
          <w:rFonts w:ascii="Arial" w:eastAsia="Times New Roman" w:hAnsi="Arial" w:cs="Arial"/>
          <w:lang w:eastAsia="es-PE"/>
        </w:rPr>
        <w:t xml:space="preserve"> párrafo 1</w:t>
      </w:r>
      <w:r w:rsidR="00B546BB" w:rsidRPr="0051698C">
        <w:rPr>
          <w:rFonts w:ascii="Arial" w:eastAsia="Times New Roman" w:hAnsi="Arial" w:cs="Arial"/>
          <w:lang w:eastAsia="es-PE"/>
        </w:rPr>
        <w:t>7</w:t>
      </w:r>
      <w:r w:rsidRPr="0051698C">
        <w:rPr>
          <w:rFonts w:ascii="Arial" w:eastAsia="Times New Roman" w:hAnsi="Arial" w:cs="Arial"/>
          <w:lang w:eastAsia="es-PE"/>
        </w:rPr>
        <w:t xml:space="preserve">.1. </w:t>
      </w:r>
    </w:p>
    <w:p w:rsidR="00BD67C3" w:rsidRPr="0051698C" w:rsidRDefault="00BD67C3" w:rsidP="00C374A4">
      <w:pPr>
        <w:jc w:val="center"/>
        <w:rPr>
          <w:rFonts w:ascii="Arial" w:eastAsia="Times New Roman" w:hAnsi="Arial" w:cs="Arial"/>
          <w:b/>
          <w:bCs/>
          <w:color w:val="000000"/>
          <w:lang w:eastAsia="es-PE"/>
        </w:rPr>
      </w:pPr>
      <w:bookmarkStart w:id="15" w:name="JD_TTULOIV-"/>
      <w:bookmarkEnd w:id="15"/>
    </w:p>
    <w:p w:rsidR="0051698C" w:rsidRDefault="0051698C" w:rsidP="00C374A4">
      <w:pPr>
        <w:jc w:val="center"/>
        <w:rPr>
          <w:rFonts w:ascii="Arial" w:eastAsia="Times New Roman" w:hAnsi="Arial" w:cs="Arial"/>
          <w:b/>
          <w:bCs/>
          <w:color w:val="000000"/>
          <w:lang w:eastAsia="es-PE"/>
        </w:rPr>
      </w:pPr>
    </w:p>
    <w:p w:rsidR="0051698C" w:rsidRDefault="0051698C" w:rsidP="00C374A4">
      <w:pPr>
        <w:jc w:val="center"/>
        <w:rPr>
          <w:rFonts w:ascii="Arial" w:eastAsia="Times New Roman" w:hAnsi="Arial" w:cs="Arial"/>
          <w:b/>
          <w:bCs/>
          <w:color w:val="000000"/>
          <w:lang w:eastAsia="es-PE"/>
        </w:rPr>
      </w:pPr>
    </w:p>
    <w:p w:rsidR="0051698C" w:rsidRDefault="0051698C" w:rsidP="00C374A4">
      <w:pPr>
        <w:jc w:val="center"/>
        <w:rPr>
          <w:rFonts w:ascii="Arial" w:eastAsia="Times New Roman" w:hAnsi="Arial" w:cs="Arial"/>
          <w:b/>
          <w:bCs/>
          <w:color w:val="000000"/>
          <w:lang w:eastAsia="es-PE"/>
        </w:rPr>
      </w:pPr>
    </w:p>
    <w:p w:rsidR="0051698C" w:rsidRDefault="0051698C" w:rsidP="00C374A4">
      <w:pPr>
        <w:jc w:val="center"/>
        <w:rPr>
          <w:rFonts w:ascii="Arial" w:eastAsia="Times New Roman" w:hAnsi="Arial" w:cs="Arial"/>
          <w:b/>
          <w:bCs/>
          <w:color w:val="000000"/>
          <w:lang w:eastAsia="es-PE"/>
        </w:rPr>
      </w:pPr>
    </w:p>
    <w:p w:rsidR="00BA6308" w:rsidRPr="0051698C" w:rsidRDefault="00762673" w:rsidP="00C374A4">
      <w:pPr>
        <w:jc w:val="center"/>
        <w:rPr>
          <w:rFonts w:ascii="Arial" w:eastAsia="Times New Roman" w:hAnsi="Arial" w:cs="Arial"/>
          <w:color w:val="000000"/>
          <w:lang w:eastAsia="es-PE"/>
        </w:rPr>
      </w:pPr>
      <w:r w:rsidRPr="0051698C">
        <w:rPr>
          <w:rFonts w:ascii="Arial" w:eastAsia="Times New Roman" w:hAnsi="Arial" w:cs="Arial"/>
          <w:b/>
          <w:bCs/>
          <w:color w:val="000000"/>
          <w:lang w:eastAsia="es-PE"/>
        </w:rPr>
        <w:t>TÍTULO V</w:t>
      </w:r>
      <w:r w:rsidR="004F15C9" w:rsidRPr="0051698C">
        <w:rPr>
          <w:rFonts w:ascii="Arial" w:eastAsia="Times New Roman" w:hAnsi="Arial" w:cs="Arial"/>
          <w:b/>
          <w:bCs/>
          <w:color w:val="000000"/>
          <w:lang w:eastAsia="es-PE"/>
        </w:rPr>
        <w:t>I</w:t>
      </w:r>
    </w:p>
    <w:p w:rsidR="00BA6308" w:rsidRPr="0051698C" w:rsidRDefault="00BA6308" w:rsidP="00A87A9D">
      <w:pPr>
        <w:jc w:val="center"/>
        <w:rPr>
          <w:rFonts w:ascii="Arial" w:eastAsia="Times New Roman" w:hAnsi="Arial" w:cs="Arial"/>
          <w:color w:val="000000"/>
          <w:lang w:eastAsia="es-PE"/>
        </w:rPr>
      </w:pPr>
      <w:bookmarkStart w:id="16" w:name="JD_anexos-R097-2012-SUNAT"/>
      <w:bookmarkEnd w:id="16"/>
      <w:r w:rsidRPr="0051698C">
        <w:rPr>
          <w:rFonts w:ascii="Arial" w:eastAsia="Times New Roman" w:hAnsi="Arial" w:cs="Arial"/>
          <w:b/>
          <w:bCs/>
          <w:color w:val="000000"/>
          <w:lang w:eastAsia="es-PE"/>
        </w:rPr>
        <w:t>DE LOS ANEXOS</w:t>
      </w:r>
    </w:p>
    <w:p w:rsidR="00BD67C3" w:rsidRPr="0051698C" w:rsidRDefault="00BD67C3" w:rsidP="00BA6308">
      <w:pPr>
        <w:jc w:val="both"/>
        <w:rPr>
          <w:rFonts w:ascii="Arial" w:eastAsia="Times New Roman" w:hAnsi="Arial" w:cs="Arial"/>
          <w:b/>
          <w:bCs/>
          <w:color w:val="000000"/>
          <w:lang w:eastAsia="es-PE"/>
        </w:rPr>
      </w:pPr>
      <w:bookmarkStart w:id="17" w:name="JD_ANEXOS"/>
      <w:bookmarkEnd w:id="17"/>
    </w:p>
    <w:p w:rsidR="00BA6308" w:rsidRPr="0051698C" w:rsidRDefault="00BA6308" w:rsidP="00BA6308">
      <w:pPr>
        <w:jc w:val="both"/>
        <w:rPr>
          <w:rFonts w:ascii="Arial" w:eastAsia="Times New Roman" w:hAnsi="Arial" w:cs="Arial"/>
          <w:color w:val="000000"/>
          <w:lang w:eastAsia="es-PE"/>
        </w:rPr>
      </w:pPr>
      <w:r w:rsidRPr="0051698C">
        <w:rPr>
          <w:rFonts w:ascii="Arial" w:eastAsia="Times New Roman" w:hAnsi="Arial" w:cs="Arial"/>
          <w:b/>
          <w:bCs/>
          <w:color w:val="000000"/>
          <w:lang w:eastAsia="es-PE"/>
        </w:rPr>
        <w:t xml:space="preserve">Artículo </w:t>
      </w:r>
      <w:r w:rsidR="00046275" w:rsidRPr="0051698C">
        <w:rPr>
          <w:rFonts w:ascii="Arial" w:eastAsia="Times New Roman" w:hAnsi="Arial" w:cs="Arial"/>
          <w:b/>
          <w:bCs/>
          <w:color w:val="000000"/>
          <w:lang w:eastAsia="es-PE"/>
        </w:rPr>
        <w:t>1</w:t>
      </w:r>
      <w:r w:rsidR="0060308F" w:rsidRPr="0051698C">
        <w:rPr>
          <w:rFonts w:ascii="Arial" w:eastAsia="Times New Roman" w:hAnsi="Arial" w:cs="Arial"/>
          <w:b/>
          <w:bCs/>
          <w:color w:val="000000"/>
          <w:lang w:eastAsia="es-PE"/>
        </w:rPr>
        <w:t>8</w:t>
      </w:r>
      <w:r w:rsidRPr="0051698C">
        <w:rPr>
          <w:rFonts w:ascii="Arial" w:eastAsia="Times New Roman" w:hAnsi="Arial" w:cs="Arial"/>
          <w:b/>
          <w:bCs/>
          <w:color w:val="000000"/>
          <w:lang w:eastAsia="es-PE"/>
        </w:rPr>
        <w:t xml:space="preserve">. </w:t>
      </w:r>
      <w:r w:rsidR="008F60A6" w:rsidRPr="0051698C">
        <w:rPr>
          <w:rFonts w:ascii="Arial" w:eastAsia="Times New Roman" w:hAnsi="Arial" w:cs="Arial"/>
          <w:b/>
          <w:bCs/>
          <w:color w:val="000000"/>
          <w:lang w:eastAsia="es-PE"/>
        </w:rPr>
        <w:t>De la aprobación de los anexos</w:t>
      </w:r>
    </w:p>
    <w:p w:rsidR="00A875AE" w:rsidRPr="0051698C" w:rsidRDefault="00A875AE" w:rsidP="00BA6308">
      <w:pPr>
        <w:jc w:val="both"/>
        <w:rPr>
          <w:rFonts w:ascii="Arial" w:eastAsia="Times New Roman" w:hAnsi="Arial" w:cs="Arial"/>
          <w:bCs/>
          <w:i/>
          <w:color w:val="000000"/>
          <w:lang w:eastAsia="es-PE"/>
        </w:rPr>
      </w:pPr>
    </w:p>
    <w:p w:rsidR="00BA6308" w:rsidRPr="0051698C" w:rsidRDefault="00BA6308" w:rsidP="00BA6308">
      <w:pPr>
        <w:jc w:val="both"/>
        <w:rPr>
          <w:rFonts w:ascii="Arial" w:eastAsia="Times New Roman" w:hAnsi="Arial" w:cs="Arial"/>
          <w:color w:val="000000"/>
          <w:lang w:eastAsia="es-PE"/>
        </w:rPr>
      </w:pPr>
      <w:r w:rsidRPr="0051698C">
        <w:rPr>
          <w:rFonts w:ascii="Arial" w:eastAsia="Times New Roman" w:hAnsi="Arial" w:cs="Arial"/>
          <w:color w:val="000000"/>
          <w:lang w:eastAsia="es-PE"/>
        </w:rPr>
        <w:t>Apruébese los siguientes anexos</w:t>
      </w:r>
      <w:r w:rsidR="0038731A" w:rsidRPr="0051698C">
        <w:rPr>
          <w:rFonts w:ascii="Arial" w:eastAsia="Times New Roman" w:hAnsi="Arial" w:cs="Arial"/>
          <w:color w:val="000000"/>
          <w:lang w:eastAsia="es-PE"/>
        </w:rPr>
        <w:t xml:space="preserve"> en el SEE – Empresas Supervisadas, según los anexos I y II de la presente resolución</w:t>
      </w:r>
      <w:r w:rsidRPr="0051698C">
        <w:rPr>
          <w:rFonts w:ascii="Arial" w:eastAsia="Times New Roman" w:hAnsi="Arial" w:cs="Arial"/>
          <w:color w:val="000000"/>
          <w:lang w:eastAsia="es-PE"/>
        </w:rPr>
        <w:t>:</w:t>
      </w:r>
    </w:p>
    <w:p w:rsidR="00A875AE" w:rsidRPr="0051698C" w:rsidRDefault="00A875AE" w:rsidP="00BA6308">
      <w:pPr>
        <w:jc w:val="both"/>
        <w:rPr>
          <w:rFonts w:ascii="Arial" w:eastAsia="Times New Roman" w:hAnsi="Arial" w:cs="Arial"/>
          <w:color w:val="000000"/>
          <w:lang w:eastAsia="es-PE"/>
        </w:rPr>
      </w:pPr>
    </w:p>
    <w:tbl>
      <w:tblPr>
        <w:tblpPr w:leftFromText="141" w:rightFromText="141" w:vertAnchor="text" w:tblpY="1"/>
        <w:tblOverlap w:val="never"/>
        <w:tblW w:w="7620" w:type="dxa"/>
        <w:tblCellSpacing w:w="0" w:type="dxa"/>
        <w:tblCellMar>
          <w:top w:w="60" w:type="dxa"/>
          <w:left w:w="60" w:type="dxa"/>
          <w:bottom w:w="60" w:type="dxa"/>
          <w:right w:w="60" w:type="dxa"/>
        </w:tblCellMar>
        <w:tblLook w:val="04A0" w:firstRow="1" w:lastRow="0" w:firstColumn="1" w:lastColumn="0" w:noHBand="0" w:noVBand="1"/>
      </w:tblPr>
      <w:tblGrid>
        <w:gridCol w:w="570"/>
        <w:gridCol w:w="1695"/>
        <w:gridCol w:w="435"/>
        <w:gridCol w:w="4920"/>
      </w:tblGrid>
      <w:tr w:rsidR="00BA6308" w:rsidRPr="0051698C" w:rsidTr="00B95101">
        <w:trPr>
          <w:tblCellSpacing w:w="0" w:type="dxa"/>
        </w:trPr>
        <w:tc>
          <w:tcPr>
            <w:tcW w:w="570" w:type="dxa"/>
            <w:vAlign w:val="center"/>
            <w:hideMark/>
          </w:tcPr>
          <w:p w:rsidR="00BA6308" w:rsidRPr="0051698C" w:rsidRDefault="00BA6308" w:rsidP="00B95101">
            <w:pPr>
              <w:jc w:val="both"/>
              <w:rPr>
                <w:rFonts w:ascii="Arial" w:eastAsia="Times New Roman" w:hAnsi="Arial" w:cs="Arial"/>
                <w:color w:val="000000"/>
                <w:lang w:eastAsia="es-PE"/>
              </w:rPr>
            </w:pPr>
            <w:r w:rsidRPr="0051698C">
              <w:rPr>
                <w:rFonts w:ascii="Arial" w:eastAsia="Times New Roman" w:hAnsi="Arial" w:cs="Arial"/>
                <w:iCs/>
                <w:color w:val="000000"/>
                <w:lang w:eastAsia="es-PE"/>
              </w:rPr>
              <w:t>a)</w:t>
            </w:r>
          </w:p>
        </w:tc>
        <w:tc>
          <w:tcPr>
            <w:tcW w:w="1695" w:type="dxa"/>
            <w:vAlign w:val="center"/>
            <w:hideMark/>
          </w:tcPr>
          <w:p w:rsidR="00BA6308" w:rsidRPr="0051698C" w:rsidRDefault="0038731A" w:rsidP="0038731A">
            <w:pPr>
              <w:jc w:val="both"/>
              <w:rPr>
                <w:rFonts w:ascii="Arial" w:eastAsia="Times New Roman" w:hAnsi="Arial" w:cs="Arial"/>
                <w:color w:val="000000"/>
                <w:lang w:eastAsia="es-PE"/>
              </w:rPr>
            </w:pPr>
            <w:r w:rsidRPr="0051698C">
              <w:rPr>
                <w:rFonts w:ascii="Arial" w:eastAsia="Times New Roman" w:hAnsi="Arial" w:cs="Arial"/>
                <w:color w:val="000000"/>
                <w:lang w:eastAsia="es-PE"/>
              </w:rPr>
              <w:t>Anexo N.° 1</w:t>
            </w:r>
          </w:p>
        </w:tc>
        <w:tc>
          <w:tcPr>
            <w:tcW w:w="435" w:type="dxa"/>
            <w:hideMark/>
          </w:tcPr>
          <w:p w:rsidR="00BA6308" w:rsidRPr="0051698C" w:rsidRDefault="00BA6308" w:rsidP="00B95101">
            <w:pPr>
              <w:jc w:val="both"/>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4920" w:type="dxa"/>
            <w:vAlign w:val="center"/>
            <w:hideMark/>
          </w:tcPr>
          <w:p w:rsidR="00BA6308" w:rsidRPr="0051698C" w:rsidRDefault="00520569" w:rsidP="009B6C0D">
            <w:pPr>
              <w:jc w:val="both"/>
              <w:rPr>
                <w:rFonts w:ascii="Arial" w:eastAsia="Times New Roman" w:hAnsi="Arial" w:cs="Arial"/>
                <w:color w:val="000000"/>
                <w:lang w:eastAsia="es-PE"/>
              </w:rPr>
            </w:pPr>
            <w:r w:rsidRPr="0051698C">
              <w:rPr>
                <w:rFonts w:ascii="Arial" w:eastAsia="Times New Roman" w:hAnsi="Arial" w:cs="Arial"/>
                <w:color w:val="000000"/>
                <w:lang w:eastAsia="es-PE"/>
              </w:rPr>
              <w:t xml:space="preserve">Recibo </w:t>
            </w:r>
            <w:r w:rsidR="009B6C0D" w:rsidRPr="0051698C">
              <w:rPr>
                <w:rFonts w:ascii="Arial" w:eastAsia="Times New Roman" w:hAnsi="Arial" w:cs="Arial"/>
                <w:color w:val="000000"/>
                <w:lang w:eastAsia="es-PE"/>
              </w:rPr>
              <w:t xml:space="preserve">electrónico </w:t>
            </w:r>
            <w:r w:rsidRPr="0051698C">
              <w:rPr>
                <w:rFonts w:ascii="Arial" w:eastAsia="Times New Roman" w:hAnsi="Arial" w:cs="Arial"/>
                <w:color w:val="000000"/>
                <w:lang w:eastAsia="es-PE"/>
              </w:rPr>
              <w:t>por servicios públicos</w:t>
            </w:r>
            <w:r w:rsidR="00B132FF" w:rsidRPr="0051698C">
              <w:rPr>
                <w:rFonts w:ascii="Arial" w:eastAsia="Times New Roman" w:hAnsi="Arial" w:cs="Arial"/>
                <w:color w:val="000000"/>
                <w:lang w:eastAsia="es-PE"/>
              </w:rPr>
              <w:t xml:space="preserve"> (recibo electrónico SP)</w:t>
            </w:r>
            <w:r w:rsidRPr="0051698C">
              <w:rPr>
                <w:rFonts w:ascii="Arial" w:eastAsia="Times New Roman" w:hAnsi="Arial" w:cs="Arial"/>
                <w:color w:val="000000"/>
                <w:lang w:eastAsia="es-PE"/>
              </w:rPr>
              <w:t xml:space="preserve"> y notas</w:t>
            </w:r>
            <w:r w:rsidR="009B6C0D" w:rsidRPr="0051698C">
              <w:rPr>
                <w:rFonts w:ascii="Arial" w:eastAsia="Times New Roman" w:hAnsi="Arial" w:cs="Arial"/>
                <w:color w:val="000000"/>
                <w:lang w:eastAsia="es-PE"/>
              </w:rPr>
              <w:t xml:space="preserve"> electrónicas</w:t>
            </w:r>
            <w:r w:rsidR="00BA6308" w:rsidRPr="0051698C">
              <w:rPr>
                <w:rFonts w:ascii="Arial" w:eastAsia="Times New Roman" w:hAnsi="Arial" w:cs="Arial"/>
                <w:color w:val="000000"/>
                <w:lang w:eastAsia="es-PE"/>
              </w:rPr>
              <w:t xml:space="preserve"> </w:t>
            </w:r>
          </w:p>
        </w:tc>
      </w:tr>
      <w:tr w:rsidR="00BA6308" w:rsidRPr="0051698C" w:rsidTr="00B95101">
        <w:trPr>
          <w:tblCellSpacing w:w="0" w:type="dxa"/>
        </w:trPr>
        <w:tc>
          <w:tcPr>
            <w:tcW w:w="570" w:type="dxa"/>
            <w:vAlign w:val="center"/>
            <w:hideMark/>
          </w:tcPr>
          <w:p w:rsidR="00BA6308" w:rsidRPr="0051698C" w:rsidRDefault="00BA6308" w:rsidP="00B95101">
            <w:pPr>
              <w:jc w:val="both"/>
              <w:rPr>
                <w:rFonts w:ascii="Arial" w:eastAsia="Times New Roman" w:hAnsi="Arial" w:cs="Arial"/>
                <w:color w:val="000000"/>
                <w:lang w:eastAsia="es-PE"/>
              </w:rPr>
            </w:pPr>
            <w:r w:rsidRPr="0051698C">
              <w:rPr>
                <w:rFonts w:ascii="Arial" w:eastAsia="Times New Roman" w:hAnsi="Arial" w:cs="Arial"/>
                <w:iCs/>
                <w:color w:val="000000"/>
                <w:lang w:eastAsia="es-PE"/>
              </w:rPr>
              <w:t>b)</w:t>
            </w:r>
          </w:p>
        </w:tc>
        <w:tc>
          <w:tcPr>
            <w:tcW w:w="1695" w:type="dxa"/>
            <w:vAlign w:val="center"/>
            <w:hideMark/>
          </w:tcPr>
          <w:p w:rsidR="00BA6308" w:rsidRPr="0051698C" w:rsidRDefault="00BA6308" w:rsidP="0038731A">
            <w:pPr>
              <w:jc w:val="both"/>
              <w:rPr>
                <w:rFonts w:ascii="Arial" w:eastAsia="Times New Roman" w:hAnsi="Arial" w:cs="Arial"/>
                <w:color w:val="000000"/>
                <w:lang w:eastAsia="es-PE"/>
              </w:rPr>
            </w:pPr>
            <w:r w:rsidRPr="0051698C">
              <w:rPr>
                <w:rFonts w:ascii="Arial" w:eastAsia="Times New Roman" w:hAnsi="Arial" w:cs="Arial"/>
                <w:color w:val="000000"/>
                <w:lang w:eastAsia="es-PE"/>
              </w:rPr>
              <w:t xml:space="preserve">Anexo </w:t>
            </w:r>
            <w:r w:rsidR="0038731A" w:rsidRPr="0051698C">
              <w:rPr>
                <w:rFonts w:ascii="Arial" w:eastAsia="Times New Roman" w:hAnsi="Arial" w:cs="Arial"/>
                <w:color w:val="000000"/>
                <w:lang w:eastAsia="es-PE"/>
              </w:rPr>
              <w:t>N.° 2</w:t>
            </w:r>
          </w:p>
        </w:tc>
        <w:tc>
          <w:tcPr>
            <w:tcW w:w="435" w:type="dxa"/>
            <w:hideMark/>
          </w:tcPr>
          <w:p w:rsidR="00BA6308" w:rsidRPr="0051698C" w:rsidRDefault="00BA6308" w:rsidP="00B95101">
            <w:pPr>
              <w:jc w:val="both"/>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4920" w:type="dxa"/>
            <w:vAlign w:val="center"/>
            <w:hideMark/>
          </w:tcPr>
          <w:p w:rsidR="00BA6308" w:rsidRPr="0051698C" w:rsidRDefault="009A1C8B" w:rsidP="00520569">
            <w:pPr>
              <w:jc w:val="both"/>
              <w:rPr>
                <w:rFonts w:ascii="Arial" w:eastAsia="Times New Roman" w:hAnsi="Arial" w:cs="Arial"/>
                <w:color w:val="000000"/>
                <w:lang w:eastAsia="es-PE"/>
              </w:rPr>
            </w:pPr>
            <w:r w:rsidRPr="0051698C">
              <w:rPr>
                <w:rFonts w:ascii="Arial" w:eastAsia="Times New Roman" w:hAnsi="Arial" w:cs="Arial"/>
                <w:color w:val="000000"/>
                <w:lang w:eastAsia="es-PE"/>
              </w:rPr>
              <w:t>Baja</w:t>
            </w:r>
            <w:r w:rsidR="00520569" w:rsidRPr="0051698C">
              <w:rPr>
                <w:rFonts w:ascii="Arial" w:eastAsia="Times New Roman" w:hAnsi="Arial" w:cs="Arial"/>
                <w:color w:val="000000"/>
                <w:lang w:eastAsia="es-PE"/>
              </w:rPr>
              <w:t xml:space="preserve"> del recibo</w:t>
            </w:r>
            <w:r w:rsidR="007D0E5B" w:rsidRPr="0051698C">
              <w:rPr>
                <w:rFonts w:ascii="Arial" w:eastAsia="Times New Roman" w:hAnsi="Arial" w:cs="Arial"/>
                <w:color w:val="000000"/>
                <w:lang w:eastAsia="es-PE"/>
              </w:rPr>
              <w:t xml:space="preserve"> electrónico</w:t>
            </w:r>
            <w:r w:rsidR="00520569" w:rsidRPr="0051698C">
              <w:rPr>
                <w:rFonts w:ascii="Arial" w:eastAsia="Times New Roman" w:hAnsi="Arial" w:cs="Arial"/>
                <w:color w:val="000000"/>
                <w:lang w:eastAsia="es-PE"/>
              </w:rPr>
              <w:t xml:space="preserve"> por servicios públicos</w:t>
            </w:r>
            <w:r w:rsidR="00B132FF" w:rsidRPr="0051698C">
              <w:rPr>
                <w:rFonts w:ascii="Arial" w:eastAsia="Times New Roman" w:hAnsi="Arial" w:cs="Arial"/>
                <w:color w:val="000000"/>
                <w:lang w:eastAsia="es-PE"/>
              </w:rPr>
              <w:t xml:space="preserve"> (recibo electrónico SP)</w:t>
            </w:r>
            <w:r w:rsidR="00520569" w:rsidRPr="0051698C">
              <w:rPr>
                <w:rFonts w:ascii="Arial" w:eastAsia="Times New Roman" w:hAnsi="Arial" w:cs="Arial"/>
                <w:color w:val="000000"/>
                <w:lang w:eastAsia="es-PE"/>
              </w:rPr>
              <w:t xml:space="preserve"> y notas</w:t>
            </w:r>
            <w:r w:rsidR="00BA6308" w:rsidRPr="0051698C">
              <w:rPr>
                <w:rFonts w:ascii="Arial" w:eastAsia="Times New Roman" w:hAnsi="Arial" w:cs="Arial"/>
                <w:color w:val="000000"/>
                <w:lang w:eastAsia="es-PE"/>
              </w:rPr>
              <w:t xml:space="preserve"> </w:t>
            </w:r>
            <w:r w:rsidR="007D0E5B" w:rsidRPr="0051698C">
              <w:rPr>
                <w:rFonts w:ascii="Arial" w:eastAsia="Times New Roman" w:hAnsi="Arial" w:cs="Arial"/>
                <w:color w:val="000000"/>
                <w:lang w:eastAsia="es-PE"/>
              </w:rPr>
              <w:t>electrónicas</w:t>
            </w:r>
          </w:p>
        </w:tc>
      </w:tr>
    </w:tbl>
    <w:p w:rsidR="00972455" w:rsidRPr="0051698C" w:rsidRDefault="00B95101" w:rsidP="00972455">
      <w:pPr>
        <w:jc w:val="both"/>
        <w:rPr>
          <w:rFonts w:ascii="Arial" w:eastAsia="Times New Roman" w:hAnsi="Arial" w:cs="Arial"/>
          <w:color w:val="000000"/>
          <w:lang w:eastAsia="es-PE"/>
        </w:rPr>
      </w:pPr>
      <w:r w:rsidRPr="0051698C">
        <w:rPr>
          <w:rFonts w:ascii="Arial" w:eastAsia="Times New Roman" w:hAnsi="Arial" w:cs="Arial"/>
          <w:color w:val="000000"/>
          <w:lang w:eastAsia="es-PE"/>
        </w:rPr>
        <w:br w:type="textWrapping" w:clear="all"/>
      </w:r>
    </w:p>
    <w:p w:rsidR="009C53DB" w:rsidRPr="0051698C" w:rsidRDefault="00BA6308" w:rsidP="00523CC8">
      <w:pPr>
        <w:jc w:val="center"/>
        <w:rPr>
          <w:rFonts w:ascii="Arial" w:eastAsia="Times New Roman" w:hAnsi="Arial" w:cs="Arial"/>
          <w:color w:val="000000"/>
          <w:lang w:eastAsia="es-PE"/>
        </w:rPr>
      </w:pPr>
      <w:r w:rsidRPr="0051698C">
        <w:rPr>
          <w:rFonts w:ascii="Arial" w:eastAsia="Times New Roman" w:hAnsi="Arial" w:cs="Arial"/>
          <w:b/>
          <w:bCs/>
          <w:color w:val="000000"/>
          <w:lang w:eastAsia="es-PE"/>
        </w:rPr>
        <w:t>DISPOSICI</w:t>
      </w:r>
      <w:r w:rsidR="005C564C" w:rsidRPr="0051698C">
        <w:rPr>
          <w:rFonts w:ascii="Arial" w:eastAsia="Times New Roman" w:hAnsi="Arial" w:cs="Arial"/>
          <w:b/>
          <w:bCs/>
          <w:color w:val="000000"/>
          <w:lang w:eastAsia="es-PE"/>
        </w:rPr>
        <w:t>ONES</w:t>
      </w:r>
      <w:r w:rsidRPr="0051698C">
        <w:rPr>
          <w:rFonts w:ascii="Arial" w:eastAsia="Times New Roman" w:hAnsi="Arial" w:cs="Arial"/>
          <w:b/>
          <w:bCs/>
          <w:color w:val="000000"/>
          <w:lang w:eastAsia="es-PE"/>
        </w:rPr>
        <w:t xml:space="preserve"> COMPLEMENTARIA</w:t>
      </w:r>
      <w:r w:rsidR="005C564C" w:rsidRPr="0051698C">
        <w:rPr>
          <w:rFonts w:ascii="Arial" w:eastAsia="Times New Roman" w:hAnsi="Arial" w:cs="Arial"/>
          <w:b/>
          <w:bCs/>
          <w:color w:val="000000"/>
          <w:lang w:eastAsia="es-PE"/>
        </w:rPr>
        <w:t>S</w:t>
      </w:r>
      <w:r w:rsidRPr="0051698C">
        <w:rPr>
          <w:rFonts w:ascii="Arial" w:eastAsia="Times New Roman" w:hAnsi="Arial" w:cs="Arial"/>
          <w:b/>
          <w:bCs/>
          <w:color w:val="000000"/>
          <w:lang w:eastAsia="es-PE"/>
        </w:rPr>
        <w:t xml:space="preserve"> FINAL</w:t>
      </w:r>
      <w:r w:rsidR="005C564C" w:rsidRPr="0051698C">
        <w:rPr>
          <w:rFonts w:ascii="Arial" w:eastAsia="Times New Roman" w:hAnsi="Arial" w:cs="Arial"/>
          <w:b/>
          <w:bCs/>
          <w:color w:val="000000"/>
          <w:lang w:eastAsia="es-PE"/>
        </w:rPr>
        <w:t>ES</w:t>
      </w:r>
    </w:p>
    <w:p w:rsidR="009C53DB" w:rsidRPr="0051698C" w:rsidRDefault="009C53DB" w:rsidP="009C53DB">
      <w:pPr>
        <w:rPr>
          <w:rFonts w:ascii="Arial" w:eastAsia="Times New Roman" w:hAnsi="Arial" w:cs="Arial"/>
          <w:color w:val="000000"/>
          <w:lang w:eastAsia="es-PE"/>
        </w:rPr>
      </w:pPr>
    </w:p>
    <w:p w:rsidR="00BA6308" w:rsidRPr="0051698C" w:rsidRDefault="005C564C" w:rsidP="009C53DB">
      <w:pPr>
        <w:rPr>
          <w:rFonts w:ascii="Arial" w:eastAsia="Times New Roman" w:hAnsi="Arial" w:cs="Arial"/>
          <w:color w:val="000000"/>
          <w:lang w:eastAsia="es-PE"/>
        </w:rPr>
      </w:pPr>
      <w:r w:rsidRPr="0051698C">
        <w:rPr>
          <w:rFonts w:ascii="Arial" w:eastAsia="Times New Roman" w:hAnsi="Arial" w:cs="Arial"/>
          <w:b/>
          <w:bCs/>
          <w:color w:val="000000"/>
          <w:lang w:eastAsia="es-PE"/>
        </w:rPr>
        <w:t>PRIMERA</w:t>
      </w:r>
      <w:r w:rsidR="00BA6308" w:rsidRPr="0051698C">
        <w:rPr>
          <w:rFonts w:ascii="Arial" w:eastAsia="Times New Roman" w:hAnsi="Arial" w:cs="Arial"/>
          <w:b/>
          <w:bCs/>
          <w:color w:val="000000"/>
          <w:lang w:eastAsia="es-PE"/>
        </w:rPr>
        <w:t>.- V</w:t>
      </w:r>
      <w:r w:rsidR="00E936C1" w:rsidRPr="0051698C">
        <w:rPr>
          <w:rFonts w:ascii="Arial" w:eastAsia="Times New Roman" w:hAnsi="Arial" w:cs="Arial"/>
          <w:b/>
          <w:bCs/>
          <w:color w:val="000000"/>
          <w:lang w:eastAsia="es-PE"/>
        </w:rPr>
        <w:t>igencia</w:t>
      </w:r>
    </w:p>
    <w:p w:rsidR="009C53DB" w:rsidRPr="0051698C" w:rsidRDefault="009C53DB" w:rsidP="00BA6308">
      <w:pPr>
        <w:jc w:val="both"/>
        <w:rPr>
          <w:rFonts w:ascii="Arial" w:eastAsia="Times New Roman" w:hAnsi="Arial" w:cs="Arial"/>
          <w:color w:val="000000"/>
          <w:lang w:eastAsia="es-PE"/>
        </w:rPr>
      </w:pPr>
    </w:p>
    <w:p w:rsidR="009D1B19" w:rsidRPr="0051698C" w:rsidRDefault="00F34F02" w:rsidP="00BA6308">
      <w:pPr>
        <w:jc w:val="both"/>
        <w:rPr>
          <w:rFonts w:ascii="Arial" w:eastAsia="Times New Roman" w:hAnsi="Arial" w:cs="Arial"/>
          <w:color w:val="000000"/>
          <w:lang w:eastAsia="es-PE"/>
        </w:rPr>
      </w:pPr>
      <w:r w:rsidRPr="0051698C">
        <w:rPr>
          <w:rFonts w:ascii="Arial" w:eastAsia="Times New Roman" w:hAnsi="Arial" w:cs="Arial"/>
          <w:color w:val="000000"/>
          <w:lang w:eastAsia="es-PE"/>
        </w:rPr>
        <w:t>La presente resolución entra</w:t>
      </w:r>
      <w:r w:rsidR="00BA6308" w:rsidRPr="0051698C">
        <w:rPr>
          <w:rFonts w:ascii="Arial" w:eastAsia="Times New Roman" w:hAnsi="Arial" w:cs="Arial"/>
          <w:color w:val="000000"/>
          <w:lang w:eastAsia="es-PE"/>
        </w:rPr>
        <w:t xml:space="preserve"> en vigencia el </w:t>
      </w:r>
      <w:r w:rsidR="00453A8F" w:rsidRPr="0051698C">
        <w:rPr>
          <w:rFonts w:ascii="Arial" w:eastAsia="Times New Roman" w:hAnsi="Arial" w:cs="Arial"/>
          <w:color w:val="000000"/>
          <w:lang w:eastAsia="es-PE"/>
        </w:rPr>
        <w:t>1</w:t>
      </w:r>
      <w:r w:rsidR="00464C95" w:rsidRPr="0051698C">
        <w:rPr>
          <w:rFonts w:ascii="Arial" w:eastAsia="Times New Roman" w:hAnsi="Arial" w:cs="Arial"/>
          <w:color w:val="000000"/>
          <w:lang w:eastAsia="es-PE"/>
        </w:rPr>
        <w:t xml:space="preserve"> de </w:t>
      </w:r>
      <w:r w:rsidR="00453A8F" w:rsidRPr="0051698C">
        <w:rPr>
          <w:rFonts w:ascii="Arial" w:eastAsia="Times New Roman" w:hAnsi="Arial" w:cs="Arial"/>
          <w:color w:val="000000"/>
          <w:lang w:eastAsia="es-PE"/>
        </w:rPr>
        <w:t>noviembre</w:t>
      </w:r>
      <w:r w:rsidR="00972455" w:rsidRPr="0051698C">
        <w:rPr>
          <w:rFonts w:ascii="Arial" w:eastAsia="Times New Roman" w:hAnsi="Arial" w:cs="Arial"/>
          <w:color w:val="000000"/>
          <w:lang w:eastAsia="es-PE"/>
        </w:rPr>
        <w:t xml:space="preserve"> de 201</w:t>
      </w:r>
      <w:r w:rsidR="00DB35DC" w:rsidRPr="0051698C">
        <w:rPr>
          <w:rFonts w:ascii="Arial" w:eastAsia="Times New Roman" w:hAnsi="Arial" w:cs="Arial"/>
          <w:color w:val="000000"/>
          <w:lang w:eastAsia="es-PE"/>
        </w:rPr>
        <w:t>9</w:t>
      </w:r>
      <w:r w:rsidR="00520569" w:rsidRPr="0051698C">
        <w:rPr>
          <w:rFonts w:ascii="Arial" w:eastAsia="Times New Roman" w:hAnsi="Arial" w:cs="Arial"/>
          <w:color w:val="000000"/>
          <w:lang w:eastAsia="es-PE"/>
        </w:rPr>
        <w:t>.</w:t>
      </w:r>
    </w:p>
    <w:p w:rsidR="00235BD6" w:rsidRPr="0051698C" w:rsidRDefault="00235BD6" w:rsidP="00895AE9">
      <w:pPr>
        <w:pStyle w:val="Default"/>
        <w:rPr>
          <w:b/>
          <w:bCs/>
          <w:sz w:val="22"/>
          <w:szCs w:val="22"/>
        </w:rPr>
      </w:pPr>
    </w:p>
    <w:p w:rsidR="00895AE9" w:rsidRPr="0051698C" w:rsidRDefault="00A161EB" w:rsidP="00895AE9">
      <w:pPr>
        <w:pStyle w:val="Default"/>
        <w:rPr>
          <w:b/>
          <w:bCs/>
          <w:sz w:val="22"/>
          <w:szCs w:val="22"/>
        </w:rPr>
      </w:pPr>
      <w:r w:rsidRPr="0051698C">
        <w:rPr>
          <w:b/>
          <w:bCs/>
          <w:sz w:val="22"/>
          <w:szCs w:val="22"/>
        </w:rPr>
        <w:t>SEGUNDA</w:t>
      </w:r>
      <w:r w:rsidR="00895AE9" w:rsidRPr="0051698C">
        <w:rPr>
          <w:b/>
          <w:bCs/>
          <w:sz w:val="22"/>
          <w:szCs w:val="22"/>
        </w:rPr>
        <w:t xml:space="preserve">. Designación de nuevos emisores electrónicos </w:t>
      </w:r>
    </w:p>
    <w:p w:rsidR="005E0060" w:rsidRPr="0051698C" w:rsidRDefault="005E0060" w:rsidP="00895AE9">
      <w:pPr>
        <w:pStyle w:val="Default"/>
        <w:rPr>
          <w:b/>
          <w:bCs/>
          <w:sz w:val="22"/>
          <w:szCs w:val="22"/>
        </w:rPr>
      </w:pPr>
    </w:p>
    <w:p w:rsidR="005E0060" w:rsidRPr="0051698C" w:rsidRDefault="00166D2F" w:rsidP="00895AE9">
      <w:pPr>
        <w:pStyle w:val="Default"/>
        <w:rPr>
          <w:sz w:val="22"/>
          <w:szCs w:val="22"/>
        </w:rPr>
      </w:pPr>
      <w:r w:rsidRPr="0051698C">
        <w:rPr>
          <w:sz w:val="22"/>
          <w:szCs w:val="22"/>
        </w:rPr>
        <w:t xml:space="preserve">2.1 </w:t>
      </w:r>
      <w:proofErr w:type="spellStart"/>
      <w:r w:rsidR="005E0060" w:rsidRPr="0051698C">
        <w:rPr>
          <w:sz w:val="22"/>
          <w:szCs w:val="22"/>
        </w:rPr>
        <w:t>Desígnase</w:t>
      </w:r>
      <w:proofErr w:type="spellEnd"/>
      <w:r w:rsidR="005E0060" w:rsidRPr="0051698C">
        <w:rPr>
          <w:sz w:val="22"/>
          <w:szCs w:val="22"/>
        </w:rPr>
        <w:t xml:space="preserve"> como emisores electrónicos del SEE</w:t>
      </w:r>
      <w:r w:rsidR="00102DE0" w:rsidRPr="0051698C">
        <w:rPr>
          <w:sz w:val="22"/>
          <w:szCs w:val="22"/>
        </w:rPr>
        <w:t xml:space="preserve"> a:</w:t>
      </w:r>
    </w:p>
    <w:p w:rsidR="005E0060" w:rsidRPr="0051698C" w:rsidRDefault="005E0060" w:rsidP="00895AE9">
      <w:pPr>
        <w:pStyle w:val="Default"/>
        <w:rPr>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4820"/>
        <w:gridCol w:w="2977"/>
      </w:tblGrid>
      <w:tr w:rsidR="005E0060" w:rsidRPr="0051698C" w:rsidTr="003D5350">
        <w:trPr>
          <w:tblHeader/>
        </w:trPr>
        <w:tc>
          <w:tcPr>
            <w:tcW w:w="675" w:type="dxa"/>
          </w:tcPr>
          <w:p w:rsidR="005E0060" w:rsidRPr="0051698C" w:rsidRDefault="005E0060" w:rsidP="00895AE9">
            <w:pPr>
              <w:pStyle w:val="Default"/>
              <w:rPr>
                <w:b/>
                <w:bCs/>
                <w:sz w:val="22"/>
                <w:szCs w:val="22"/>
              </w:rPr>
            </w:pPr>
          </w:p>
        </w:tc>
        <w:tc>
          <w:tcPr>
            <w:tcW w:w="4820" w:type="dxa"/>
          </w:tcPr>
          <w:p w:rsidR="005E0060" w:rsidRPr="0051698C" w:rsidRDefault="005E0060" w:rsidP="005E0060">
            <w:pPr>
              <w:pStyle w:val="Default"/>
              <w:jc w:val="center"/>
              <w:rPr>
                <w:b/>
                <w:bCs/>
                <w:sz w:val="22"/>
                <w:szCs w:val="22"/>
              </w:rPr>
            </w:pPr>
            <w:r w:rsidRPr="0051698C">
              <w:rPr>
                <w:b/>
                <w:bCs/>
                <w:sz w:val="22"/>
                <w:szCs w:val="22"/>
              </w:rPr>
              <w:t>Sujeto</w:t>
            </w:r>
          </w:p>
        </w:tc>
        <w:tc>
          <w:tcPr>
            <w:tcW w:w="2977" w:type="dxa"/>
          </w:tcPr>
          <w:p w:rsidR="005E0060" w:rsidRPr="0051698C" w:rsidRDefault="005E0060" w:rsidP="005E0060">
            <w:pPr>
              <w:pStyle w:val="Default"/>
              <w:jc w:val="center"/>
              <w:rPr>
                <w:b/>
                <w:bCs/>
                <w:sz w:val="22"/>
                <w:szCs w:val="22"/>
              </w:rPr>
            </w:pPr>
            <w:r w:rsidRPr="0051698C">
              <w:rPr>
                <w:b/>
                <w:bCs/>
                <w:sz w:val="22"/>
                <w:szCs w:val="22"/>
              </w:rPr>
              <w:t>Operaciones comprendidas</w:t>
            </w:r>
          </w:p>
        </w:tc>
      </w:tr>
      <w:tr w:rsidR="005E0060" w:rsidRPr="0051698C" w:rsidTr="003D5350">
        <w:tc>
          <w:tcPr>
            <w:tcW w:w="675" w:type="dxa"/>
          </w:tcPr>
          <w:p w:rsidR="005E0060" w:rsidRPr="0051698C" w:rsidRDefault="005E0060" w:rsidP="003225C4">
            <w:pPr>
              <w:pStyle w:val="Default"/>
              <w:jc w:val="both"/>
              <w:rPr>
                <w:bCs/>
                <w:sz w:val="22"/>
                <w:szCs w:val="22"/>
              </w:rPr>
            </w:pPr>
            <w:r w:rsidRPr="0051698C">
              <w:rPr>
                <w:bCs/>
                <w:sz w:val="22"/>
                <w:szCs w:val="22"/>
              </w:rPr>
              <w:t>a)</w:t>
            </w:r>
          </w:p>
        </w:tc>
        <w:tc>
          <w:tcPr>
            <w:tcW w:w="4820" w:type="dxa"/>
          </w:tcPr>
          <w:p w:rsidR="00CE23F6" w:rsidRPr="0051698C" w:rsidRDefault="003225C4" w:rsidP="00CE23F6">
            <w:pPr>
              <w:pStyle w:val="Default"/>
              <w:jc w:val="both"/>
              <w:rPr>
                <w:sz w:val="22"/>
                <w:szCs w:val="22"/>
              </w:rPr>
            </w:pPr>
            <w:r w:rsidRPr="0051698C">
              <w:rPr>
                <w:sz w:val="22"/>
                <w:szCs w:val="22"/>
              </w:rPr>
              <w:t>Las empresas que prestan los servicios públicos de suministro de energía eléctrica</w:t>
            </w:r>
            <w:r w:rsidR="00CE23F6" w:rsidRPr="0051698C">
              <w:rPr>
                <w:sz w:val="22"/>
                <w:szCs w:val="22"/>
              </w:rPr>
              <w:t xml:space="preserve"> y</w:t>
            </w:r>
            <w:r w:rsidRPr="0051698C">
              <w:rPr>
                <w:sz w:val="22"/>
                <w:szCs w:val="22"/>
              </w:rPr>
              <w:t xml:space="preserve"> agua</w:t>
            </w:r>
            <w:r w:rsidR="00CE23F6" w:rsidRPr="0051698C">
              <w:rPr>
                <w:sz w:val="22"/>
                <w:szCs w:val="22"/>
              </w:rPr>
              <w:t>.</w:t>
            </w:r>
          </w:p>
          <w:p w:rsidR="005E0060" w:rsidRPr="0051698C" w:rsidRDefault="003225C4" w:rsidP="00CE23F6">
            <w:pPr>
              <w:pStyle w:val="Default"/>
              <w:jc w:val="both"/>
              <w:rPr>
                <w:b/>
                <w:bCs/>
                <w:sz w:val="22"/>
                <w:szCs w:val="22"/>
              </w:rPr>
            </w:pPr>
            <w:r w:rsidRPr="0051698C">
              <w:rPr>
                <w:sz w:val="22"/>
                <w:szCs w:val="22"/>
              </w:rPr>
              <w:t xml:space="preserve"> </w:t>
            </w:r>
          </w:p>
        </w:tc>
        <w:tc>
          <w:tcPr>
            <w:tcW w:w="2977" w:type="dxa"/>
          </w:tcPr>
          <w:p w:rsidR="00166D2F" w:rsidRPr="0051698C" w:rsidRDefault="003225C4" w:rsidP="00BF1110">
            <w:pPr>
              <w:pStyle w:val="Default"/>
              <w:jc w:val="both"/>
              <w:rPr>
                <w:b/>
                <w:bCs/>
                <w:color w:val="FF0000"/>
                <w:sz w:val="22"/>
                <w:szCs w:val="22"/>
              </w:rPr>
            </w:pPr>
            <w:r w:rsidRPr="0051698C">
              <w:rPr>
                <w:bCs/>
                <w:sz w:val="22"/>
                <w:szCs w:val="22"/>
              </w:rPr>
              <w:t>El suministro de energía eléctrica</w:t>
            </w:r>
            <w:r w:rsidR="00CE23F6" w:rsidRPr="0051698C">
              <w:rPr>
                <w:bCs/>
                <w:sz w:val="22"/>
                <w:szCs w:val="22"/>
              </w:rPr>
              <w:t xml:space="preserve"> y</w:t>
            </w:r>
            <w:r w:rsidRPr="0051698C">
              <w:rPr>
                <w:bCs/>
                <w:sz w:val="22"/>
                <w:szCs w:val="22"/>
              </w:rPr>
              <w:t xml:space="preserve"> el suministro de agua</w:t>
            </w:r>
            <w:r w:rsidR="00CE23F6" w:rsidRPr="0051698C">
              <w:rPr>
                <w:bCs/>
                <w:sz w:val="22"/>
                <w:szCs w:val="22"/>
              </w:rPr>
              <w:t>.</w:t>
            </w:r>
            <w:r w:rsidRPr="0051698C">
              <w:rPr>
                <w:bCs/>
                <w:sz w:val="22"/>
                <w:szCs w:val="22"/>
              </w:rPr>
              <w:t xml:space="preserve"> </w:t>
            </w:r>
          </w:p>
        </w:tc>
      </w:tr>
      <w:tr w:rsidR="00CE23F6" w:rsidRPr="0051698C" w:rsidTr="003D5350">
        <w:tc>
          <w:tcPr>
            <w:tcW w:w="675" w:type="dxa"/>
          </w:tcPr>
          <w:p w:rsidR="00CE23F6" w:rsidRPr="0051698C" w:rsidRDefault="00CE23F6" w:rsidP="003225C4">
            <w:pPr>
              <w:pStyle w:val="Default"/>
              <w:jc w:val="both"/>
              <w:rPr>
                <w:bCs/>
                <w:sz w:val="22"/>
                <w:szCs w:val="22"/>
              </w:rPr>
            </w:pPr>
            <w:r w:rsidRPr="0051698C">
              <w:rPr>
                <w:bCs/>
                <w:sz w:val="22"/>
                <w:szCs w:val="22"/>
              </w:rPr>
              <w:t>b)</w:t>
            </w:r>
          </w:p>
        </w:tc>
        <w:tc>
          <w:tcPr>
            <w:tcW w:w="4820" w:type="dxa"/>
          </w:tcPr>
          <w:p w:rsidR="00CE23F6" w:rsidRPr="0051698C" w:rsidRDefault="00CE23F6" w:rsidP="00CE23F6">
            <w:pPr>
              <w:pStyle w:val="Default"/>
              <w:jc w:val="both"/>
              <w:rPr>
                <w:sz w:val="22"/>
                <w:szCs w:val="22"/>
              </w:rPr>
            </w:pPr>
            <w:r w:rsidRPr="0051698C">
              <w:rPr>
                <w:sz w:val="22"/>
                <w:szCs w:val="22"/>
              </w:rPr>
              <w:t>Las empresas que prestan el servicio público de telecomunicaciones que se encuentr</w:t>
            </w:r>
            <w:r w:rsidR="00232502" w:rsidRPr="0051698C">
              <w:rPr>
                <w:sz w:val="22"/>
                <w:szCs w:val="22"/>
              </w:rPr>
              <w:t>e</w:t>
            </w:r>
            <w:r w:rsidRPr="0051698C">
              <w:rPr>
                <w:sz w:val="22"/>
                <w:szCs w:val="22"/>
              </w:rPr>
              <w:t>n bajo el control del Ministerio de Transportes y Comunicaciones y del Organismo Supervisor de Inversión Privada en Telecomunicaciones (OSIPTEL).</w:t>
            </w:r>
          </w:p>
          <w:p w:rsidR="00CE23F6" w:rsidRPr="0051698C" w:rsidRDefault="00CE23F6" w:rsidP="00CE23F6">
            <w:pPr>
              <w:pStyle w:val="Default"/>
              <w:jc w:val="both"/>
              <w:rPr>
                <w:sz w:val="22"/>
                <w:szCs w:val="22"/>
              </w:rPr>
            </w:pPr>
          </w:p>
        </w:tc>
        <w:tc>
          <w:tcPr>
            <w:tcW w:w="2977" w:type="dxa"/>
          </w:tcPr>
          <w:p w:rsidR="00CE23F6" w:rsidRPr="0051698C" w:rsidRDefault="00232502" w:rsidP="00CE23F6">
            <w:pPr>
              <w:pStyle w:val="Default"/>
              <w:jc w:val="both"/>
              <w:rPr>
                <w:bCs/>
                <w:sz w:val="22"/>
                <w:szCs w:val="22"/>
              </w:rPr>
            </w:pPr>
            <w:r w:rsidRPr="0051698C">
              <w:rPr>
                <w:bCs/>
                <w:sz w:val="22"/>
                <w:szCs w:val="22"/>
              </w:rPr>
              <w:t>El s</w:t>
            </w:r>
            <w:r w:rsidR="00CE23F6" w:rsidRPr="0051698C">
              <w:rPr>
                <w:bCs/>
                <w:sz w:val="22"/>
                <w:szCs w:val="22"/>
              </w:rPr>
              <w:t>ervicio</w:t>
            </w:r>
            <w:r w:rsidR="00660AC0" w:rsidRPr="0051698C">
              <w:rPr>
                <w:bCs/>
                <w:sz w:val="22"/>
                <w:szCs w:val="22"/>
              </w:rPr>
              <w:t xml:space="preserve"> público</w:t>
            </w:r>
            <w:r w:rsidR="00CE23F6" w:rsidRPr="0051698C">
              <w:rPr>
                <w:bCs/>
                <w:sz w:val="22"/>
                <w:szCs w:val="22"/>
              </w:rPr>
              <w:t xml:space="preserve"> de telecomunicaciones. </w:t>
            </w:r>
          </w:p>
          <w:p w:rsidR="00CE23F6" w:rsidRPr="0051698C" w:rsidRDefault="00CE23F6" w:rsidP="003225C4">
            <w:pPr>
              <w:pStyle w:val="Default"/>
              <w:jc w:val="both"/>
              <w:rPr>
                <w:bCs/>
                <w:sz w:val="22"/>
                <w:szCs w:val="22"/>
              </w:rPr>
            </w:pPr>
          </w:p>
        </w:tc>
      </w:tr>
      <w:tr w:rsidR="00DB35DC" w:rsidRPr="0051698C" w:rsidTr="003D5350">
        <w:tc>
          <w:tcPr>
            <w:tcW w:w="675" w:type="dxa"/>
          </w:tcPr>
          <w:p w:rsidR="00DB35DC" w:rsidRPr="0051698C" w:rsidRDefault="00B95623" w:rsidP="00B95623">
            <w:pPr>
              <w:pStyle w:val="Default"/>
              <w:jc w:val="both"/>
              <w:rPr>
                <w:bCs/>
                <w:sz w:val="22"/>
                <w:szCs w:val="22"/>
              </w:rPr>
            </w:pPr>
            <w:r w:rsidRPr="0051698C">
              <w:rPr>
                <w:bCs/>
                <w:sz w:val="22"/>
                <w:szCs w:val="22"/>
              </w:rPr>
              <w:t>c</w:t>
            </w:r>
            <w:r w:rsidR="00DB35DC" w:rsidRPr="0051698C">
              <w:rPr>
                <w:bCs/>
                <w:sz w:val="22"/>
                <w:szCs w:val="22"/>
              </w:rPr>
              <w:t>)</w:t>
            </w:r>
          </w:p>
        </w:tc>
        <w:tc>
          <w:tcPr>
            <w:tcW w:w="4820" w:type="dxa"/>
          </w:tcPr>
          <w:p w:rsidR="000E5122" w:rsidRPr="0051698C" w:rsidRDefault="00C06A9D" w:rsidP="000E5122">
            <w:pPr>
              <w:pStyle w:val="Default"/>
              <w:jc w:val="both"/>
              <w:rPr>
                <w:sz w:val="22"/>
                <w:szCs w:val="22"/>
              </w:rPr>
            </w:pPr>
            <w:r w:rsidRPr="0051698C">
              <w:rPr>
                <w:sz w:val="22"/>
                <w:szCs w:val="22"/>
              </w:rPr>
              <w:t xml:space="preserve">Las empresas </w:t>
            </w:r>
            <w:r w:rsidR="000E5122" w:rsidRPr="0051698C">
              <w:rPr>
                <w:sz w:val="22"/>
                <w:szCs w:val="22"/>
              </w:rPr>
              <w:t xml:space="preserve">suscriptoras autorizadas por OSIPTEL que prestan los servicios de la serie </w:t>
            </w:r>
          </w:p>
          <w:p w:rsidR="005C40D9" w:rsidRPr="0051698C" w:rsidRDefault="00C06A9D" w:rsidP="002E71E4">
            <w:pPr>
              <w:pStyle w:val="NormalWeb"/>
              <w:spacing w:before="0" w:beforeAutospacing="0" w:after="0" w:afterAutospacing="0"/>
              <w:ind w:left="176" w:hanging="176"/>
              <w:rPr>
                <w:rFonts w:ascii="Arial" w:hAnsi="Arial" w:cs="Arial"/>
                <w:sz w:val="22"/>
                <w:szCs w:val="22"/>
              </w:rPr>
            </w:pPr>
            <w:r w:rsidRPr="0051698C">
              <w:rPr>
                <w:rFonts w:ascii="Arial" w:hAnsi="Arial" w:cs="Arial"/>
                <w:sz w:val="22"/>
                <w:szCs w:val="22"/>
              </w:rPr>
              <w:t>80C</w:t>
            </w:r>
            <w:r w:rsidR="000E5122" w:rsidRPr="0051698C">
              <w:rPr>
                <w:rFonts w:ascii="Arial" w:hAnsi="Arial" w:cs="Arial"/>
                <w:sz w:val="22"/>
                <w:szCs w:val="22"/>
              </w:rPr>
              <w:t>.</w:t>
            </w:r>
          </w:p>
          <w:p w:rsidR="002E71E4" w:rsidRPr="0051698C" w:rsidRDefault="002E71E4" w:rsidP="002E71E4">
            <w:pPr>
              <w:pStyle w:val="NormalWeb"/>
              <w:spacing w:before="0" w:beforeAutospacing="0" w:after="0" w:afterAutospacing="0"/>
              <w:ind w:left="176" w:hanging="176"/>
              <w:rPr>
                <w:rFonts w:ascii="Arial" w:hAnsi="Arial" w:cs="Arial"/>
                <w:sz w:val="22"/>
                <w:szCs w:val="22"/>
              </w:rPr>
            </w:pPr>
          </w:p>
        </w:tc>
        <w:tc>
          <w:tcPr>
            <w:tcW w:w="2977" w:type="dxa"/>
          </w:tcPr>
          <w:p w:rsidR="00B95623" w:rsidRPr="0051698C" w:rsidRDefault="00897901" w:rsidP="002E71E4">
            <w:pPr>
              <w:pStyle w:val="Default"/>
              <w:jc w:val="both"/>
              <w:rPr>
                <w:bCs/>
                <w:sz w:val="22"/>
                <w:szCs w:val="22"/>
              </w:rPr>
            </w:pPr>
            <w:r w:rsidRPr="0051698C">
              <w:rPr>
                <w:bCs/>
                <w:sz w:val="22"/>
                <w:szCs w:val="22"/>
              </w:rPr>
              <w:t>Los servicios de la serie 80C</w:t>
            </w:r>
            <w:r w:rsidR="002E71E4" w:rsidRPr="0051698C">
              <w:rPr>
                <w:bCs/>
                <w:sz w:val="22"/>
                <w:szCs w:val="22"/>
              </w:rPr>
              <w:t>.</w:t>
            </w:r>
          </w:p>
          <w:p w:rsidR="002E71E4" w:rsidRPr="0051698C" w:rsidRDefault="002E71E4" w:rsidP="002E71E4">
            <w:pPr>
              <w:pStyle w:val="Default"/>
              <w:jc w:val="both"/>
              <w:rPr>
                <w:bCs/>
                <w:sz w:val="22"/>
                <w:szCs w:val="22"/>
                <w:lang w:val="es-ES"/>
              </w:rPr>
            </w:pPr>
          </w:p>
        </w:tc>
      </w:tr>
      <w:tr w:rsidR="000E5122" w:rsidRPr="0051698C" w:rsidTr="003D5350">
        <w:tc>
          <w:tcPr>
            <w:tcW w:w="675" w:type="dxa"/>
          </w:tcPr>
          <w:p w:rsidR="000E5122" w:rsidRPr="0051698C" w:rsidRDefault="002E71E4" w:rsidP="00B95623">
            <w:pPr>
              <w:pStyle w:val="Default"/>
              <w:jc w:val="both"/>
              <w:rPr>
                <w:bCs/>
                <w:sz w:val="22"/>
                <w:szCs w:val="22"/>
              </w:rPr>
            </w:pPr>
            <w:r w:rsidRPr="0051698C">
              <w:rPr>
                <w:bCs/>
                <w:sz w:val="22"/>
                <w:szCs w:val="22"/>
              </w:rPr>
              <w:t>d)</w:t>
            </w:r>
          </w:p>
        </w:tc>
        <w:tc>
          <w:tcPr>
            <w:tcW w:w="4820" w:type="dxa"/>
          </w:tcPr>
          <w:p w:rsidR="000E5122" w:rsidRPr="0051698C" w:rsidRDefault="002E71E4" w:rsidP="00173AC5">
            <w:pPr>
              <w:pStyle w:val="Default"/>
              <w:jc w:val="both"/>
              <w:rPr>
                <w:sz w:val="22"/>
                <w:szCs w:val="22"/>
              </w:rPr>
            </w:pPr>
            <w:r w:rsidRPr="0051698C">
              <w:rPr>
                <w:sz w:val="22"/>
                <w:szCs w:val="22"/>
              </w:rPr>
              <w:t>Las empresas concesionarias que prestan los servicios de buscapersonas utilizando la serie de numeración 16XX u otra aprobada para tal efecto por el Ministerio de Transportes y Comunicaciones.</w:t>
            </w:r>
          </w:p>
        </w:tc>
        <w:tc>
          <w:tcPr>
            <w:tcW w:w="2977" w:type="dxa"/>
          </w:tcPr>
          <w:p w:rsidR="002E71E4" w:rsidRPr="0051698C" w:rsidRDefault="002E71E4" w:rsidP="002E71E4">
            <w:pPr>
              <w:pStyle w:val="Default"/>
              <w:jc w:val="both"/>
              <w:rPr>
                <w:bCs/>
                <w:sz w:val="22"/>
                <w:szCs w:val="22"/>
              </w:rPr>
            </w:pPr>
            <w:r w:rsidRPr="0051698C">
              <w:rPr>
                <w:bCs/>
                <w:sz w:val="22"/>
                <w:szCs w:val="22"/>
              </w:rPr>
              <w:t>Los</w:t>
            </w:r>
            <w:r w:rsidR="00232502" w:rsidRPr="0051698C">
              <w:rPr>
                <w:bCs/>
                <w:sz w:val="22"/>
                <w:szCs w:val="22"/>
              </w:rPr>
              <w:t xml:space="preserve"> citados</w:t>
            </w:r>
            <w:r w:rsidRPr="0051698C">
              <w:rPr>
                <w:bCs/>
                <w:sz w:val="22"/>
                <w:szCs w:val="22"/>
              </w:rPr>
              <w:t xml:space="preserve"> servicios de buscapersonas.</w:t>
            </w:r>
          </w:p>
          <w:p w:rsidR="002E71E4" w:rsidRPr="0051698C" w:rsidRDefault="002E71E4" w:rsidP="002E71E4">
            <w:pPr>
              <w:pStyle w:val="Default"/>
              <w:jc w:val="both"/>
              <w:rPr>
                <w:bCs/>
                <w:sz w:val="22"/>
                <w:szCs w:val="22"/>
              </w:rPr>
            </w:pPr>
          </w:p>
          <w:p w:rsidR="002E71E4" w:rsidRPr="0051698C" w:rsidRDefault="002E71E4" w:rsidP="002E71E4">
            <w:pPr>
              <w:pStyle w:val="Default"/>
              <w:jc w:val="both"/>
              <w:rPr>
                <w:bCs/>
                <w:sz w:val="22"/>
                <w:szCs w:val="22"/>
              </w:rPr>
            </w:pPr>
          </w:p>
          <w:p w:rsidR="002E71E4" w:rsidRPr="0051698C" w:rsidRDefault="002E71E4" w:rsidP="002E71E4">
            <w:pPr>
              <w:pStyle w:val="Default"/>
              <w:jc w:val="both"/>
              <w:rPr>
                <w:bCs/>
                <w:sz w:val="22"/>
                <w:szCs w:val="22"/>
              </w:rPr>
            </w:pPr>
            <w:r w:rsidRPr="0051698C">
              <w:rPr>
                <w:bCs/>
                <w:sz w:val="22"/>
                <w:szCs w:val="22"/>
              </w:rPr>
              <w:t xml:space="preserve"> </w:t>
            </w:r>
          </w:p>
          <w:p w:rsidR="000E5122" w:rsidRPr="0051698C" w:rsidRDefault="000E5122" w:rsidP="002E71E4">
            <w:pPr>
              <w:pStyle w:val="Default"/>
              <w:jc w:val="both"/>
              <w:rPr>
                <w:bCs/>
                <w:sz w:val="22"/>
                <w:szCs w:val="22"/>
              </w:rPr>
            </w:pPr>
          </w:p>
        </w:tc>
      </w:tr>
      <w:tr w:rsidR="002E71E4" w:rsidRPr="0051698C" w:rsidTr="003D5350">
        <w:tc>
          <w:tcPr>
            <w:tcW w:w="675" w:type="dxa"/>
          </w:tcPr>
          <w:p w:rsidR="002E71E4" w:rsidRPr="0051698C" w:rsidRDefault="002E71E4" w:rsidP="00B95623">
            <w:pPr>
              <w:pStyle w:val="Default"/>
              <w:jc w:val="both"/>
              <w:rPr>
                <w:bCs/>
                <w:sz w:val="22"/>
                <w:szCs w:val="22"/>
              </w:rPr>
            </w:pPr>
            <w:r w:rsidRPr="0051698C">
              <w:rPr>
                <w:bCs/>
                <w:sz w:val="22"/>
                <w:szCs w:val="22"/>
              </w:rPr>
              <w:lastRenderedPageBreak/>
              <w:t>e)</w:t>
            </w:r>
          </w:p>
        </w:tc>
        <w:tc>
          <w:tcPr>
            <w:tcW w:w="4820" w:type="dxa"/>
          </w:tcPr>
          <w:p w:rsidR="002E71E4" w:rsidRPr="0051698C" w:rsidRDefault="002E71E4" w:rsidP="00173AC5">
            <w:pPr>
              <w:pStyle w:val="NormalWeb"/>
              <w:ind w:left="0"/>
              <w:rPr>
                <w:rFonts w:ascii="Arial" w:hAnsi="Arial" w:cs="Arial"/>
                <w:sz w:val="22"/>
                <w:szCs w:val="22"/>
              </w:rPr>
            </w:pPr>
            <w:r w:rsidRPr="0051698C">
              <w:rPr>
                <w:rFonts w:ascii="Arial" w:hAnsi="Arial" w:cs="Arial"/>
                <w:sz w:val="22"/>
                <w:szCs w:val="22"/>
              </w:rPr>
              <w:t>Las empresas concesionarias que prestan los servicios portadores de larga distancia nacional o internacional</w:t>
            </w:r>
            <w:r w:rsidR="00232502" w:rsidRPr="0051698C">
              <w:rPr>
                <w:rFonts w:ascii="Arial" w:hAnsi="Arial" w:cs="Arial"/>
                <w:sz w:val="22"/>
                <w:szCs w:val="22"/>
              </w:rPr>
              <w:t>,</w:t>
            </w:r>
            <w:r w:rsidRPr="0051698C">
              <w:rPr>
                <w:rFonts w:ascii="Arial" w:hAnsi="Arial" w:cs="Arial"/>
                <w:sz w:val="22"/>
                <w:szCs w:val="22"/>
              </w:rPr>
              <w:t xml:space="preserve"> </w:t>
            </w:r>
            <w:r w:rsidR="00D37826" w:rsidRPr="0051698C">
              <w:rPr>
                <w:rFonts w:ascii="Arial" w:hAnsi="Arial" w:cs="Arial"/>
                <w:sz w:val="22"/>
                <w:szCs w:val="22"/>
              </w:rPr>
              <w:t xml:space="preserve">previo acuerdo con la empresa concesionaria del servicio de telefonía o de acuerdo a lo establecido por OSIPTEL mediante Resoluciones de Consejo Directivo </w:t>
            </w:r>
            <w:proofErr w:type="spellStart"/>
            <w:r w:rsidR="00D37826" w:rsidRPr="0051698C">
              <w:rPr>
                <w:rFonts w:ascii="Arial" w:hAnsi="Arial" w:cs="Arial"/>
                <w:sz w:val="22"/>
                <w:szCs w:val="22"/>
              </w:rPr>
              <w:t>N.°</w:t>
            </w:r>
            <w:r w:rsidR="00D37826" w:rsidRPr="0051698C">
              <w:rPr>
                <w:rFonts w:ascii="Arial" w:hAnsi="Arial" w:cs="Arial"/>
                <w:sz w:val="22"/>
                <w:szCs w:val="22"/>
                <w:vertAlign w:val="superscript"/>
              </w:rPr>
              <w:t>s</w:t>
            </w:r>
            <w:proofErr w:type="spellEnd"/>
            <w:r w:rsidR="00D37826" w:rsidRPr="0051698C">
              <w:rPr>
                <w:rFonts w:ascii="Arial" w:hAnsi="Arial" w:cs="Arial"/>
                <w:sz w:val="22"/>
                <w:szCs w:val="22"/>
              </w:rPr>
              <w:t xml:space="preserve"> 061-2001-CD-OSIPTEL y 062-2001-CD-OSIPTEL.</w:t>
            </w:r>
          </w:p>
        </w:tc>
        <w:tc>
          <w:tcPr>
            <w:tcW w:w="2977" w:type="dxa"/>
          </w:tcPr>
          <w:p w:rsidR="00D37826" w:rsidRPr="0051698C" w:rsidRDefault="00D37826" w:rsidP="002E71E4">
            <w:pPr>
              <w:pStyle w:val="Default"/>
              <w:jc w:val="both"/>
              <w:rPr>
                <w:bCs/>
                <w:sz w:val="22"/>
                <w:szCs w:val="22"/>
              </w:rPr>
            </w:pPr>
            <w:r w:rsidRPr="0051698C">
              <w:rPr>
                <w:bCs/>
                <w:sz w:val="22"/>
                <w:szCs w:val="22"/>
              </w:rPr>
              <w:t>L</w:t>
            </w:r>
            <w:r w:rsidR="002E71E4" w:rsidRPr="0051698C">
              <w:rPr>
                <w:bCs/>
                <w:sz w:val="22"/>
                <w:szCs w:val="22"/>
              </w:rPr>
              <w:t>os</w:t>
            </w:r>
            <w:r w:rsidR="00232502" w:rsidRPr="0051698C">
              <w:rPr>
                <w:bCs/>
                <w:sz w:val="22"/>
                <w:szCs w:val="22"/>
              </w:rPr>
              <w:t xml:space="preserve"> citados</w:t>
            </w:r>
            <w:r w:rsidR="002E71E4" w:rsidRPr="0051698C">
              <w:rPr>
                <w:bCs/>
                <w:sz w:val="22"/>
                <w:szCs w:val="22"/>
              </w:rPr>
              <w:t xml:space="preserve"> servicios portadores de larga distancia nacional o internacional</w:t>
            </w:r>
            <w:r w:rsidRPr="0051698C">
              <w:rPr>
                <w:bCs/>
                <w:sz w:val="22"/>
                <w:szCs w:val="22"/>
              </w:rPr>
              <w:t>.</w:t>
            </w:r>
          </w:p>
          <w:p w:rsidR="00173AC5" w:rsidRPr="0051698C" w:rsidRDefault="00173AC5" w:rsidP="002E71E4">
            <w:pPr>
              <w:pStyle w:val="Default"/>
              <w:jc w:val="both"/>
              <w:rPr>
                <w:bCs/>
                <w:sz w:val="22"/>
                <w:szCs w:val="22"/>
              </w:rPr>
            </w:pPr>
          </w:p>
          <w:p w:rsidR="00D37826" w:rsidRPr="0051698C" w:rsidRDefault="00D37826" w:rsidP="002E71E4">
            <w:pPr>
              <w:pStyle w:val="Default"/>
              <w:jc w:val="both"/>
              <w:rPr>
                <w:bCs/>
                <w:sz w:val="22"/>
                <w:szCs w:val="22"/>
              </w:rPr>
            </w:pPr>
          </w:p>
          <w:p w:rsidR="00D37826" w:rsidRPr="0051698C" w:rsidRDefault="00D37826" w:rsidP="002E71E4">
            <w:pPr>
              <w:pStyle w:val="Default"/>
              <w:jc w:val="both"/>
              <w:rPr>
                <w:bCs/>
                <w:sz w:val="22"/>
                <w:szCs w:val="22"/>
              </w:rPr>
            </w:pPr>
          </w:p>
          <w:p w:rsidR="00D37826" w:rsidRPr="0051698C" w:rsidRDefault="00D37826" w:rsidP="002E71E4">
            <w:pPr>
              <w:pStyle w:val="Default"/>
              <w:jc w:val="both"/>
              <w:rPr>
                <w:bCs/>
                <w:sz w:val="22"/>
                <w:szCs w:val="22"/>
              </w:rPr>
            </w:pPr>
          </w:p>
          <w:p w:rsidR="00D37826" w:rsidRPr="0051698C" w:rsidRDefault="002E71E4" w:rsidP="00D37826">
            <w:pPr>
              <w:pStyle w:val="Default"/>
              <w:jc w:val="both"/>
              <w:rPr>
                <w:bCs/>
                <w:sz w:val="22"/>
                <w:szCs w:val="22"/>
              </w:rPr>
            </w:pPr>
            <w:r w:rsidRPr="0051698C">
              <w:rPr>
                <w:bCs/>
                <w:sz w:val="22"/>
                <w:szCs w:val="22"/>
              </w:rPr>
              <w:t xml:space="preserve"> </w:t>
            </w:r>
          </w:p>
          <w:p w:rsidR="002E71E4" w:rsidRPr="0051698C" w:rsidRDefault="002E71E4" w:rsidP="002E71E4">
            <w:pPr>
              <w:pStyle w:val="Default"/>
              <w:jc w:val="both"/>
              <w:rPr>
                <w:bCs/>
                <w:sz w:val="22"/>
                <w:szCs w:val="22"/>
              </w:rPr>
            </w:pPr>
          </w:p>
        </w:tc>
      </w:tr>
      <w:tr w:rsidR="00D37826" w:rsidRPr="0051698C" w:rsidTr="003D5350">
        <w:tc>
          <w:tcPr>
            <w:tcW w:w="675" w:type="dxa"/>
          </w:tcPr>
          <w:p w:rsidR="00D37826" w:rsidRPr="0051698C" w:rsidRDefault="00D37826" w:rsidP="00B95623">
            <w:pPr>
              <w:pStyle w:val="Default"/>
              <w:jc w:val="both"/>
              <w:rPr>
                <w:bCs/>
                <w:sz w:val="22"/>
                <w:szCs w:val="22"/>
              </w:rPr>
            </w:pPr>
            <w:r w:rsidRPr="0051698C">
              <w:rPr>
                <w:bCs/>
                <w:sz w:val="22"/>
                <w:szCs w:val="22"/>
              </w:rPr>
              <w:t>f)</w:t>
            </w:r>
          </w:p>
        </w:tc>
        <w:tc>
          <w:tcPr>
            <w:tcW w:w="4820" w:type="dxa"/>
          </w:tcPr>
          <w:p w:rsidR="00D37826" w:rsidRPr="0051698C" w:rsidRDefault="00D37826" w:rsidP="00173AC5">
            <w:pPr>
              <w:pStyle w:val="NormalWeb"/>
              <w:ind w:left="0"/>
              <w:rPr>
                <w:rFonts w:ascii="Arial" w:hAnsi="Arial" w:cs="Arial"/>
                <w:sz w:val="22"/>
                <w:szCs w:val="22"/>
              </w:rPr>
            </w:pPr>
            <w:r w:rsidRPr="0051698C">
              <w:rPr>
                <w:rFonts w:ascii="Arial" w:hAnsi="Arial" w:cs="Arial"/>
                <w:sz w:val="22"/>
                <w:szCs w:val="22"/>
              </w:rPr>
              <w:t xml:space="preserve">Los </w:t>
            </w:r>
            <w:r w:rsidR="00173AC5" w:rsidRPr="0051698C">
              <w:rPr>
                <w:rFonts w:ascii="Arial" w:hAnsi="Arial" w:cs="Arial"/>
                <w:sz w:val="22"/>
                <w:szCs w:val="22"/>
              </w:rPr>
              <w:t xml:space="preserve">operadores del servicio telefónico fijo y móvil que prestan </w:t>
            </w:r>
            <w:r w:rsidR="00570A23" w:rsidRPr="0051698C">
              <w:rPr>
                <w:rFonts w:ascii="Arial" w:hAnsi="Arial" w:cs="Arial"/>
                <w:sz w:val="22"/>
                <w:szCs w:val="22"/>
              </w:rPr>
              <w:t xml:space="preserve">los </w:t>
            </w:r>
            <w:r w:rsidRPr="0051698C">
              <w:rPr>
                <w:rFonts w:ascii="Arial" w:hAnsi="Arial" w:cs="Arial"/>
                <w:sz w:val="22"/>
                <w:szCs w:val="22"/>
              </w:rPr>
              <w:t>servicios especiales con interoperabilidad en sus redes, a través del código de numeración 15XX u otro código aprobado para tal efecto por el Ministerio de Transportes y Comunicaciones, de acuerdo con la normatividad emitida por OSIPTEL.</w:t>
            </w:r>
          </w:p>
        </w:tc>
        <w:tc>
          <w:tcPr>
            <w:tcW w:w="2977" w:type="dxa"/>
          </w:tcPr>
          <w:p w:rsidR="00D37826" w:rsidRPr="0051698C" w:rsidRDefault="00173AC5" w:rsidP="00D37826">
            <w:pPr>
              <w:pStyle w:val="Default"/>
              <w:jc w:val="both"/>
              <w:rPr>
                <w:bCs/>
                <w:sz w:val="22"/>
                <w:szCs w:val="22"/>
              </w:rPr>
            </w:pPr>
            <w:r w:rsidRPr="0051698C">
              <w:rPr>
                <w:bCs/>
                <w:sz w:val="22"/>
                <w:szCs w:val="22"/>
              </w:rPr>
              <w:t>L</w:t>
            </w:r>
            <w:r w:rsidR="00D37826" w:rsidRPr="0051698C">
              <w:rPr>
                <w:bCs/>
                <w:sz w:val="22"/>
                <w:szCs w:val="22"/>
              </w:rPr>
              <w:t xml:space="preserve">os </w:t>
            </w:r>
            <w:r w:rsidR="00570A23" w:rsidRPr="0051698C">
              <w:rPr>
                <w:bCs/>
                <w:sz w:val="22"/>
                <w:szCs w:val="22"/>
              </w:rPr>
              <w:t xml:space="preserve">citados </w:t>
            </w:r>
            <w:r w:rsidR="00D37826" w:rsidRPr="0051698C">
              <w:rPr>
                <w:bCs/>
                <w:sz w:val="22"/>
                <w:szCs w:val="22"/>
              </w:rPr>
              <w:t>servicios especiales con interoperabilidad</w:t>
            </w:r>
            <w:r w:rsidRPr="0051698C">
              <w:rPr>
                <w:bCs/>
                <w:sz w:val="22"/>
                <w:szCs w:val="22"/>
              </w:rPr>
              <w:t>.</w:t>
            </w:r>
          </w:p>
          <w:p w:rsidR="00D37826" w:rsidRPr="0051698C" w:rsidRDefault="00D37826" w:rsidP="00D37826">
            <w:pPr>
              <w:pStyle w:val="Default"/>
              <w:jc w:val="both"/>
              <w:rPr>
                <w:bCs/>
                <w:sz w:val="22"/>
                <w:szCs w:val="22"/>
              </w:rPr>
            </w:pPr>
          </w:p>
          <w:p w:rsidR="00D37826" w:rsidRPr="0051698C" w:rsidRDefault="00D37826" w:rsidP="00173AC5">
            <w:pPr>
              <w:pStyle w:val="Default"/>
              <w:jc w:val="both"/>
              <w:rPr>
                <w:bCs/>
                <w:sz w:val="22"/>
                <w:szCs w:val="22"/>
              </w:rPr>
            </w:pPr>
          </w:p>
        </w:tc>
      </w:tr>
    </w:tbl>
    <w:p w:rsidR="0085524E" w:rsidRPr="0051698C" w:rsidRDefault="00166D2F" w:rsidP="005608DD">
      <w:pPr>
        <w:pStyle w:val="NormalWeb"/>
        <w:ind w:left="0"/>
        <w:rPr>
          <w:rFonts w:ascii="Arial" w:hAnsi="Arial" w:cs="Arial"/>
          <w:strike/>
          <w:color w:val="000000"/>
          <w:sz w:val="22"/>
          <w:szCs w:val="22"/>
        </w:rPr>
      </w:pPr>
      <w:bookmarkStart w:id="18" w:name="JD_2.2Ladesignacinaqueserefiereelprrafo"/>
      <w:bookmarkStart w:id="19" w:name="_Hlk16756087"/>
      <w:bookmarkEnd w:id="18"/>
      <w:r w:rsidRPr="0051698C">
        <w:rPr>
          <w:rFonts w:ascii="Arial" w:hAnsi="Arial" w:cs="Arial"/>
          <w:color w:val="000000"/>
          <w:sz w:val="22"/>
          <w:szCs w:val="22"/>
        </w:rPr>
        <w:t>2.2 La designación a que se refiere el párrafo 2.1</w:t>
      </w:r>
      <w:r w:rsidR="005F5CD7" w:rsidRPr="0051698C">
        <w:rPr>
          <w:rFonts w:ascii="Arial" w:hAnsi="Arial" w:cs="Arial"/>
          <w:color w:val="000000"/>
          <w:sz w:val="22"/>
          <w:szCs w:val="22"/>
        </w:rPr>
        <w:t xml:space="preserve"> se realizará en forma gradual</w:t>
      </w:r>
      <w:r w:rsidR="00822FA1" w:rsidRPr="0051698C">
        <w:rPr>
          <w:rFonts w:ascii="Arial" w:hAnsi="Arial" w:cs="Arial"/>
          <w:color w:val="000000"/>
          <w:sz w:val="22"/>
          <w:szCs w:val="22"/>
        </w:rPr>
        <w:t>, a partir del 1 de diciembre de 2019</w:t>
      </w:r>
      <w:r w:rsidR="005F5CD7" w:rsidRPr="0051698C">
        <w:rPr>
          <w:rFonts w:ascii="Arial" w:hAnsi="Arial" w:cs="Arial"/>
          <w:color w:val="000000"/>
          <w:sz w:val="22"/>
          <w:szCs w:val="22"/>
        </w:rPr>
        <w:t>, conforme se detalla en el anexo III</w:t>
      </w:r>
      <w:r w:rsidR="00822FA1" w:rsidRPr="0051698C">
        <w:rPr>
          <w:rFonts w:ascii="Arial" w:hAnsi="Arial" w:cs="Arial"/>
          <w:color w:val="000000"/>
          <w:sz w:val="22"/>
          <w:szCs w:val="22"/>
        </w:rPr>
        <w:t xml:space="preserve"> de esta resolución</w:t>
      </w:r>
      <w:r w:rsidR="005F5CD7" w:rsidRPr="0051698C">
        <w:rPr>
          <w:rFonts w:ascii="Arial" w:hAnsi="Arial" w:cs="Arial"/>
          <w:color w:val="000000"/>
          <w:sz w:val="22"/>
          <w:szCs w:val="22"/>
        </w:rPr>
        <w:t xml:space="preserve">. </w:t>
      </w:r>
    </w:p>
    <w:p w:rsidR="00166D2F" w:rsidRPr="0051698C" w:rsidRDefault="00166D2F" w:rsidP="005608DD">
      <w:pPr>
        <w:pStyle w:val="NormalWeb"/>
        <w:ind w:left="0"/>
        <w:rPr>
          <w:rFonts w:ascii="Arial" w:hAnsi="Arial" w:cs="Arial"/>
          <w:color w:val="000000"/>
          <w:sz w:val="22"/>
          <w:szCs w:val="22"/>
        </w:rPr>
      </w:pPr>
      <w:r w:rsidRPr="0051698C">
        <w:rPr>
          <w:rFonts w:ascii="Arial" w:hAnsi="Arial" w:cs="Arial"/>
          <w:color w:val="000000"/>
          <w:sz w:val="22"/>
          <w:szCs w:val="22"/>
        </w:rPr>
        <w:t xml:space="preserve">2.3 </w:t>
      </w:r>
      <w:r w:rsidR="0064046E" w:rsidRPr="0051698C">
        <w:rPr>
          <w:rFonts w:ascii="Arial" w:hAnsi="Arial" w:cs="Arial"/>
          <w:color w:val="000000"/>
          <w:sz w:val="22"/>
          <w:szCs w:val="22"/>
        </w:rPr>
        <w:t>El sujeto</w:t>
      </w:r>
      <w:r w:rsidRPr="0051698C">
        <w:rPr>
          <w:rFonts w:ascii="Arial" w:hAnsi="Arial" w:cs="Arial"/>
          <w:color w:val="000000"/>
          <w:sz w:val="22"/>
          <w:szCs w:val="22"/>
        </w:rPr>
        <w:t xml:space="preserve"> designado como emisor electrónico del SEE en el párrafo 2.1 por las operaciones comprendidas en </w:t>
      </w:r>
      <w:r w:rsidR="009F41C1" w:rsidRPr="0051698C">
        <w:rPr>
          <w:rFonts w:ascii="Arial" w:hAnsi="Arial" w:cs="Arial"/>
          <w:color w:val="000000"/>
          <w:sz w:val="22"/>
          <w:szCs w:val="22"/>
        </w:rPr>
        <w:t>dicho párrafo</w:t>
      </w:r>
      <w:r w:rsidRPr="0051698C">
        <w:rPr>
          <w:rFonts w:ascii="Arial" w:hAnsi="Arial" w:cs="Arial"/>
          <w:color w:val="000000"/>
          <w:sz w:val="22"/>
          <w:szCs w:val="22"/>
        </w:rPr>
        <w:t>:</w:t>
      </w:r>
    </w:p>
    <w:p w:rsidR="00867DDE" w:rsidRPr="0051698C" w:rsidRDefault="00166D2F" w:rsidP="005608DD">
      <w:pPr>
        <w:pStyle w:val="NormalWeb"/>
        <w:ind w:left="0"/>
        <w:rPr>
          <w:rFonts w:ascii="Arial" w:hAnsi="Arial" w:cs="Arial"/>
          <w:sz w:val="22"/>
          <w:szCs w:val="22"/>
        </w:rPr>
      </w:pPr>
      <w:r w:rsidRPr="0051698C">
        <w:rPr>
          <w:rFonts w:ascii="Arial" w:hAnsi="Arial" w:cs="Arial"/>
          <w:color w:val="000000"/>
          <w:sz w:val="22"/>
          <w:szCs w:val="22"/>
        </w:rPr>
        <w:t>2.3.1 Debe</w:t>
      </w:r>
      <w:r w:rsidR="00DF0CD0" w:rsidRPr="0051698C">
        <w:rPr>
          <w:rFonts w:ascii="Arial" w:hAnsi="Arial" w:cs="Arial"/>
          <w:color w:val="000000"/>
          <w:sz w:val="22"/>
          <w:szCs w:val="22"/>
        </w:rPr>
        <w:t xml:space="preserve"> emitir</w:t>
      </w:r>
      <w:r w:rsidRPr="0051698C">
        <w:rPr>
          <w:rFonts w:ascii="Arial" w:hAnsi="Arial" w:cs="Arial"/>
          <w:color w:val="000000"/>
          <w:sz w:val="22"/>
          <w:szCs w:val="22"/>
        </w:rPr>
        <w:t xml:space="preserve"> </w:t>
      </w:r>
      <w:r w:rsidR="00DF0CD0" w:rsidRPr="0051698C">
        <w:rPr>
          <w:rFonts w:ascii="Arial" w:hAnsi="Arial" w:cs="Arial"/>
          <w:color w:val="000000"/>
          <w:sz w:val="22"/>
          <w:szCs w:val="22"/>
        </w:rPr>
        <w:t xml:space="preserve">el </w:t>
      </w:r>
      <w:r w:rsidR="00EB2D31" w:rsidRPr="0051698C">
        <w:rPr>
          <w:rFonts w:ascii="Arial" w:hAnsi="Arial" w:cs="Arial"/>
          <w:color w:val="000000"/>
          <w:sz w:val="22"/>
          <w:szCs w:val="22"/>
        </w:rPr>
        <w:t>recibo electrónico SP</w:t>
      </w:r>
      <w:r w:rsidR="00DF0CD0" w:rsidRPr="0051698C">
        <w:rPr>
          <w:rFonts w:ascii="Arial" w:hAnsi="Arial" w:cs="Arial"/>
          <w:color w:val="000000"/>
          <w:sz w:val="22"/>
          <w:szCs w:val="22"/>
        </w:rPr>
        <w:t xml:space="preserve"> y la nota electrónica exclusivamente a través</w:t>
      </w:r>
      <w:r w:rsidR="0064046E" w:rsidRPr="0051698C">
        <w:rPr>
          <w:rFonts w:ascii="Arial" w:hAnsi="Arial" w:cs="Arial"/>
          <w:color w:val="000000"/>
          <w:sz w:val="22"/>
          <w:szCs w:val="22"/>
        </w:rPr>
        <w:t xml:space="preserve"> del</w:t>
      </w:r>
      <w:r w:rsidR="00DF0CD0" w:rsidRPr="0051698C">
        <w:rPr>
          <w:rFonts w:ascii="Arial" w:hAnsi="Arial" w:cs="Arial"/>
          <w:color w:val="000000"/>
          <w:sz w:val="22"/>
          <w:szCs w:val="22"/>
        </w:rPr>
        <w:t xml:space="preserve"> SEE – </w:t>
      </w:r>
      <w:r w:rsidR="00220AB1" w:rsidRPr="0051698C">
        <w:rPr>
          <w:rFonts w:ascii="Arial" w:hAnsi="Arial" w:cs="Arial"/>
          <w:sz w:val="22"/>
          <w:szCs w:val="22"/>
        </w:rPr>
        <w:t>Empresas Supervisadas</w:t>
      </w:r>
      <w:r w:rsidR="00DF0CD0" w:rsidRPr="0051698C">
        <w:rPr>
          <w:rFonts w:ascii="Arial" w:hAnsi="Arial" w:cs="Arial"/>
          <w:color w:val="000000"/>
          <w:sz w:val="22"/>
          <w:szCs w:val="22"/>
        </w:rPr>
        <w:t xml:space="preserve"> o del SEE – Del contribuyente</w:t>
      </w:r>
      <w:r w:rsidRPr="0051698C">
        <w:rPr>
          <w:rFonts w:ascii="Arial" w:hAnsi="Arial" w:cs="Arial"/>
          <w:color w:val="000000"/>
          <w:sz w:val="22"/>
          <w:szCs w:val="22"/>
        </w:rPr>
        <w:t xml:space="preserve">, </w:t>
      </w:r>
      <w:r w:rsidR="0064046E" w:rsidRPr="0051698C">
        <w:rPr>
          <w:rFonts w:ascii="Arial" w:hAnsi="Arial" w:cs="Arial"/>
          <w:color w:val="000000"/>
          <w:sz w:val="22"/>
          <w:szCs w:val="22"/>
        </w:rPr>
        <w:t>de acuerdo con lo señalado en las resoluciones de superintendencia que regulan dichos sistemas.</w:t>
      </w:r>
    </w:p>
    <w:p w:rsidR="00235BD6" w:rsidRPr="0051698C" w:rsidRDefault="00166D2F" w:rsidP="005608DD">
      <w:pPr>
        <w:pStyle w:val="NormalWeb"/>
        <w:ind w:left="0"/>
        <w:rPr>
          <w:rFonts w:ascii="Arial" w:hAnsi="Arial" w:cs="Arial"/>
          <w:color w:val="000000"/>
          <w:sz w:val="22"/>
          <w:szCs w:val="22"/>
        </w:rPr>
      </w:pPr>
      <w:bookmarkStart w:id="20" w:name="JD_318-2017-SUNAT232"/>
      <w:bookmarkEnd w:id="20"/>
      <w:r w:rsidRPr="0051698C">
        <w:rPr>
          <w:rFonts w:ascii="Arial" w:hAnsi="Arial" w:cs="Arial"/>
          <w:color w:val="000000"/>
          <w:sz w:val="22"/>
          <w:szCs w:val="22"/>
        </w:rPr>
        <w:t xml:space="preserve">2.3.2 </w:t>
      </w:r>
      <w:r w:rsidR="00513CE5" w:rsidRPr="0051698C">
        <w:rPr>
          <w:rFonts w:ascii="Arial" w:hAnsi="Arial" w:cs="Arial"/>
          <w:color w:val="000000"/>
          <w:sz w:val="22"/>
          <w:szCs w:val="22"/>
        </w:rPr>
        <w:t>Solo puede</w:t>
      </w:r>
      <w:r w:rsidR="00570A23" w:rsidRPr="0051698C">
        <w:rPr>
          <w:rFonts w:ascii="Arial" w:hAnsi="Arial" w:cs="Arial"/>
          <w:color w:val="000000"/>
          <w:sz w:val="22"/>
          <w:szCs w:val="22"/>
        </w:rPr>
        <w:t xml:space="preserve"> emitir</w:t>
      </w:r>
      <w:r w:rsidR="00513CE5" w:rsidRPr="0051698C">
        <w:rPr>
          <w:rFonts w:ascii="Arial" w:hAnsi="Arial" w:cs="Arial"/>
          <w:color w:val="000000"/>
          <w:sz w:val="22"/>
          <w:szCs w:val="22"/>
        </w:rPr>
        <w:t xml:space="preserve"> </w:t>
      </w:r>
      <w:r w:rsidR="00E1187E" w:rsidRPr="0051698C">
        <w:rPr>
          <w:rFonts w:ascii="Arial" w:hAnsi="Arial" w:cs="Arial"/>
          <w:color w:val="000000"/>
          <w:sz w:val="22"/>
          <w:szCs w:val="22"/>
        </w:rPr>
        <w:t>los documentos autorizados a que se refiere el liter</w:t>
      </w:r>
      <w:r w:rsidR="00570A23" w:rsidRPr="0051698C">
        <w:rPr>
          <w:rFonts w:ascii="Arial" w:hAnsi="Arial" w:cs="Arial"/>
          <w:color w:val="000000"/>
          <w:sz w:val="22"/>
          <w:szCs w:val="22"/>
        </w:rPr>
        <w:t>al</w:t>
      </w:r>
      <w:r w:rsidR="00E1187E" w:rsidRPr="0051698C">
        <w:rPr>
          <w:rFonts w:ascii="Arial" w:hAnsi="Arial" w:cs="Arial"/>
          <w:color w:val="000000"/>
          <w:sz w:val="22"/>
          <w:szCs w:val="22"/>
        </w:rPr>
        <w:t xml:space="preserve"> d) del inciso 6.1 del numeral 6 del artículo 4 del RCP, según corresponda, por las operaciones contempladas en el párrafo 2.1</w:t>
      </w:r>
      <w:r w:rsidR="00D02137" w:rsidRPr="0051698C">
        <w:rPr>
          <w:rFonts w:ascii="Arial" w:hAnsi="Arial" w:cs="Arial"/>
          <w:color w:val="000000"/>
          <w:sz w:val="22"/>
          <w:szCs w:val="22"/>
        </w:rPr>
        <w:t>,</w:t>
      </w:r>
      <w:r w:rsidR="00E1187E" w:rsidRPr="0051698C">
        <w:rPr>
          <w:rFonts w:ascii="Arial" w:hAnsi="Arial" w:cs="Arial"/>
          <w:color w:val="000000"/>
          <w:sz w:val="22"/>
          <w:szCs w:val="22"/>
        </w:rPr>
        <w:t xml:space="preserve"> si la</w:t>
      </w:r>
      <w:r w:rsidR="00513CE5" w:rsidRPr="0051698C">
        <w:rPr>
          <w:rFonts w:ascii="Arial" w:hAnsi="Arial" w:cs="Arial"/>
          <w:color w:val="000000"/>
          <w:sz w:val="22"/>
          <w:szCs w:val="22"/>
        </w:rPr>
        <w:t xml:space="preserve"> Resolución de Superintendencia N.° 300-2014/SUNAT y normas modificatorias permite su emisión. </w:t>
      </w:r>
    </w:p>
    <w:bookmarkEnd w:id="19"/>
    <w:p w:rsidR="004A3556" w:rsidRPr="0051698C" w:rsidRDefault="004A3556" w:rsidP="00BC2A21">
      <w:pPr>
        <w:jc w:val="center"/>
        <w:rPr>
          <w:rFonts w:ascii="Arial" w:hAnsi="Arial" w:cs="Arial"/>
          <w:b/>
          <w:color w:val="000000"/>
          <w:lang w:val="es-MX"/>
        </w:rPr>
      </w:pPr>
      <w:r w:rsidRPr="0051698C">
        <w:rPr>
          <w:rFonts w:ascii="Arial" w:hAnsi="Arial" w:cs="Arial"/>
          <w:b/>
          <w:color w:val="000000"/>
          <w:lang w:val="es-MX"/>
        </w:rPr>
        <w:t>DISPOSICIONES COMPLEMENTARIAS MODIFICATORIAS</w:t>
      </w:r>
    </w:p>
    <w:p w:rsidR="004A3556" w:rsidRPr="0051698C" w:rsidRDefault="004A3556" w:rsidP="00BC2A21">
      <w:pPr>
        <w:jc w:val="both"/>
        <w:rPr>
          <w:rFonts w:ascii="Arial" w:hAnsi="Arial" w:cs="Arial"/>
          <w:color w:val="000000"/>
          <w:lang w:val="es-MX"/>
        </w:rPr>
      </w:pPr>
    </w:p>
    <w:p w:rsidR="00A310C5" w:rsidRPr="0051698C" w:rsidRDefault="00A310C5" w:rsidP="00BC2A21">
      <w:pPr>
        <w:pStyle w:val="Default"/>
        <w:jc w:val="both"/>
        <w:rPr>
          <w:sz w:val="22"/>
          <w:szCs w:val="22"/>
        </w:rPr>
      </w:pPr>
      <w:r w:rsidRPr="0051698C">
        <w:rPr>
          <w:b/>
          <w:bCs/>
          <w:sz w:val="22"/>
          <w:szCs w:val="22"/>
        </w:rPr>
        <w:t xml:space="preserve">PRIMERA. Reglamento de Comprobantes de Pago </w:t>
      </w:r>
    </w:p>
    <w:p w:rsidR="00A310C5" w:rsidRPr="0051698C" w:rsidRDefault="00A310C5" w:rsidP="00BC2A21">
      <w:pPr>
        <w:pStyle w:val="Default"/>
        <w:jc w:val="both"/>
        <w:rPr>
          <w:sz w:val="22"/>
          <w:szCs w:val="22"/>
        </w:rPr>
      </w:pPr>
    </w:p>
    <w:p w:rsidR="00A310C5" w:rsidRPr="0051698C" w:rsidRDefault="00A310C5" w:rsidP="00BC2A21">
      <w:pPr>
        <w:pStyle w:val="Default"/>
        <w:jc w:val="both"/>
        <w:rPr>
          <w:sz w:val="22"/>
          <w:szCs w:val="22"/>
        </w:rPr>
      </w:pPr>
      <w:proofErr w:type="spellStart"/>
      <w:r w:rsidRPr="0051698C">
        <w:rPr>
          <w:sz w:val="22"/>
          <w:szCs w:val="22"/>
        </w:rPr>
        <w:t>Incorpórase</w:t>
      </w:r>
      <w:proofErr w:type="spellEnd"/>
      <w:r w:rsidRPr="0051698C">
        <w:rPr>
          <w:sz w:val="22"/>
          <w:szCs w:val="22"/>
        </w:rPr>
        <w:t xml:space="preserve"> </w:t>
      </w:r>
      <w:r w:rsidR="00570A23" w:rsidRPr="0051698C">
        <w:rPr>
          <w:sz w:val="22"/>
          <w:szCs w:val="22"/>
        </w:rPr>
        <w:t>el</w:t>
      </w:r>
      <w:r w:rsidRPr="0051698C">
        <w:rPr>
          <w:sz w:val="22"/>
          <w:szCs w:val="22"/>
        </w:rPr>
        <w:t xml:space="preserve"> inciso k) en el artículo 2 de la Resolución de Superintendencia N.° 007-99/SUNAT y normas modificatorias, en los términos siguientes: </w:t>
      </w:r>
    </w:p>
    <w:p w:rsidR="00A310C5" w:rsidRPr="0051698C" w:rsidRDefault="00A310C5" w:rsidP="00BC2A21">
      <w:pPr>
        <w:pStyle w:val="Default"/>
        <w:jc w:val="both"/>
        <w:rPr>
          <w:sz w:val="22"/>
          <w:szCs w:val="22"/>
        </w:rPr>
      </w:pPr>
    </w:p>
    <w:p w:rsidR="00A310C5" w:rsidRPr="0051698C" w:rsidRDefault="00A310C5" w:rsidP="00BC2A21">
      <w:pPr>
        <w:pStyle w:val="Default"/>
        <w:jc w:val="both"/>
        <w:rPr>
          <w:sz w:val="22"/>
          <w:szCs w:val="22"/>
        </w:rPr>
      </w:pPr>
      <w:r w:rsidRPr="0051698C">
        <w:rPr>
          <w:sz w:val="22"/>
          <w:szCs w:val="22"/>
        </w:rPr>
        <w:t xml:space="preserve">“Artículo 2°.- DOCUMENTOS CONSIDERADOS COMPROBANTES DE PAGO </w:t>
      </w:r>
    </w:p>
    <w:p w:rsidR="00A310C5" w:rsidRPr="0051698C" w:rsidRDefault="00A310C5" w:rsidP="00BC2A21">
      <w:pPr>
        <w:pStyle w:val="Default"/>
        <w:jc w:val="both"/>
        <w:rPr>
          <w:sz w:val="22"/>
          <w:szCs w:val="22"/>
        </w:rPr>
      </w:pPr>
    </w:p>
    <w:p w:rsidR="00A310C5" w:rsidRPr="0051698C" w:rsidRDefault="00A310C5" w:rsidP="00BC2A21">
      <w:pPr>
        <w:pStyle w:val="Default"/>
        <w:jc w:val="both"/>
        <w:rPr>
          <w:sz w:val="22"/>
          <w:szCs w:val="22"/>
        </w:rPr>
      </w:pPr>
      <w:r w:rsidRPr="0051698C">
        <w:rPr>
          <w:sz w:val="22"/>
          <w:szCs w:val="22"/>
        </w:rPr>
        <w:t xml:space="preserve">(...) </w:t>
      </w:r>
    </w:p>
    <w:p w:rsidR="00A310C5" w:rsidRPr="0051698C" w:rsidRDefault="00A310C5" w:rsidP="00BC2A21">
      <w:pPr>
        <w:pStyle w:val="Default"/>
        <w:jc w:val="both"/>
        <w:rPr>
          <w:sz w:val="22"/>
          <w:szCs w:val="22"/>
        </w:rPr>
      </w:pPr>
    </w:p>
    <w:p w:rsidR="00A310C5" w:rsidRPr="0051698C" w:rsidRDefault="00A310C5" w:rsidP="00BC2A21">
      <w:pPr>
        <w:pStyle w:val="Default"/>
        <w:jc w:val="both"/>
        <w:rPr>
          <w:sz w:val="22"/>
          <w:szCs w:val="22"/>
        </w:rPr>
      </w:pPr>
      <w:r w:rsidRPr="0051698C">
        <w:rPr>
          <w:sz w:val="22"/>
          <w:szCs w:val="22"/>
        </w:rPr>
        <w:t>k) Recibo electrónico</w:t>
      </w:r>
      <w:r w:rsidR="00AF7DB7" w:rsidRPr="0051698C">
        <w:rPr>
          <w:sz w:val="22"/>
          <w:szCs w:val="22"/>
        </w:rPr>
        <w:t xml:space="preserve"> por servicios públicos (recibo electrónico SP)</w:t>
      </w:r>
      <w:r w:rsidRPr="0051698C">
        <w:rPr>
          <w:sz w:val="22"/>
          <w:szCs w:val="22"/>
        </w:rPr>
        <w:t>, el cual se rige por la</w:t>
      </w:r>
      <w:r w:rsidR="00AD5378" w:rsidRPr="0051698C">
        <w:rPr>
          <w:sz w:val="22"/>
          <w:szCs w:val="22"/>
        </w:rPr>
        <w:t xml:space="preserve"> normativa sobre </w:t>
      </w:r>
      <w:r w:rsidR="008D770B">
        <w:rPr>
          <w:sz w:val="22"/>
          <w:szCs w:val="22"/>
        </w:rPr>
        <w:t>emisión electrónica</w:t>
      </w:r>
      <w:r w:rsidRPr="0051698C">
        <w:rPr>
          <w:sz w:val="22"/>
          <w:szCs w:val="22"/>
        </w:rPr>
        <w:t xml:space="preserve">.” </w:t>
      </w:r>
    </w:p>
    <w:p w:rsidR="00860FF6" w:rsidRPr="0051698C" w:rsidRDefault="00860FF6" w:rsidP="00BC2A21">
      <w:pPr>
        <w:pStyle w:val="Default"/>
        <w:jc w:val="both"/>
        <w:rPr>
          <w:sz w:val="22"/>
          <w:szCs w:val="22"/>
        </w:rPr>
      </w:pPr>
    </w:p>
    <w:p w:rsidR="00860FF6" w:rsidRPr="0051698C" w:rsidRDefault="00860FF6" w:rsidP="00860FF6">
      <w:pPr>
        <w:jc w:val="both"/>
        <w:rPr>
          <w:rFonts w:ascii="Arial" w:hAnsi="Arial" w:cs="Arial"/>
          <w:b/>
          <w:color w:val="000000"/>
          <w:lang w:val="es-MX"/>
        </w:rPr>
      </w:pPr>
      <w:r w:rsidRPr="0051698C">
        <w:rPr>
          <w:rFonts w:ascii="Arial" w:hAnsi="Arial" w:cs="Arial"/>
          <w:b/>
          <w:color w:val="000000"/>
          <w:lang w:val="es-MX"/>
        </w:rPr>
        <w:t xml:space="preserve">SEGUNDA. SEE </w:t>
      </w:r>
    </w:p>
    <w:p w:rsidR="00860FF6" w:rsidRPr="0051698C" w:rsidRDefault="00860FF6" w:rsidP="00860FF6">
      <w:pPr>
        <w:ind w:firstLine="567"/>
        <w:jc w:val="both"/>
        <w:rPr>
          <w:rFonts w:ascii="Arial" w:hAnsi="Arial" w:cs="Arial"/>
          <w:color w:val="000000"/>
          <w:lang w:val="es-MX"/>
        </w:rPr>
      </w:pPr>
    </w:p>
    <w:p w:rsidR="00860FF6" w:rsidRPr="0051698C" w:rsidRDefault="00860FF6" w:rsidP="00860FF6">
      <w:pPr>
        <w:pStyle w:val="Default"/>
        <w:numPr>
          <w:ilvl w:val="1"/>
          <w:numId w:val="12"/>
        </w:numPr>
        <w:tabs>
          <w:tab w:val="left" w:pos="426"/>
        </w:tabs>
        <w:ind w:left="0" w:firstLine="0"/>
        <w:jc w:val="both"/>
        <w:rPr>
          <w:sz w:val="22"/>
          <w:szCs w:val="22"/>
        </w:rPr>
      </w:pPr>
      <w:proofErr w:type="spellStart"/>
      <w:r w:rsidRPr="0051698C">
        <w:rPr>
          <w:sz w:val="22"/>
          <w:szCs w:val="22"/>
        </w:rPr>
        <w:t>Incorpórase</w:t>
      </w:r>
      <w:proofErr w:type="spellEnd"/>
      <w:r w:rsidRPr="0051698C">
        <w:rPr>
          <w:sz w:val="22"/>
          <w:szCs w:val="22"/>
        </w:rPr>
        <w:t xml:space="preserve"> </w:t>
      </w:r>
      <w:r w:rsidR="006C0F72" w:rsidRPr="0051698C">
        <w:rPr>
          <w:sz w:val="22"/>
          <w:szCs w:val="22"/>
        </w:rPr>
        <w:t>el</w:t>
      </w:r>
      <w:r w:rsidRPr="0051698C">
        <w:rPr>
          <w:sz w:val="22"/>
          <w:szCs w:val="22"/>
        </w:rPr>
        <w:t xml:space="preserve"> inciso g) en el primer párrafo del artículo 1 de la Resolución de Superintendencia N.° 300-2014/SUNAT y normas modificatorias, en los términos siguientes: </w:t>
      </w:r>
    </w:p>
    <w:p w:rsidR="00860FF6" w:rsidRPr="0051698C" w:rsidRDefault="00860FF6" w:rsidP="00860FF6">
      <w:pPr>
        <w:pStyle w:val="Default"/>
        <w:ind w:left="360"/>
        <w:jc w:val="both"/>
        <w:rPr>
          <w:sz w:val="22"/>
          <w:szCs w:val="22"/>
        </w:rPr>
      </w:pPr>
    </w:p>
    <w:p w:rsidR="00860FF6" w:rsidRPr="0051698C" w:rsidRDefault="00860FF6" w:rsidP="00860FF6">
      <w:pPr>
        <w:pStyle w:val="Default"/>
        <w:jc w:val="both"/>
        <w:rPr>
          <w:sz w:val="22"/>
          <w:szCs w:val="22"/>
        </w:rPr>
      </w:pPr>
      <w:r w:rsidRPr="0051698C">
        <w:rPr>
          <w:sz w:val="22"/>
          <w:szCs w:val="22"/>
        </w:rPr>
        <w:t xml:space="preserve">“Artículo 1.- SISTEMA DE EMISIÓN ELECTRÓNICA </w:t>
      </w:r>
    </w:p>
    <w:p w:rsidR="00860FF6" w:rsidRPr="0051698C" w:rsidRDefault="00860FF6" w:rsidP="00860FF6">
      <w:pPr>
        <w:pStyle w:val="NormalWeb"/>
        <w:spacing w:before="0" w:beforeAutospacing="0" w:after="0" w:afterAutospacing="0"/>
        <w:ind w:left="0" w:firstLine="360"/>
        <w:rPr>
          <w:rFonts w:ascii="Arial" w:hAnsi="Arial" w:cs="Arial"/>
          <w:sz w:val="22"/>
          <w:szCs w:val="22"/>
        </w:rPr>
      </w:pPr>
    </w:p>
    <w:p w:rsidR="00860FF6" w:rsidRPr="0051698C" w:rsidRDefault="00860FF6" w:rsidP="00860FF6">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t>Créase el Sistema de Emisión Electrónica (SEE), el cual está conformado por:</w:t>
      </w:r>
    </w:p>
    <w:p w:rsidR="00860FF6" w:rsidRPr="0051698C" w:rsidRDefault="00860FF6" w:rsidP="00860FF6">
      <w:pPr>
        <w:pStyle w:val="Default"/>
        <w:ind w:left="360"/>
        <w:jc w:val="both"/>
        <w:rPr>
          <w:sz w:val="22"/>
          <w:szCs w:val="22"/>
          <w:lang w:val="es-ES"/>
        </w:rPr>
      </w:pPr>
    </w:p>
    <w:p w:rsidR="00860FF6" w:rsidRPr="0051698C" w:rsidRDefault="00860FF6" w:rsidP="00860FF6">
      <w:pPr>
        <w:pStyle w:val="Default"/>
        <w:jc w:val="both"/>
        <w:rPr>
          <w:sz w:val="22"/>
          <w:szCs w:val="22"/>
        </w:rPr>
      </w:pPr>
      <w:r w:rsidRPr="0051698C">
        <w:rPr>
          <w:sz w:val="22"/>
          <w:szCs w:val="22"/>
        </w:rPr>
        <w:t xml:space="preserve">(...) </w:t>
      </w:r>
    </w:p>
    <w:p w:rsidR="004542EF" w:rsidRPr="0051698C" w:rsidRDefault="004542EF" w:rsidP="00860FF6">
      <w:pPr>
        <w:pStyle w:val="Default"/>
        <w:jc w:val="both"/>
        <w:rPr>
          <w:sz w:val="22"/>
          <w:szCs w:val="22"/>
        </w:rPr>
      </w:pPr>
    </w:p>
    <w:p w:rsidR="006C0F72" w:rsidRPr="0051698C" w:rsidRDefault="00860FF6" w:rsidP="00860FF6">
      <w:pPr>
        <w:pStyle w:val="Default"/>
        <w:jc w:val="both"/>
        <w:rPr>
          <w:sz w:val="22"/>
          <w:szCs w:val="22"/>
        </w:rPr>
      </w:pPr>
      <w:r w:rsidRPr="0051698C">
        <w:rPr>
          <w:sz w:val="22"/>
          <w:szCs w:val="22"/>
        </w:rPr>
        <w:t>g) El Sistema de Emisión Electrónica</w:t>
      </w:r>
      <w:r w:rsidR="0038731A" w:rsidRPr="0051698C">
        <w:rPr>
          <w:sz w:val="22"/>
          <w:szCs w:val="22"/>
        </w:rPr>
        <w:t xml:space="preserve"> para</w:t>
      </w:r>
      <w:r w:rsidRPr="0051698C">
        <w:rPr>
          <w:sz w:val="22"/>
          <w:szCs w:val="22"/>
        </w:rPr>
        <w:t xml:space="preserve"> </w:t>
      </w:r>
      <w:r w:rsidR="00220AB1" w:rsidRPr="0051698C">
        <w:rPr>
          <w:sz w:val="22"/>
          <w:szCs w:val="22"/>
        </w:rPr>
        <w:t>Empresas Supervisadas</w:t>
      </w:r>
      <w:r w:rsidRPr="0051698C">
        <w:rPr>
          <w:sz w:val="22"/>
          <w:szCs w:val="22"/>
        </w:rPr>
        <w:t xml:space="preserve">. En adelante, el SEE - </w:t>
      </w:r>
      <w:r w:rsidR="00220AB1" w:rsidRPr="0051698C">
        <w:rPr>
          <w:sz w:val="22"/>
          <w:szCs w:val="22"/>
        </w:rPr>
        <w:t>Empresas Supervisadas</w:t>
      </w:r>
      <w:r w:rsidRPr="0051698C">
        <w:rPr>
          <w:sz w:val="22"/>
          <w:szCs w:val="22"/>
        </w:rPr>
        <w:t>.</w:t>
      </w:r>
      <w:r w:rsidR="00EA38F1" w:rsidRPr="0051698C">
        <w:rPr>
          <w:sz w:val="22"/>
          <w:szCs w:val="22"/>
        </w:rPr>
        <w:t>”</w:t>
      </w:r>
    </w:p>
    <w:p w:rsidR="003334FD" w:rsidRPr="0051698C" w:rsidRDefault="003334FD" w:rsidP="00860FF6">
      <w:pPr>
        <w:pStyle w:val="Default"/>
        <w:jc w:val="both"/>
        <w:rPr>
          <w:b/>
          <w:sz w:val="22"/>
          <w:szCs w:val="22"/>
        </w:rPr>
      </w:pPr>
    </w:p>
    <w:p w:rsidR="00EA38F1" w:rsidRPr="0051698C" w:rsidRDefault="00EA38F1" w:rsidP="00EA38F1">
      <w:pPr>
        <w:pStyle w:val="Default"/>
        <w:numPr>
          <w:ilvl w:val="1"/>
          <w:numId w:val="12"/>
        </w:numPr>
        <w:tabs>
          <w:tab w:val="left" w:pos="426"/>
        </w:tabs>
        <w:ind w:left="0" w:firstLine="0"/>
        <w:jc w:val="both"/>
        <w:rPr>
          <w:sz w:val="22"/>
          <w:szCs w:val="22"/>
        </w:rPr>
      </w:pPr>
      <w:proofErr w:type="spellStart"/>
      <w:r w:rsidRPr="0051698C">
        <w:rPr>
          <w:sz w:val="22"/>
          <w:szCs w:val="22"/>
        </w:rPr>
        <w:t>Modifícase</w:t>
      </w:r>
      <w:proofErr w:type="spellEnd"/>
      <w:r w:rsidRPr="0051698C">
        <w:rPr>
          <w:sz w:val="22"/>
          <w:szCs w:val="22"/>
        </w:rPr>
        <w:t xml:space="preserve"> el numeral 3.2 del artículo 3 de la Resolución de Superintendencia N.° 300-2014/SUNAT y normas modificatorias, en los términos siguientes: </w:t>
      </w:r>
    </w:p>
    <w:p w:rsidR="00860FF6" w:rsidRPr="0051698C" w:rsidRDefault="005778D4" w:rsidP="00860FF6">
      <w:pPr>
        <w:pStyle w:val="NormalWeb"/>
        <w:ind w:left="0"/>
        <w:rPr>
          <w:rFonts w:ascii="Arial" w:hAnsi="Arial" w:cs="Arial"/>
          <w:sz w:val="22"/>
          <w:szCs w:val="22"/>
        </w:rPr>
      </w:pPr>
      <w:r w:rsidRPr="0051698C">
        <w:rPr>
          <w:rFonts w:ascii="Arial" w:hAnsi="Arial" w:cs="Arial"/>
          <w:bCs/>
          <w:sz w:val="22"/>
          <w:szCs w:val="22"/>
        </w:rPr>
        <w:t>“</w:t>
      </w:r>
      <w:r w:rsidR="00860FF6" w:rsidRPr="0051698C">
        <w:rPr>
          <w:rFonts w:ascii="Arial" w:hAnsi="Arial" w:cs="Arial"/>
          <w:bCs/>
          <w:sz w:val="22"/>
          <w:szCs w:val="22"/>
        </w:rPr>
        <w:t>Artículo 3.</w:t>
      </w:r>
      <w:r w:rsidR="006C0F72" w:rsidRPr="0051698C">
        <w:rPr>
          <w:rFonts w:ascii="Arial" w:hAnsi="Arial" w:cs="Arial"/>
          <w:bCs/>
          <w:sz w:val="22"/>
          <w:szCs w:val="22"/>
        </w:rPr>
        <w:t>-</w:t>
      </w:r>
      <w:r w:rsidR="00860FF6" w:rsidRPr="0051698C">
        <w:rPr>
          <w:rFonts w:ascii="Arial" w:hAnsi="Arial" w:cs="Arial"/>
          <w:bCs/>
          <w:sz w:val="22"/>
          <w:szCs w:val="22"/>
        </w:rPr>
        <w:t xml:space="preserve"> EFECTOS DE LA INCORPORACIÓN AL SEE</w:t>
      </w:r>
    </w:p>
    <w:p w:rsidR="00860FF6" w:rsidRPr="0051698C" w:rsidRDefault="00860FF6" w:rsidP="00EA38F1">
      <w:pPr>
        <w:pStyle w:val="NormalWeb"/>
        <w:ind w:left="0"/>
        <w:rPr>
          <w:rFonts w:ascii="Arial" w:hAnsi="Arial" w:cs="Arial"/>
          <w:sz w:val="22"/>
          <w:szCs w:val="22"/>
        </w:rPr>
      </w:pPr>
      <w:r w:rsidRPr="0051698C">
        <w:rPr>
          <w:rFonts w:ascii="Arial" w:hAnsi="Arial" w:cs="Arial"/>
          <w:sz w:val="22"/>
          <w:szCs w:val="22"/>
        </w:rPr>
        <w:t>La obtención o la asignación de la calidad de emisor electrónico genera los efectos indicados a continuación:</w:t>
      </w:r>
    </w:p>
    <w:p w:rsidR="00860FF6" w:rsidRPr="0051698C" w:rsidRDefault="00860FF6" w:rsidP="00860FF6">
      <w:pPr>
        <w:pStyle w:val="Default"/>
        <w:jc w:val="both"/>
        <w:rPr>
          <w:color w:val="auto"/>
          <w:sz w:val="22"/>
          <w:szCs w:val="22"/>
          <w:lang w:val="es-ES"/>
        </w:rPr>
      </w:pPr>
      <w:r w:rsidRPr="0051698C">
        <w:rPr>
          <w:color w:val="auto"/>
          <w:sz w:val="22"/>
          <w:szCs w:val="22"/>
          <w:lang w:val="es-ES"/>
        </w:rPr>
        <w:t>(…)</w:t>
      </w:r>
    </w:p>
    <w:p w:rsidR="00EA38F1" w:rsidRPr="0051698C" w:rsidRDefault="00EA38F1" w:rsidP="00EA38F1">
      <w:pPr>
        <w:pStyle w:val="NormalWeb"/>
        <w:ind w:left="0"/>
        <w:rPr>
          <w:rFonts w:ascii="Arial" w:hAnsi="Arial" w:cs="Arial"/>
          <w:sz w:val="22"/>
          <w:szCs w:val="22"/>
        </w:rPr>
      </w:pPr>
      <w:bookmarkStart w:id="21" w:name="JD_addelemisorelectrnicoqueadquiries"/>
      <w:bookmarkEnd w:id="21"/>
      <w:r w:rsidRPr="0051698C">
        <w:rPr>
          <w:rFonts w:ascii="Arial" w:hAnsi="Arial" w:cs="Arial"/>
          <w:sz w:val="22"/>
          <w:szCs w:val="22"/>
        </w:rPr>
        <w:t xml:space="preserve">3.2 La posibilidad del emisor electrónico que adquirió esa calidad por determinación de la SUNAT de emitir, respecto de la operación por la que corresponde emitir un comprobante de pago electrónico o una nota electrónica, un comprobante de pago, una nota de crédito o una nota de débito en formato impreso o importado por </w:t>
      </w:r>
      <w:r w:rsidRPr="0051698C">
        <w:rPr>
          <w:rFonts w:ascii="Arial" w:hAnsi="Arial" w:cs="Arial"/>
          <w:sz w:val="22"/>
          <w:szCs w:val="22"/>
        </w:rPr>
        <w:lastRenderedPageBreak/>
        <w:t>imprenta autorizada, un ticket o cinta emitido por máquina registradora o un documento autorizado, según corresponda, en los supuestos señalados en los incisos a), c), d) y f) del numeral 4.1 del artículo 4, teniendo en cuenta las disposiciones señaladas en dichos incisos.</w:t>
      </w:r>
      <w:r w:rsidR="005778D4" w:rsidRPr="0051698C">
        <w:rPr>
          <w:rFonts w:ascii="Arial" w:hAnsi="Arial" w:cs="Arial"/>
          <w:sz w:val="22"/>
          <w:szCs w:val="22"/>
        </w:rPr>
        <w:t>”</w:t>
      </w:r>
    </w:p>
    <w:p w:rsidR="00860FF6" w:rsidRPr="0051698C" w:rsidRDefault="00860FF6" w:rsidP="00860FF6">
      <w:pPr>
        <w:pStyle w:val="Default"/>
        <w:numPr>
          <w:ilvl w:val="1"/>
          <w:numId w:val="12"/>
        </w:numPr>
        <w:tabs>
          <w:tab w:val="left" w:pos="426"/>
        </w:tabs>
        <w:ind w:left="0" w:firstLine="0"/>
        <w:jc w:val="both"/>
        <w:rPr>
          <w:strike/>
          <w:sz w:val="22"/>
          <w:szCs w:val="22"/>
        </w:rPr>
      </w:pPr>
      <w:proofErr w:type="spellStart"/>
      <w:r w:rsidRPr="0051698C">
        <w:rPr>
          <w:sz w:val="22"/>
          <w:szCs w:val="22"/>
        </w:rPr>
        <w:t>Modifícase</w:t>
      </w:r>
      <w:proofErr w:type="spellEnd"/>
      <w:r w:rsidRPr="0051698C">
        <w:rPr>
          <w:sz w:val="22"/>
          <w:szCs w:val="22"/>
        </w:rPr>
        <w:t xml:space="preserve"> el primer párrafo del artículo 4-B de la Resolución de Superintendencia N.° 300-2014/SUNAT y normas modificatorias, en los términos siguientes:</w:t>
      </w:r>
      <w:r w:rsidRPr="0051698C">
        <w:rPr>
          <w:strike/>
          <w:sz w:val="22"/>
          <w:szCs w:val="22"/>
        </w:rPr>
        <w:t xml:space="preserve"> </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w:t>
      </w:r>
      <w:bookmarkStart w:id="22" w:name="JD_OYCONCURREN"/>
      <w:bookmarkEnd w:id="22"/>
      <w:r w:rsidRPr="0051698C">
        <w:rPr>
          <w:rFonts w:ascii="Arial" w:hAnsi="Arial" w:cs="Arial"/>
          <w:bCs/>
          <w:sz w:val="22"/>
          <w:szCs w:val="22"/>
        </w:rPr>
        <w:t>Artículo 4-B.- CONTINUACIÓN DE LA EMISIÓN DE DOCUMENTOS AUTORIZADOS SEGÚN EL REGLAMENTO DE COMPROBANTES DE PAGO Y CONCURRENCIA DE ESA MODALIDAD Y LA EMISIÓN ELECTRÓNICA</w:t>
      </w:r>
    </w:p>
    <w:p w:rsidR="00860FF6" w:rsidRPr="0051698C" w:rsidRDefault="00EA38F1" w:rsidP="00860FF6">
      <w:pPr>
        <w:pStyle w:val="NormalWeb"/>
        <w:ind w:left="0"/>
        <w:rPr>
          <w:rFonts w:ascii="Arial" w:hAnsi="Arial" w:cs="Arial"/>
          <w:sz w:val="22"/>
          <w:szCs w:val="22"/>
        </w:rPr>
      </w:pPr>
      <w:r w:rsidRPr="0051698C">
        <w:rPr>
          <w:rFonts w:ascii="Arial" w:hAnsi="Arial" w:cs="Arial"/>
          <w:sz w:val="22"/>
          <w:szCs w:val="22"/>
        </w:rPr>
        <w:t>El emisor electrónico del documento autorizado electrónico o del recibo electrónico por servicios públicos puede emitir</w:t>
      </w:r>
      <w:r w:rsidR="0060308F" w:rsidRPr="0051698C">
        <w:rPr>
          <w:rFonts w:ascii="Arial" w:hAnsi="Arial" w:cs="Arial"/>
          <w:sz w:val="22"/>
          <w:szCs w:val="22"/>
        </w:rPr>
        <w:t xml:space="preserve"> documentos autorizados, notas de crédito o notas de débito, según lo indicado en el inciso f) del numeral 4.1 del artículo 4</w:t>
      </w:r>
      <w:r w:rsidR="00D15A07" w:rsidRPr="0051698C">
        <w:rPr>
          <w:rFonts w:ascii="Arial" w:hAnsi="Arial" w:cs="Arial"/>
          <w:sz w:val="22"/>
          <w:szCs w:val="22"/>
        </w:rPr>
        <w:t>.</w:t>
      </w:r>
      <w:r w:rsidR="0060308F" w:rsidRPr="0051698C">
        <w:rPr>
          <w:rFonts w:ascii="Arial" w:hAnsi="Arial" w:cs="Arial"/>
          <w:sz w:val="22"/>
          <w:szCs w:val="22"/>
        </w:rPr>
        <w:t xml:space="preserve"> </w:t>
      </w:r>
      <w:r w:rsidR="008D6C9D" w:rsidRPr="0051698C">
        <w:rPr>
          <w:rFonts w:ascii="Arial" w:hAnsi="Arial" w:cs="Arial"/>
          <w:sz w:val="22"/>
          <w:szCs w:val="22"/>
        </w:rPr>
        <w:t>Para tal efecto, en los supuestos contemplados en los incisos a) y b) de ese numeral el emisor electrónico puede emitir o no está impedido de emitir, según corresponda, el documento autorizado, la nota de crédito y la nota de débito de conformidad con lo señalado en el Reglamento de Comprobantes de Pago y/u otras resoluciones sobre la materia, según sea el caso</w:t>
      </w:r>
      <w:r w:rsidR="00860FF6" w:rsidRPr="0051698C">
        <w:rPr>
          <w:rFonts w:ascii="Arial" w:hAnsi="Arial" w:cs="Arial"/>
          <w:sz w:val="22"/>
          <w:szCs w:val="22"/>
        </w:rPr>
        <w:t>.”</w:t>
      </w:r>
    </w:p>
    <w:p w:rsidR="00860FF6" w:rsidRPr="0051698C" w:rsidRDefault="00860FF6" w:rsidP="00860FF6">
      <w:pPr>
        <w:jc w:val="both"/>
        <w:rPr>
          <w:rFonts w:ascii="Arial" w:hAnsi="Arial" w:cs="Arial"/>
          <w:b/>
          <w:color w:val="000000"/>
          <w:lang w:val="es-MX"/>
        </w:rPr>
      </w:pPr>
      <w:r w:rsidRPr="0051698C">
        <w:rPr>
          <w:rFonts w:ascii="Arial" w:hAnsi="Arial" w:cs="Arial"/>
          <w:b/>
          <w:color w:val="000000"/>
          <w:lang w:val="es-MX"/>
        </w:rPr>
        <w:t xml:space="preserve">TERCERA. SEE -  Del contribuyente </w:t>
      </w:r>
    </w:p>
    <w:p w:rsidR="00860FF6" w:rsidRPr="0051698C" w:rsidRDefault="00860FF6" w:rsidP="00860FF6">
      <w:pPr>
        <w:jc w:val="both"/>
        <w:rPr>
          <w:rFonts w:ascii="Arial" w:hAnsi="Arial" w:cs="Arial"/>
          <w:b/>
          <w:color w:val="000000"/>
          <w:lang w:val="es-MX"/>
        </w:rPr>
      </w:pPr>
    </w:p>
    <w:p w:rsidR="00860FF6" w:rsidRPr="0051698C" w:rsidRDefault="00860FF6" w:rsidP="00860FF6">
      <w:pPr>
        <w:pStyle w:val="Default"/>
        <w:jc w:val="both"/>
        <w:rPr>
          <w:sz w:val="22"/>
          <w:szCs w:val="22"/>
        </w:rPr>
      </w:pPr>
      <w:r w:rsidRPr="0051698C">
        <w:rPr>
          <w:sz w:val="22"/>
          <w:szCs w:val="22"/>
        </w:rPr>
        <w:t xml:space="preserve">3.1 </w:t>
      </w:r>
      <w:proofErr w:type="spellStart"/>
      <w:r w:rsidRPr="0051698C">
        <w:rPr>
          <w:sz w:val="22"/>
          <w:szCs w:val="22"/>
        </w:rPr>
        <w:t>Modifícase</w:t>
      </w:r>
      <w:proofErr w:type="spellEnd"/>
      <w:r w:rsidRPr="0051698C">
        <w:rPr>
          <w:sz w:val="22"/>
          <w:szCs w:val="22"/>
        </w:rPr>
        <w:t xml:space="preserve"> </w:t>
      </w:r>
      <w:r w:rsidR="00597C87" w:rsidRPr="0051698C">
        <w:rPr>
          <w:sz w:val="22"/>
          <w:szCs w:val="22"/>
        </w:rPr>
        <w:t>los</w:t>
      </w:r>
      <w:r w:rsidRPr="0051698C">
        <w:rPr>
          <w:sz w:val="22"/>
          <w:szCs w:val="22"/>
        </w:rPr>
        <w:t xml:space="preserve"> numeral</w:t>
      </w:r>
      <w:r w:rsidR="00597C87" w:rsidRPr="0051698C">
        <w:rPr>
          <w:sz w:val="22"/>
          <w:szCs w:val="22"/>
        </w:rPr>
        <w:t>es</w:t>
      </w:r>
      <w:r w:rsidRPr="0051698C">
        <w:rPr>
          <w:sz w:val="22"/>
          <w:szCs w:val="22"/>
        </w:rPr>
        <w:t xml:space="preserve"> 2.8, 2.19,</w:t>
      </w:r>
      <w:r w:rsidR="00847A45" w:rsidRPr="0051698C">
        <w:rPr>
          <w:sz w:val="22"/>
          <w:szCs w:val="22"/>
        </w:rPr>
        <w:t xml:space="preserve"> 2.29,</w:t>
      </w:r>
      <w:r w:rsidRPr="0051698C">
        <w:rPr>
          <w:sz w:val="22"/>
          <w:szCs w:val="22"/>
        </w:rPr>
        <w:t xml:space="preserve"> 2.37 y 2.38 e </w:t>
      </w:r>
      <w:proofErr w:type="spellStart"/>
      <w:r w:rsidRPr="0051698C">
        <w:rPr>
          <w:sz w:val="22"/>
          <w:szCs w:val="22"/>
        </w:rPr>
        <w:t>incorpórase</w:t>
      </w:r>
      <w:proofErr w:type="spellEnd"/>
      <w:r w:rsidRPr="0051698C">
        <w:rPr>
          <w:sz w:val="22"/>
          <w:szCs w:val="22"/>
        </w:rPr>
        <w:t xml:space="preserve"> </w:t>
      </w:r>
      <w:r w:rsidR="00066E9D" w:rsidRPr="0051698C">
        <w:rPr>
          <w:sz w:val="22"/>
          <w:szCs w:val="22"/>
        </w:rPr>
        <w:t>los</w:t>
      </w:r>
      <w:r w:rsidRPr="0051698C">
        <w:rPr>
          <w:sz w:val="22"/>
          <w:szCs w:val="22"/>
        </w:rPr>
        <w:t xml:space="preserve"> numeral</w:t>
      </w:r>
      <w:r w:rsidR="00066E9D" w:rsidRPr="0051698C">
        <w:rPr>
          <w:sz w:val="22"/>
          <w:szCs w:val="22"/>
        </w:rPr>
        <w:t>es</w:t>
      </w:r>
      <w:r w:rsidRPr="0051698C">
        <w:rPr>
          <w:sz w:val="22"/>
          <w:szCs w:val="22"/>
        </w:rPr>
        <w:t xml:space="preserve"> 2.42</w:t>
      </w:r>
      <w:r w:rsidR="00066E9D" w:rsidRPr="0051698C">
        <w:rPr>
          <w:sz w:val="22"/>
          <w:szCs w:val="22"/>
        </w:rPr>
        <w:t xml:space="preserve"> y 2.43</w:t>
      </w:r>
      <w:r w:rsidRPr="0051698C">
        <w:rPr>
          <w:sz w:val="22"/>
          <w:szCs w:val="22"/>
        </w:rPr>
        <w:t xml:space="preserve"> en el artículo 2 de la Resolución de Superintendencia N.° 097-2012/SUNAT y normas modificatorias, en los términos siguientes: </w:t>
      </w:r>
    </w:p>
    <w:p w:rsidR="00860FF6" w:rsidRPr="0051698C" w:rsidRDefault="00860FF6" w:rsidP="00860FF6">
      <w:pPr>
        <w:pStyle w:val="NormalWeb"/>
        <w:ind w:left="0"/>
        <w:rPr>
          <w:rFonts w:ascii="Arial" w:hAnsi="Arial" w:cs="Arial"/>
          <w:bCs/>
          <w:sz w:val="22"/>
          <w:szCs w:val="22"/>
        </w:rPr>
      </w:pPr>
      <w:r w:rsidRPr="0051698C">
        <w:rPr>
          <w:rFonts w:ascii="Arial" w:hAnsi="Arial" w:cs="Arial"/>
          <w:color w:val="000000"/>
          <w:sz w:val="22"/>
          <w:szCs w:val="22"/>
        </w:rPr>
        <w:t>“</w:t>
      </w:r>
      <w:r w:rsidRPr="0051698C">
        <w:rPr>
          <w:rFonts w:ascii="Arial" w:hAnsi="Arial" w:cs="Arial"/>
          <w:bCs/>
          <w:sz w:val="22"/>
          <w:szCs w:val="22"/>
        </w:rPr>
        <w:t>Artículo 2.- DEFINICIONES</w:t>
      </w:r>
    </w:p>
    <w:p w:rsidR="00860FF6" w:rsidRPr="0051698C" w:rsidRDefault="00860FF6" w:rsidP="00860FF6">
      <w:pPr>
        <w:pStyle w:val="NormalWeb"/>
        <w:ind w:left="0"/>
        <w:rPr>
          <w:rFonts w:ascii="Arial" w:hAnsi="Arial" w:cs="Arial"/>
          <w:bCs/>
          <w:sz w:val="22"/>
          <w:szCs w:val="22"/>
        </w:rPr>
      </w:pPr>
      <w:r w:rsidRPr="0051698C">
        <w:rPr>
          <w:rFonts w:ascii="Arial" w:hAnsi="Arial" w:cs="Arial"/>
          <w:sz w:val="22"/>
          <w:szCs w:val="22"/>
        </w:rPr>
        <w:t>Para efecto de la presente resolución se entenderá por:</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w:t>
      </w:r>
    </w:p>
    <w:tbl>
      <w:tblPr>
        <w:tblW w:w="8535" w:type="dxa"/>
        <w:tblCellSpacing w:w="0" w:type="dxa"/>
        <w:tblLayout w:type="fixed"/>
        <w:tblLook w:val="04A0" w:firstRow="1" w:lastRow="0" w:firstColumn="1" w:lastColumn="0" w:noHBand="0" w:noVBand="1"/>
      </w:tblPr>
      <w:tblGrid>
        <w:gridCol w:w="582"/>
        <w:gridCol w:w="2988"/>
        <w:gridCol w:w="414"/>
        <w:gridCol w:w="4551"/>
      </w:tblGrid>
      <w:tr w:rsidR="00860FF6" w:rsidRPr="0051698C" w:rsidTr="006C0F72">
        <w:trPr>
          <w:trHeight w:val="877"/>
          <w:tblCellSpacing w:w="0" w:type="dxa"/>
        </w:trPr>
        <w:tc>
          <w:tcPr>
            <w:tcW w:w="582" w:type="dxa"/>
            <w:tcMar>
              <w:top w:w="15" w:type="dxa"/>
              <w:left w:w="15" w:type="dxa"/>
              <w:bottom w:w="15" w:type="dxa"/>
              <w:right w:w="15" w:type="dxa"/>
            </w:tcMar>
            <w:hideMark/>
          </w:tcPr>
          <w:p w:rsidR="00860FF6" w:rsidRPr="0051698C" w:rsidRDefault="00860FF6" w:rsidP="006C0F72">
            <w:pPr>
              <w:pStyle w:val="NormalWeb"/>
              <w:ind w:left="0"/>
              <w:rPr>
                <w:rFonts w:ascii="Arial" w:hAnsi="Arial" w:cs="Arial"/>
                <w:color w:val="000000"/>
                <w:sz w:val="22"/>
                <w:szCs w:val="22"/>
              </w:rPr>
            </w:pPr>
            <w:r w:rsidRPr="0051698C">
              <w:rPr>
                <w:rFonts w:ascii="Arial" w:hAnsi="Arial" w:cs="Arial"/>
                <w:color w:val="000000"/>
                <w:sz w:val="22"/>
                <w:szCs w:val="22"/>
              </w:rPr>
              <w:t>2.8</w:t>
            </w:r>
          </w:p>
        </w:tc>
        <w:tc>
          <w:tcPr>
            <w:tcW w:w="2988" w:type="dxa"/>
            <w:tcMar>
              <w:top w:w="15" w:type="dxa"/>
              <w:left w:w="15" w:type="dxa"/>
              <w:bottom w:w="15" w:type="dxa"/>
              <w:right w:w="15" w:type="dxa"/>
            </w:tcMar>
            <w:hideMark/>
          </w:tcPr>
          <w:p w:rsidR="00860FF6" w:rsidRPr="0051698C" w:rsidRDefault="00860FF6" w:rsidP="006C0F72">
            <w:pPr>
              <w:jc w:val="both"/>
              <w:rPr>
                <w:rFonts w:ascii="Arial" w:eastAsia="Times New Roman" w:hAnsi="Arial" w:cs="Arial"/>
                <w:color w:val="000000"/>
                <w:lang w:eastAsia="es-PE"/>
              </w:rPr>
            </w:pPr>
            <w:r w:rsidRPr="0051698C">
              <w:rPr>
                <w:rFonts w:ascii="Arial" w:eastAsia="Times New Roman" w:hAnsi="Arial" w:cs="Arial"/>
                <w:color w:val="000000"/>
                <w:lang w:eastAsia="es-PE"/>
              </w:rPr>
              <w:t>Comprobante de pago electrónico</w:t>
            </w:r>
          </w:p>
        </w:tc>
        <w:tc>
          <w:tcPr>
            <w:tcW w:w="414" w:type="dxa"/>
            <w:tcMar>
              <w:top w:w="15" w:type="dxa"/>
              <w:left w:w="15" w:type="dxa"/>
              <w:bottom w:w="15" w:type="dxa"/>
              <w:right w:w="15" w:type="dxa"/>
            </w:tcMar>
            <w:hideMark/>
          </w:tcPr>
          <w:p w:rsidR="00860FF6" w:rsidRPr="0051698C" w:rsidRDefault="00860FF6" w:rsidP="006C0F72">
            <w:pPr>
              <w:jc w:val="center"/>
              <w:rPr>
                <w:rFonts w:ascii="Arial" w:eastAsia="Times New Roman" w:hAnsi="Arial" w:cs="Arial"/>
                <w:b/>
                <w:color w:val="000000"/>
                <w:lang w:eastAsia="es-PE"/>
              </w:rPr>
            </w:pPr>
            <w:r w:rsidRPr="0051698C">
              <w:rPr>
                <w:rFonts w:ascii="Arial" w:eastAsia="Times New Roman" w:hAnsi="Arial" w:cs="Arial"/>
                <w:b/>
                <w:color w:val="000000"/>
                <w:lang w:eastAsia="es-PE"/>
              </w:rPr>
              <w:t>:</w:t>
            </w:r>
          </w:p>
        </w:tc>
        <w:tc>
          <w:tcPr>
            <w:tcW w:w="4551" w:type="dxa"/>
            <w:tcMar>
              <w:top w:w="15" w:type="dxa"/>
              <w:left w:w="15" w:type="dxa"/>
              <w:bottom w:w="15" w:type="dxa"/>
              <w:right w:w="15" w:type="dxa"/>
            </w:tcMar>
            <w:hideMark/>
          </w:tcPr>
          <w:p w:rsidR="00860FF6" w:rsidRPr="0051698C" w:rsidRDefault="00860FF6" w:rsidP="006C0F72">
            <w:pPr>
              <w:jc w:val="both"/>
              <w:rPr>
                <w:rFonts w:ascii="Arial" w:hAnsi="Arial" w:cs="Arial"/>
                <w:color w:val="000000"/>
                <w:lang w:val="es-MX"/>
              </w:rPr>
            </w:pPr>
            <w:r w:rsidRPr="0051698C">
              <w:rPr>
                <w:rFonts w:ascii="Arial" w:hAnsi="Arial" w:cs="Arial"/>
                <w:color w:val="000000"/>
                <w:lang w:val="es-MX"/>
              </w:rPr>
              <w:t>A la boleta de venta, la factura electrónica, el DAE o el recibo electrónico SP.</w:t>
            </w:r>
          </w:p>
          <w:p w:rsidR="00860FF6" w:rsidRPr="0051698C" w:rsidRDefault="00860FF6" w:rsidP="006C0F72">
            <w:pPr>
              <w:jc w:val="both"/>
              <w:rPr>
                <w:rFonts w:ascii="Arial" w:hAnsi="Arial" w:cs="Arial"/>
                <w:b/>
                <w:color w:val="000000"/>
                <w:lang w:val="es-MX"/>
              </w:rPr>
            </w:pPr>
          </w:p>
        </w:tc>
      </w:tr>
      <w:tr w:rsidR="00860FF6" w:rsidRPr="0051698C" w:rsidTr="006C0F72">
        <w:trPr>
          <w:tblCellSpacing w:w="0" w:type="dxa"/>
        </w:trPr>
        <w:tc>
          <w:tcPr>
            <w:tcW w:w="582" w:type="dxa"/>
            <w:tcMar>
              <w:top w:w="15" w:type="dxa"/>
              <w:left w:w="15" w:type="dxa"/>
              <w:bottom w:w="15" w:type="dxa"/>
              <w:right w:w="15" w:type="dxa"/>
            </w:tcMar>
            <w:hideMark/>
          </w:tcPr>
          <w:p w:rsidR="00860FF6" w:rsidRPr="0051698C" w:rsidRDefault="00860FF6" w:rsidP="006C0F72">
            <w:pPr>
              <w:pStyle w:val="NormalWeb"/>
              <w:ind w:left="0"/>
              <w:rPr>
                <w:rFonts w:ascii="Arial" w:hAnsi="Arial" w:cs="Arial"/>
                <w:color w:val="000000"/>
                <w:sz w:val="22"/>
                <w:szCs w:val="22"/>
              </w:rPr>
            </w:pPr>
            <w:r w:rsidRPr="0051698C">
              <w:rPr>
                <w:rFonts w:ascii="Arial" w:hAnsi="Arial" w:cs="Arial"/>
                <w:color w:val="000000"/>
                <w:sz w:val="22"/>
                <w:szCs w:val="22"/>
              </w:rPr>
              <w:t>(…)</w:t>
            </w:r>
          </w:p>
        </w:tc>
        <w:tc>
          <w:tcPr>
            <w:tcW w:w="2988" w:type="dxa"/>
            <w:tcMar>
              <w:top w:w="15" w:type="dxa"/>
              <w:left w:w="15" w:type="dxa"/>
              <w:bottom w:w="15" w:type="dxa"/>
              <w:right w:w="15" w:type="dxa"/>
            </w:tcMar>
            <w:hideMark/>
          </w:tcPr>
          <w:p w:rsidR="00860FF6" w:rsidRPr="0051698C" w:rsidRDefault="00860FF6" w:rsidP="006C0F72">
            <w:pPr>
              <w:spacing w:line="240" w:lineRule="atLeast"/>
              <w:jc w:val="both"/>
              <w:rPr>
                <w:rFonts w:ascii="Arial" w:eastAsia="Times New Roman" w:hAnsi="Arial" w:cs="Arial"/>
                <w:b/>
                <w:color w:val="000000"/>
                <w:lang w:eastAsia="es-PE"/>
              </w:rPr>
            </w:pPr>
          </w:p>
        </w:tc>
        <w:tc>
          <w:tcPr>
            <w:tcW w:w="414" w:type="dxa"/>
            <w:tcMar>
              <w:top w:w="15" w:type="dxa"/>
              <w:left w:w="15" w:type="dxa"/>
              <w:bottom w:w="15" w:type="dxa"/>
              <w:right w:w="15" w:type="dxa"/>
            </w:tcMar>
            <w:hideMark/>
          </w:tcPr>
          <w:p w:rsidR="00860FF6" w:rsidRPr="0051698C" w:rsidRDefault="00860FF6" w:rsidP="006C0F72">
            <w:pPr>
              <w:spacing w:line="240" w:lineRule="atLeast"/>
              <w:jc w:val="center"/>
              <w:rPr>
                <w:rFonts w:ascii="Arial" w:eastAsia="Times New Roman" w:hAnsi="Arial" w:cs="Arial"/>
                <w:b/>
                <w:color w:val="000000"/>
                <w:lang w:eastAsia="es-PE"/>
              </w:rPr>
            </w:pPr>
          </w:p>
        </w:tc>
        <w:tc>
          <w:tcPr>
            <w:tcW w:w="4551" w:type="dxa"/>
            <w:tcMar>
              <w:top w:w="15" w:type="dxa"/>
              <w:left w:w="15" w:type="dxa"/>
              <w:bottom w:w="15" w:type="dxa"/>
              <w:right w:w="15" w:type="dxa"/>
            </w:tcMar>
            <w:hideMark/>
          </w:tcPr>
          <w:p w:rsidR="00860FF6" w:rsidRPr="0051698C" w:rsidRDefault="00860FF6" w:rsidP="006C0F72">
            <w:pPr>
              <w:spacing w:line="240" w:lineRule="atLeast"/>
              <w:jc w:val="both"/>
              <w:rPr>
                <w:rFonts w:ascii="Arial" w:hAnsi="Arial" w:cs="Arial"/>
                <w:b/>
                <w:color w:val="000000"/>
                <w:lang w:val="es-MX"/>
              </w:rPr>
            </w:pPr>
          </w:p>
        </w:tc>
      </w:tr>
      <w:tr w:rsidR="00860FF6" w:rsidRPr="0051698C" w:rsidTr="006C0F72">
        <w:trPr>
          <w:trHeight w:val="170"/>
          <w:tblCellSpacing w:w="0" w:type="dxa"/>
        </w:trPr>
        <w:tc>
          <w:tcPr>
            <w:tcW w:w="582" w:type="dxa"/>
            <w:tcMar>
              <w:top w:w="15" w:type="dxa"/>
              <w:left w:w="15" w:type="dxa"/>
              <w:bottom w:w="15" w:type="dxa"/>
              <w:right w:w="15" w:type="dxa"/>
            </w:tcMar>
            <w:hideMark/>
          </w:tcPr>
          <w:p w:rsidR="00860FF6" w:rsidRPr="0051698C" w:rsidRDefault="00860FF6" w:rsidP="006C0F72">
            <w:pPr>
              <w:pStyle w:val="NormalWeb"/>
              <w:ind w:left="0"/>
              <w:rPr>
                <w:rFonts w:ascii="Arial" w:hAnsi="Arial" w:cs="Arial"/>
                <w:color w:val="000000"/>
                <w:sz w:val="22"/>
                <w:szCs w:val="22"/>
              </w:rPr>
            </w:pPr>
          </w:p>
        </w:tc>
        <w:tc>
          <w:tcPr>
            <w:tcW w:w="2988" w:type="dxa"/>
            <w:tcMar>
              <w:top w:w="15" w:type="dxa"/>
              <w:left w:w="15" w:type="dxa"/>
              <w:bottom w:w="15" w:type="dxa"/>
              <w:right w:w="15" w:type="dxa"/>
            </w:tcMar>
            <w:hideMark/>
          </w:tcPr>
          <w:p w:rsidR="00860FF6" w:rsidRPr="0051698C" w:rsidRDefault="00860FF6" w:rsidP="006C0F72">
            <w:pPr>
              <w:spacing w:line="240" w:lineRule="atLeast"/>
              <w:jc w:val="both"/>
              <w:rPr>
                <w:rFonts w:ascii="Arial" w:eastAsia="Times New Roman" w:hAnsi="Arial" w:cs="Arial"/>
                <w:color w:val="000000"/>
                <w:lang w:eastAsia="es-PE"/>
              </w:rPr>
            </w:pPr>
          </w:p>
        </w:tc>
        <w:tc>
          <w:tcPr>
            <w:tcW w:w="414" w:type="dxa"/>
            <w:tcMar>
              <w:top w:w="15" w:type="dxa"/>
              <w:left w:w="15" w:type="dxa"/>
              <w:bottom w:w="15" w:type="dxa"/>
              <w:right w:w="15" w:type="dxa"/>
            </w:tcMar>
            <w:hideMark/>
          </w:tcPr>
          <w:p w:rsidR="00860FF6" w:rsidRPr="0051698C" w:rsidRDefault="00860FF6" w:rsidP="006C0F72">
            <w:pPr>
              <w:spacing w:line="240" w:lineRule="atLeast"/>
              <w:jc w:val="center"/>
              <w:rPr>
                <w:rFonts w:ascii="Arial" w:eastAsia="Times New Roman" w:hAnsi="Arial" w:cs="Arial"/>
                <w:b/>
                <w:color w:val="000000"/>
                <w:lang w:eastAsia="es-PE"/>
              </w:rPr>
            </w:pPr>
          </w:p>
        </w:tc>
        <w:tc>
          <w:tcPr>
            <w:tcW w:w="4551" w:type="dxa"/>
            <w:tcMar>
              <w:top w:w="15" w:type="dxa"/>
              <w:left w:w="15" w:type="dxa"/>
              <w:bottom w:w="15" w:type="dxa"/>
              <w:right w:w="15" w:type="dxa"/>
            </w:tcMar>
            <w:hideMark/>
          </w:tcPr>
          <w:p w:rsidR="00860FF6" w:rsidRPr="0051698C" w:rsidRDefault="00860FF6" w:rsidP="006C0F72">
            <w:pPr>
              <w:spacing w:line="240" w:lineRule="atLeast"/>
              <w:jc w:val="both"/>
              <w:rPr>
                <w:rFonts w:ascii="Arial" w:hAnsi="Arial" w:cs="Arial"/>
                <w:color w:val="000000"/>
              </w:rPr>
            </w:pPr>
          </w:p>
        </w:tc>
      </w:tr>
      <w:tr w:rsidR="00860FF6" w:rsidRPr="0051698C" w:rsidTr="006C0F72">
        <w:trPr>
          <w:trHeight w:val="170"/>
          <w:tblCellSpacing w:w="0" w:type="dxa"/>
        </w:trPr>
        <w:tc>
          <w:tcPr>
            <w:tcW w:w="582" w:type="dxa"/>
            <w:tcMar>
              <w:top w:w="15" w:type="dxa"/>
              <w:left w:w="15" w:type="dxa"/>
              <w:bottom w:w="15" w:type="dxa"/>
              <w:right w:w="15" w:type="dxa"/>
            </w:tcMar>
            <w:hideMark/>
          </w:tcPr>
          <w:p w:rsidR="00860FF6" w:rsidRPr="0051698C" w:rsidRDefault="00860FF6" w:rsidP="006C0F72">
            <w:pPr>
              <w:pStyle w:val="NormalWeb"/>
              <w:ind w:left="0"/>
              <w:rPr>
                <w:rFonts w:ascii="Arial" w:hAnsi="Arial" w:cs="Arial"/>
                <w:color w:val="000000"/>
                <w:sz w:val="22"/>
                <w:szCs w:val="22"/>
              </w:rPr>
            </w:pPr>
            <w:r w:rsidRPr="0051698C">
              <w:rPr>
                <w:rFonts w:ascii="Arial" w:hAnsi="Arial" w:cs="Arial"/>
                <w:color w:val="000000"/>
                <w:sz w:val="22"/>
                <w:szCs w:val="22"/>
              </w:rPr>
              <w:lastRenderedPageBreak/>
              <w:t>2.19</w:t>
            </w:r>
          </w:p>
          <w:p w:rsidR="00860FF6" w:rsidRPr="0051698C" w:rsidRDefault="00860FF6" w:rsidP="006C0F72">
            <w:pPr>
              <w:pStyle w:val="NormalWeb"/>
              <w:rPr>
                <w:rFonts w:ascii="Arial" w:hAnsi="Arial" w:cs="Arial"/>
                <w:strike/>
                <w:color w:val="000000"/>
                <w:sz w:val="22"/>
                <w:szCs w:val="22"/>
              </w:rPr>
            </w:pPr>
          </w:p>
        </w:tc>
        <w:tc>
          <w:tcPr>
            <w:tcW w:w="2988" w:type="dxa"/>
            <w:tcMar>
              <w:top w:w="15" w:type="dxa"/>
              <w:left w:w="15" w:type="dxa"/>
              <w:bottom w:w="15" w:type="dxa"/>
              <w:right w:w="15" w:type="dxa"/>
            </w:tcMar>
            <w:hideMark/>
          </w:tcPr>
          <w:p w:rsidR="00860FF6" w:rsidRPr="0051698C" w:rsidRDefault="00860FF6" w:rsidP="004966E4">
            <w:pPr>
              <w:spacing w:line="220" w:lineRule="atLeast"/>
              <w:jc w:val="both"/>
              <w:rPr>
                <w:rFonts w:ascii="Arial" w:eastAsia="Times New Roman" w:hAnsi="Arial" w:cs="Arial"/>
                <w:color w:val="000000"/>
                <w:lang w:eastAsia="es-PE"/>
              </w:rPr>
            </w:pPr>
            <w:r w:rsidRPr="0051698C">
              <w:rPr>
                <w:rFonts w:ascii="Arial" w:eastAsia="Times New Roman" w:hAnsi="Arial" w:cs="Arial"/>
                <w:color w:val="000000"/>
                <w:lang w:eastAsia="es-PE"/>
              </w:rPr>
              <w:t>Representación impresa</w:t>
            </w:r>
            <w:r w:rsidR="00637E88" w:rsidRPr="0051698C">
              <w:rPr>
                <w:rFonts w:ascii="Arial" w:eastAsia="Times New Roman" w:hAnsi="Arial" w:cs="Arial"/>
                <w:color w:val="000000"/>
                <w:lang w:eastAsia="es-PE"/>
              </w:rPr>
              <w:t xml:space="preserve"> </w:t>
            </w:r>
          </w:p>
        </w:tc>
        <w:tc>
          <w:tcPr>
            <w:tcW w:w="414" w:type="dxa"/>
            <w:tcMar>
              <w:top w:w="15" w:type="dxa"/>
              <w:left w:w="15" w:type="dxa"/>
              <w:bottom w:w="15" w:type="dxa"/>
              <w:right w:w="15" w:type="dxa"/>
            </w:tcMar>
            <w:hideMark/>
          </w:tcPr>
          <w:p w:rsidR="00860FF6" w:rsidRPr="0051698C" w:rsidRDefault="00860FF6" w:rsidP="004966E4">
            <w:pPr>
              <w:spacing w:line="220" w:lineRule="atLeast"/>
              <w:jc w:val="center"/>
              <w:rPr>
                <w:rFonts w:ascii="Arial" w:eastAsia="Times New Roman" w:hAnsi="Arial" w:cs="Arial"/>
                <w:b/>
                <w:color w:val="000000"/>
                <w:lang w:eastAsia="es-PE"/>
              </w:rPr>
            </w:pPr>
            <w:r w:rsidRPr="0051698C">
              <w:rPr>
                <w:rFonts w:ascii="Arial" w:eastAsia="Times New Roman" w:hAnsi="Arial" w:cs="Arial"/>
                <w:b/>
                <w:color w:val="000000"/>
                <w:lang w:eastAsia="es-PE"/>
              </w:rPr>
              <w:t>:</w:t>
            </w:r>
          </w:p>
        </w:tc>
        <w:tc>
          <w:tcPr>
            <w:tcW w:w="4551" w:type="dxa"/>
            <w:tcMar>
              <w:top w:w="15" w:type="dxa"/>
              <w:left w:w="15" w:type="dxa"/>
              <w:bottom w:w="15" w:type="dxa"/>
              <w:right w:w="15" w:type="dxa"/>
            </w:tcMar>
            <w:hideMark/>
          </w:tcPr>
          <w:p w:rsidR="00860FF6" w:rsidRPr="0051698C" w:rsidRDefault="00597C87" w:rsidP="004966E4">
            <w:pPr>
              <w:spacing w:line="220" w:lineRule="atLeast"/>
              <w:jc w:val="both"/>
              <w:rPr>
                <w:rFonts w:ascii="Arial" w:hAnsi="Arial" w:cs="Arial"/>
                <w:strike/>
                <w:lang w:val="es-MX"/>
              </w:rPr>
            </w:pPr>
            <w:r w:rsidRPr="0051698C">
              <w:rPr>
                <w:rFonts w:ascii="Arial" w:hAnsi="Arial" w:cs="Arial"/>
                <w:color w:val="000000"/>
              </w:rPr>
              <w:t>A la impresión en soporte de papel del comprobante de pago electrónico, la nota electrónica vinculada a aquel o del resumen al que alude</w:t>
            </w:r>
            <w:r w:rsidR="00B22E7D" w:rsidRPr="0051698C">
              <w:rPr>
                <w:rFonts w:ascii="Arial" w:hAnsi="Arial" w:cs="Arial"/>
                <w:color w:val="000000"/>
              </w:rPr>
              <w:t xml:space="preserve"> el</w:t>
            </w:r>
            <w:r w:rsidRPr="0051698C">
              <w:rPr>
                <w:rFonts w:ascii="Arial" w:hAnsi="Arial" w:cs="Arial"/>
                <w:color w:val="000000"/>
              </w:rPr>
              <w:t xml:space="preserve"> segundo párrafo del artículo 2 y el últ</w:t>
            </w:r>
            <w:r w:rsidRPr="0051698C">
              <w:rPr>
                <w:rFonts w:ascii="Arial" w:hAnsi="Arial" w:cs="Arial"/>
              </w:rPr>
              <w:t>imo párrafo del artículo 3</w:t>
            </w:r>
            <w:r w:rsidR="00B22E7D" w:rsidRPr="0051698C">
              <w:rPr>
                <w:rFonts w:ascii="Arial" w:hAnsi="Arial" w:cs="Arial"/>
              </w:rPr>
              <w:t xml:space="preserve"> del</w:t>
            </w:r>
            <w:r w:rsidRPr="0051698C">
              <w:rPr>
                <w:rFonts w:ascii="Arial" w:hAnsi="Arial" w:cs="Arial"/>
              </w:rPr>
              <w:t xml:space="preserve"> Decreto Ley N.° 25632 y normas modificatorias, que contenga, como mínimo, la información detallada en los anexos respectivos.</w:t>
            </w:r>
          </w:p>
          <w:p w:rsidR="00597C87" w:rsidRPr="0051698C" w:rsidRDefault="00597C87" w:rsidP="004966E4">
            <w:pPr>
              <w:spacing w:line="220" w:lineRule="atLeast"/>
              <w:jc w:val="both"/>
              <w:rPr>
                <w:rFonts w:ascii="Arial" w:hAnsi="Arial" w:cs="Arial"/>
              </w:rPr>
            </w:pPr>
          </w:p>
          <w:p w:rsidR="00597C87" w:rsidRPr="0051698C" w:rsidRDefault="00597C87" w:rsidP="004966E4">
            <w:pPr>
              <w:tabs>
                <w:tab w:val="left" w:pos="567"/>
              </w:tabs>
              <w:spacing w:line="220" w:lineRule="atLeast"/>
              <w:jc w:val="both"/>
              <w:rPr>
                <w:rFonts w:ascii="Arial" w:hAnsi="Arial" w:cs="Arial"/>
              </w:rPr>
            </w:pPr>
            <w:r w:rsidRPr="0051698C">
              <w:rPr>
                <w:rFonts w:ascii="Arial" w:hAnsi="Arial" w:cs="Arial"/>
              </w:rPr>
              <w:t xml:space="preserve">Tratándose del recibo electrónico SP, lo indicado en el párrafo anterior incluye al recibo que emitan las empresas que prestan los servicios indicados en el literal d) del inciso 6.1 del numeral 6 del artículo 4 del Reglamento de Comprobantes de Pago, sin considerar la operación a que se refiere el sétimo párrafo de ese literal, y en el literal o) del inciso 6.1 del numeral antes referido, sin considerar la operación a que se refiere el tercer párrafo de ese literal, siempre que contenga </w:t>
            </w:r>
            <w:r w:rsidR="002230CA" w:rsidRPr="0051698C">
              <w:rPr>
                <w:rFonts w:ascii="Arial" w:hAnsi="Arial" w:cs="Arial"/>
              </w:rPr>
              <w:t>la información mínima detallada en el anexo respectivo</w:t>
            </w:r>
            <w:r w:rsidRPr="0051698C">
              <w:rPr>
                <w:rFonts w:ascii="Arial" w:hAnsi="Arial" w:cs="Arial"/>
              </w:rPr>
              <w:t>.</w:t>
            </w:r>
          </w:p>
          <w:p w:rsidR="00597C87" w:rsidRPr="0051698C" w:rsidRDefault="00597C87" w:rsidP="004966E4">
            <w:pPr>
              <w:spacing w:line="220" w:lineRule="atLeast"/>
              <w:jc w:val="both"/>
              <w:rPr>
                <w:rFonts w:ascii="Arial" w:hAnsi="Arial" w:cs="Arial"/>
              </w:rPr>
            </w:pPr>
            <w:r w:rsidRPr="0051698C">
              <w:rPr>
                <w:rFonts w:ascii="Arial" w:hAnsi="Arial" w:cs="Arial"/>
              </w:rPr>
              <w:t xml:space="preserve"> </w:t>
            </w:r>
          </w:p>
          <w:p w:rsidR="00274F17" w:rsidRPr="0051698C" w:rsidRDefault="00597C87" w:rsidP="004966E4">
            <w:pPr>
              <w:spacing w:line="220" w:lineRule="atLeast"/>
              <w:jc w:val="both"/>
              <w:rPr>
                <w:rFonts w:ascii="Arial" w:hAnsi="Arial" w:cs="Arial"/>
                <w:color w:val="000000"/>
              </w:rPr>
            </w:pPr>
            <w:r w:rsidRPr="0051698C">
              <w:rPr>
                <w:rFonts w:ascii="Arial" w:hAnsi="Arial" w:cs="Arial"/>
                <w:color w:val="000000"/>
              </w:rPr>
              <w:t xml:space="preserve">La impresión podrá realizarse utilizando cualquier tipo de papel. Si se usa tecnología de impresión térmica, deberá emplearse un papel que garantice la integridad y legibilidad de la información, por lo menos por un año contado desde la fecha de su emisión. Se considerará para ello las especificaciones dadas por el fabricante o proveedor de dicho papel. </w:t>
            </w:r>
          </w:p>
          <w:p w:rsidR="00274F17" w:rsidRPr="0051698C" w:rsidRDefault="00274F17" w:rsidP="004966E4">
            <w:pPr>
              <w:spacing w:line="220" w:lineRule="atLeast"/>
              <w:jc w:val="both"/>
              <w:rPr>
                <w:rFonts w:ascii="Arial" w:hAnsi="Arial" w:cs="Arial"/>
                <w:color w:val="000000"/>
              </w:rPr>
            </w:pPr>
          </w:p>
          <w:p w:rsidR="00597C87" w:rsidRPr="0051698C" w:rsidRDefault="00597C87" w:rsidP="004966E4">
            <w:pPr>
              <w:spacing w:line="220" w:lineRule="atLeast"/>
              <w:jc w:val="both"/>
              <w:rPr>
                <w:rFonts w:ascii="Arial" w:hAnsi="Arial" w:cs="Arial"/>
                <w:color w:val="000000"/>
              </w:rPr>
            </w:pPr>
            <w:r w:rsidRPr="0051698C">
              <w:rPr>
                <w:rFonts w:ascii="Arial" w:hAnsi="Arial" w:cs="Arial"/>
                <w:color w:val="000000"/>
              </w:rPr>
              <w:t>El incumplimiento de lo señalado en el párrafo anterior no afecta la calidad de la representación impresa del comprobante de pago electrónico o la nota electrónica.</w:t>
            </w:r>
          </w:p>
          <w:p w:rsidR="00597C87" w:rsidRPr="0051698C" w:rsidRDefault="00597C87" w:rsidP="004966E4">
            <w:pPr>
              <w:spacing w:line="220" w:lineRule="atLeast"/>
              <w:jc w:val="both"/>
              <w:rPr>
                <w:rFonts w:ascii="Arial" w:hAnsi="Arial" w:cs="Arial"/>
                <w:color w:val="000000"/>
              </w:rPr>
            </w:pPr>
          </w:p>
          <w:p w:rsidR="00860FF6" w:rsidRPr="0051698C" w:rsidRDefault="00597C87" w:rsidP="004966E4">
            <w:pPr>
              <w:spacing w:line="220" w:lineRule="atLeast"/>
              <w:jc w:val="both"/>
              <w:rPr>
                <w:rFonts w:ascii="Arial" w:hAnsi="Arial" w:cs="Arial"/>
                <w:strike/>
                <w:color w:val="000000" w:themeColor="text1"/>
              </w:rPr>
            </w:pPr>
            <w:r w:rsidRPr="0051698C">
              <w:rPr>
                <w:rFonts w:ascii="Arial" w:hAnsi="Arial" w:cs="Arial"/>
                <w:color w:val="000000"/>
              </w:rPr>
              <w:t xml:space="preserve">También se considera como tal la impresión del CRE y del CPE emitida de acuerdo </w:t>
            </w:r>
            <w:r w:rsidR="00FA4D5B" w:rsidRPr="0051698C">
              <w:rPr>
                <w:rFonts w:ascii="Arial" w:hAnsi="Arial" w:cs="Arial"/>
                <w:color w:val="000000"/>
              </w:rPr>
              <w:t>con</w:t>
            </w:r>
            <w:r w:rsidRPr="0051698C">
              <w:rPr>
                <w:rFonts w:ascii="Arial" w:hAnsi="Arial" w:cs="Arial"/>
                <w:color w:val="000000"/>
              </w:rPr>
              <w:t xml:space="preserve"> la </w:t>
            </w:r>
            <w:r w:rsidRPr="0051698C">
              <w:rPr>
                <w:rFonts w:ascii="Arial" w:hAnsi="Arial" w:cs="Arial"/>
                <w:color w:val="000000"/>
              </w:rPr>
              <w:lastRenderedPageBreak/>
              <w:t>normativa general que regula la emisión electrónica de dichos documentos y a esta resolución.</w:t>
            </w:r>
            <w:r w:rsidR="00860FF6" w:rsidRPr="0051698C">
              <w:rPr>
                <w:rFonts w:ascii="Arial" w:hAnsi="Arial" w:cs="Arial"/>
                <w:strike/>
                <w:color w:val="000000" w:themeColor="text1"/>
              </w:rPr>
              <w:t xml:space="preserve"> </w:t>
            </w:r>
          </w:p>
          <w:p w:rsidR="00860FF6" w:rsidRPr="0051698C" w:rsidRDefault="00860FF6" w:rsidP="004966E4">
            <w:pPr>
              <w:spacing w:line="220" w:lineRule="atLeast"/>
              <w:jc w:val="both"/>
              <w:rPr>
                <w:rFonts w:ascii="Arial" w:hAnsi="Arial" w:cs="Arial"/>
                <w:strike/>
                <w:color w:val="000000"/>
                <w:lang w:val="es-MX"/>
              </w:rPr>
            </w:pPr>
          </w:p>
        </w:tc>
      </w:tr>
      <w:tr w:rsidR="009C3BFC" w:rsidRPr="0051698C" w:rsidTr="006C0F72">
        <w:trPr>
          <w:trHeight w:val="170"/>
          <w:tblCellSpacing w:w="0" w:type="dxa"/>
        </w:trPr>
        <w:tc>
          <w:tcPr>
            <w:tcW w:w="582" w:type="dxa"/>
            <w:tcMar>
              <w:top w:w="15" w:type="dxa"/>
              <w:left w:w="15" w:type="dxa"/>
              <w:bottom w:w="15" w:type="dxa"/>
              <w:right w:w="15" w:type="dxa"/>
            </w:tcMar>
            <w:hideMark/>
          </w:tcPr>
          <w:p w:rsidR="009C3BFC" w:rsidRPr="0051698C" w:rsidRDefault="009C3BFC" w:rsidP="00FA4D5B">
            <w:pPr>
              <w:pStyle w:val="NormalWeb"/>
              <w:spacing w:before="0" w:beforeAutospacing="0" w:after="0" w:afterAutospacing="0" w:line="220" w:lineRule="atLeast"/>
              <w:ind w:left="0"/>
              <w:rPr>
                <w:rFonts w:ascii="Arial" w:hAnsi="Arial" w:cs="Arial"/>
                <w:color w:val="000000"/>
                <w:sz w:val="22"/>
                <w:szCs w:val="22"/>
              </w:rPr>
            </w:pPr>
            <w:r w:rsidRPr="0051698C">
              <w:rPr>
                <w:rFonts w:ascii="Arial" w:hAnsi="Arial" w:cs="Arial"/>
                <w:color w:val="000000"/>
                <w:sz w:val="22"/>
                <w:szCs w:val="22"/>
              </w:rPr>
              <w:lastRenderedPageBreak/>
              <w:t>(…)</w:t>
            </w:r>
          </w:p>
          <w:p w:rsidR="00FA4D5B" w:rsidRPr="0051698C" w:rsidRDefault="00FA4D5B" w:rsidP="00FA4D5B">
            <w:pPr>
              <w:pStyle w:val="NormalWeb"/>
              <w:spacing w:before="0" w:beforeAutospacing="0" w:after="0" w:afterAutospacing="0" w:line="220" w:lineRule="atLeast"/>
              <w:ind w:left="0"/>
              <w:rPr>
                <w:rFonts w:ascii="Arial" w:hAnsi="Arial" w:cs="Arial"/>
                <w:color w:val="000000"/>
                <w:sz w:val="22"/>
                <w:szCs w:val="22"/>
              </w:rPr>
            </w:pPr>
          </w:p>
        </w:tc>
        <w:tc>
          <w:tcPr>
            <w:tcW w:w="2988" w:type="dxa"/>
            <w:tcMar>
              <w:top w:w="15" w:type="dxa"/>
              <w:left w:w="15" w:type="dxa"/>
              <w:bottom w:w="15" w:type="dxa"/>
              <w:right w:w="15" w:type="dxa"/>
            </w:tcMar>
            <w:hideMark/>
          </w:tcPr>
          <w:p w:rsidR="009C3BFC" w:rsidRPr="0051698C" w:rsidRDefault="009C3BFC" w:rsidP="00FA4D5B">
            <w:pPr>
              <w:spacing w:line="220" w:lineRule="atLeast"/>
              <w:jc w:val="both"/>
              <w:rPr>
                <w:rFonts w:ascii="Arial" w:eastAsia="Times New Roman" w:hAnsi="Arial" w:cs="Arial"/>
                <w:lang w:eastAsia="es-PE"/>
              </w:rPr>
            </w:pPr>
          </w:p>
        </w:tc>
        <w:tc>
          <w:tcPr>
            <w:tcW w:w="414" w:type="dxa"/>
            <w:tcMar>
              <w:top w:w="15" w:type="dxa"/>
              <w:left w:w="15" w:type="dxa"/>
              <w:bottom w:w="15" w:type="dxa"/>
              <w:right w:w="15" w:type="dxa"/>
            </w:tcMar>
            <w:hideMark/>
          </w:tcPr>
          <w:p w:rsidR="009C3BFC" w:rsidRPr="0051698C" w:rsidRDefault="009C3BFC" w:rsidP="00FA4D5B">
            <w:pPr>
              <w:spacing w:line="220" w:lineRule="atLeast"/>
              <w:jc w:val="center"/>
              <w:rPr>
                <w:rFonts w:ascii="Arial" w:eastAsia="Times New Roman" w:hAnsi="Arial" w:cs="Arial"/>
                <w:lang w:eastAsia="es-PE"/>
              </w:rPr>
            </w:pPr>
          </w:p>
        </w:tc>
        <w:tc>
          <w:tcPr>
            <w:tcW w:w="4551" w:type="dxa"/>
            <w:tcMar>
              <w:top w:w="15" w:type="dxa"/>
              <w:left w:w="15" w:type="dxa"/>
              <w:bottom w:w="15" w:type="dxa"/>
              <w:right w:w="15" w:type="dxa"/>
            </w:tcMar>
            <w:hideMark/>
          </w:tcPr>
          <w:p w:rsidR="009C3BFC" w:rsidRPr="0051698C" w:rsidRDefault="009C3BFC" w:rsidP="00FA4D5B">
            <w:pPr>
              <w:spacing w:line="220" w:lineRule="atLeast"/>
              <w:jc w:val="both"/>
              <w:rPr>
                <w:rFonts w:ascii="Arial" w:hAnsi="Arial" w:cs="Arial"/>
                <w:lang w:val="es-MX"/>
              </w:rPr>
            </w:pPr>
          </w:p>
        </w:tc>
      </w:tr>
      <w:tr w:rsidR="00847A45" w:rsidRPr="0051698C" w:rsidTr="006C0F72">
        <w:trPr>
          <w:trHeight w:val="170"/>
          <w:tblCellSpacing w:w="0" w:type="dxa"/>
        </w:trPr>
        <w:tc>
          <w:tcPr>
            <w:tcW w:w="582" w:type="dxa"/>
            <w:tcMar>
              <w:top w:w="15" w:type="dxa"/>
              <w:left w:w="15" w:type="dxa"/>
              <w:bottom w:w="15" w:type="dxa"/>
              <w:right w:w="15" w:type="dxa"/>
            </w:tcMar>
            <w:hideMark/>
          </w:tcPr>
          <w:p w:rsidR="00847A45" w:rsidRPr="0051698C" w:rsidRDefault="00847A45" w:rsidP="00FA4D5B">
            <w:pPr>
              <w:pStyle w:val="NormalWeb"/>
              <w:spacing w:before="0" w:beforeAutospacing="0" w:after="0" w:afterAutospacing="0" w:line="220" w:lineRule="atLeast"/>
              <w:ind w:left="0"/>
              <w:rPr>
                <w:rFonts w:ascii="Arial" w:hAnsi="Arial" w:cs="Arial"/>
                <w:color w:val="000000"/>
                <w:sz w:val="22"/>
                <w:szCs w:val="22"/>
              </w:rPr>
            </w:pPr>
            <w:r w:rsidRPr="0051698C">
              <w:rPr>
                <w:rFonts w:ascii="Arial" w:hAnsi="Arial" w:cs="Arial"/>
                <w:color w:val="000000"/>
                <w:sz w:val="22"/>
                <w:szCs w:val="22"/>
              </w:rPr>
              <w:t>2.29</w:t>
            </w:r>
          </w:p>
        </w:tc>
        <w:tc>
          <w:tcPr>
            <w:tcW w:w="2988" w:type="dxa"/>
            <w:tcMar>
              <w:top w:w="15" w:type="dxa"/>
              <w:left w:w="15" w:type="dxa"/>
              <w:bottom w:w="15" w:type="dxa"/>
              <w:right w:w="15" w:type="dxa"/>
            </w:tcMar>
            <w:hideMark/>
          </w:tcPr>
          <w:p w:rsidR="00847A45" w:rsidRPr="0051698C" w:rsidRDefault="00847A45" w:rsidP="00FA4D5B">
            <w:pPr>
              <w:spacing w:line="220" w:lineRule="atLeast"/>
              <w:jc w:val="both"/>
              <w:rPr>
                <w:rFonts w:ascii="Arial" w:eastAsia="Times New Roman" w:hAnsi="Arial" w:cs="Arial"/>
                <w:lang w:eastAsia="es-PE"/>
              </w:rPr>
            </w:pPr>
            <w:r w:rsidRPr="0051698C">
              <w:rPr>
                <w:rFonts w:ascii="Arial" w:eastAsia="Times New Roman" w:hAnsi="Arial" w:cs="Arial"/>
                <w:lang w:eastAsia="es-PE"/>
              </w:rPr>
              <w:t>SEE</w:t>
            </w:r>
          </w:p>
        </w:tc>
        <w:tc>
          <w:tcPr>
            <w:tcW w:w="414" w:type="dxa"/>
            <w:tcMar>
              <w:top w:w="15" w:type="dxa"/>
              <w:left w:w="15" w:type="dxa"/>
              <w:bottom w:w="15" w:type="dxa"/>
              <w:right w:w="15" w:type="dxa"/>
            </w:tcMar>
            <w:hideMark/>
          </w:tcPr>
          <w:p w:rsidR="00847A45" w:rsidRPr="0051698C" w:rsidRDefault="00847A45" w:rsidP="00FA4D5B">
            <w:pPr>
              <w:spacing w:line="220" w:lineRule="atLeast"/>
              <w:jc w:val="center"/>
              <w:rPr>
                <w:rFonts w:ascii="Arial" w:eastAsia="Times New Roman" w:hAnsi="Arial" w:cs="Arial"/>
                <w:lang w:eastAsia="es-PE"/>
              </w:rPr>
            </w:pPr>
            <w:r w:rsidRPr="0051698C">
              <w:rPr>
                <w:rFonts w:ascii="Arial" w:eastAsia="Times New Roman" w:hAnsi="Arial" w:cs="Arial"/>
                <w:lang w:eastAsia="es-PE"/>
              </w:rPr>
              <w:t>:</w:t>
            </w:r>
          </w:p>
        </w:tc>
        <w:tc>
          <w:tcPr>
            <w:tcW w:w="4551" w:type="dxa"/>
            <w:tcMar>
              <w:top w:w="15" w:type="dxa"/>
              <w:left w:w="15" w:type="dxa"/>
              <w:bottom w:w="15" w:type="dxa"/>
              <w:right w:w="15" w:type="dxa"/>
            </w:tcMar>
            <w:hideMark/>
          </w:tcPr>
          <w:p w:rsidR="00847A45" w:rsidRPr="0051698C" w:rsidRDefault="00847A45" w:rsidP="00FA4D5B">
            <w:pPr>
              <w:spacing w:line="220" w:lineRule="atLeast"/>
              <w:jc w:val="both"/>
              <w:rPr>
                <w:rFonts w:ascii="Arial" w:hAnsi="Arial" w:cs="Arial"/>
                <w:lang w:val="es-MX"/>
              </w:rPr>
            </w:pPr>
            <w:r w:rsidRPr="0051698C">
              <w:rPr>
                <w:rFonts w:ascii="Arial" w:hAnsi="Arial" w:cs="Arial"/>
                <w:lang w:val="es-MX"/>
              </w:rPr>
              <w:t>Al Sistema de Emisión Electrónica creado por el artículo 1 de la Resolución de Superintendencia N.° 300-2014/SUNAT y normas modificatorias.</w:t>
            </w:r>
          </w:p>
          <w:p w:rsidR="00847A45" w:rsidRPr="0051698C" w:rsidRDefault="00847A45" w:rsidP="00FA4D5B">
            <w:pPr>
              <w:spacing w:line="220" w:lineRule="atLeast"/>
              <w:jc w:val="both"/>
              <w:rPr>
                <w:rFonts w:ascii="Arial" w:hAnsi="Arial" w:cs="Arial"/>
                <w:lang w:val="es-MX"/>
              </w:rPr>
            </w:pPr>
          </w:p>
        </w:tc>
      </w:tr>
      <w:tr w:rsidR="00847A45" w:rsidRPr="0051698C" w:rsidTr="006C0F72">
        <w:trPr>
          <w:trHeight w:val="170"/>
          <w:tblCellSpacing w:w="0" w:type="dxa"/>
        </w:trPr>
        <w:tc>
          <w:tcPr>
            <w:tcW w:w="582" w:type="dxa"/>
            <w:tcMar>
              <w:top w:w="15" w:type="dxa"/>
              <w:left w:w="15" w:type="dxa"/>
              <w:bottom w:w="15" w:type="dxa"/>
              <w:right w:w="15" w:type="dxa"/>
            </w:tcMar>
            <w:hideMark/>
          </w:tcPr>
          <w:p w:rsidR="00847A45" w:rsidRPr="0051698C" w:rsidRDefault="00847A45" w:rsidP="00FA4D5B">
            <w:pPr>
              <w:pStyle w:val="NormalWeb"/>
              <w:spacing w:before="0" w:beforeAutospacing="0" w:after="0" w:afterAutospacing="0" w:line="220" w:lineRule="atLeast"/>
              <w:ind w:left="0"/>
              <w:rPr>
                <w:rFonts w:ascii="Arial" w:hAnsi="Arial" w:cs="Arial"/>
                <w:color w:val="000000"/>
                <w:sz w:val="22"/>
                <w:szCs w:val="22"/>
              </w:rPr>
            </w:pPr>
            <w:r w:rsidRPr="0051698C">
              <w:rPr>
                <w:rFonts w:ascii="Arial" w:hAnsi="Arial" w:cs="Arial"/>
                <w:color w:val="000000"/>
                <w:sz w:val="22"/>
                <w:szCs w:val="22"/>
              </w:rPr>
              <w:t>(…)</w:t>
            </w:r>
          </w:p>
          <w:p w:rsidR="00847A45" w:rsidRPr="0051698C" w:rsidRDefault="00847A45" w:rsidP="00FA4D5B">
            <w:pPr>
              <w:pStyle w:val="NormalWeb"/>
              <w:spacing w:before="0" w:beforeAutospacing="0" w:after="0" w:afterAutospacing="0" w:line="220" w:lineRule="atLeast"/>
              <w:ind w:left="0"/>
              <w:rPr>
                <w:rFonts w:ascii="Arial" w:hAnsi="Arial" w:cs="Arial"/>
                <w:color w:val="000000"/>
                <w:sz w:val="22"/>
                <w:szCs w:val="22"/>
              </w:rPr>
            </w:pPr>
          </w:p>
        </w:tc>
        <w:tc>
          <w:tcPr>
            <w:tcW w:w="2988" w:type="dxa"/>
            <w:tcMar>
              <w:top w:w="15" w:type="dxa"/>
              <w:left w:w="15" w:type="dxa"/>
              <w:bottom w:w="15" w:type="dxa"/>
              <w:right w:w="15" w:type="dxa"/>
            </w:tcMar>
            <w:hideMark/>
          </w:tcPr>
          <w:p w:rsidR="00847A45" w:rsidRPr="0051698C" w:rsidRDefault="00847A45" w:rsidP="00FA4D5B">
            <w:pPr>
              <w:spacing w:line="220" w:lineRule="atLeast"/>
              <w:jc w:val="both"/>
              <w:rPr>
                <w:rFonts w:ascii="Arial" w:eastAsia="Times New Roman" w:hAnsi="Arial" w:cs="Arial"/>
                <w:lang w:eastAsia="es-PE"/>
              </w:rPr>
            </w:pPr>
          </w:p>
        </w:tc>
        <w:tc>
          <w:tcPr>
            <w:tcW w:w="414" w:type="dxa"/>
            <w:tcMar>
              <w:top w:w="15" w:type="dxa"/>
              <w:left w:w="15" w:type="dxa"/>
              <w:bottom w:w="15" w:type="dxa"/>
              <w:right w:w="15" w:type="dxa"/>
            </w:tcMar>
            <w:hideMark/>
          </w:tcPr>
          <w:p w:rsidR="00847A45" w:rsidRPr="0051698C" w:rsidRDefault="00847A45" w:rsidP="00FA4D5B">
            <w:pPr>
              <w:spacing w:line="220" w:lineRule="atLeast"/>
              <w:jc w:val="center"/>
              <w:rPr>
                <w:rFonts w:ascii="Arial" w:eastAsia="Times New Roman" w:hAnsi="Arial" w:cs="Arial"/>
                <w:lang w:eastAsia="es-PE"/>
              </w:rPr>
            </w:pPr>
          </w:p>
        </w:tc>
        <w:tc>
          <w:tcPr>
            <w:tcW w:w="4551" w:type="dxa"/>
            <w:tcMar>
              <w:top w:w="15" w:type="dxa"/>
              <w:left w:w="15" w:type="dxa"/>
              <w:bottom w:w="15" w:type="dxa"/>
              <w:right w:w="15" w:type="dxa"/>
            </w:tcMar>
            <w:hideMark/>
          </w:tcPr>
          <w:p w:rsidR="00847A45" w:rsidRPr="0051698C" w:rsidRDefault="00847A45" w:rsidP="00FA4D5B">
            <w:pPr>
              <w:spacing w:line="220" w:lineRule="atLeast"/>
              <w:jc w:val="both"/>
              <w:rPr>
                <w:rFonts w:ascii="Arial" w:hAnsi="Arial" w:cs="Arial"/>
                <w:lang w:val="es-MX"/>
              </w:rPr>
            </w:pPr>
          </w:p>
        </w:tc>
      </w:tr>
      <w:tr w:rsidR="00860FF6" w:rsidRPr="0051698C" w:rsidTr="006C0F72">
        <w:trPr>
          <w:trHeight w:val="170"/>
          <w:tblCellSpacing w:w="0" w:type="dxa"/>
        </w:trPr>
        <w:tc>
          <w:tcPr>
            <w:tcW w:w="582" w:type="dxa"/>
            <w:tcMar>
              <w:top w:w="15" w:type="dxa"/>
              <w:left w:w="15" w:type="dxa"/>
              <w:bottom w:w="15" w:type="dxa"/>
              <w:right w:w="15" w:type="dxa"/>
            </w:tcMar>
            <w:hideMark/>
          </w:tcPr>
          <w:p w:rsidR="00860FF6" w:rsidRPr="0051698C" w:rsidRDefault="00860FF6" w:rsidP="00FA4D5B">
            <w:pPr>
              <w:pStyle w:val="NormalWeb"/>
              <w:spacing w:before="0" w:beforeAutospacing="0" w:after="0" w:afterAutospacing="0" w:line="220" w:lineRule="atLeast"/>
              <w:ind w:left="0"/>
              <w:rPr>
                <w:rFonts w:ascii="Arial" w:hAnsi="Arial" w:cs="Arial"/>
                <w:color w:val="000000"/>
                <w:sz w:val="22"/>
                <w:szCs w:val="22"/>
              </w:rPr>
            </w:pPr>
            <w:r w:rsidRPr="0051698C">
              <w:rPr>
                <w:rFonts w:ascii="Arial" w:hAnsi="Arial" w:cs="Arial"/>
                <w:color w:val="000000"/>
                <w:sz w:val="22"/>
                <w:szCs w:val="22"/>
              </w:rPr>
              <w:t>2.37</w:t>
            </w:r>
          </w:p>
        </w:tc>
        <w:tc>
          <w:tcPr>
            <w:tcW w:w="2988" w:type="dxa"/>
            <w:tcMar>
              <w:top w:w="15" w:type="dxa"/>
              <w:left w:w="15" w:type="dxa"/>
              <w:bottom w:w="15" w:type="dxa"/>
              <w:right w:w="15" w:type="dxa"/>
            </w:tcMar>
            <w:hideMark/>
          </w:tcPr>
          <w:p w:rsidR="00860FF6" w:rsidRPr="0051698C" w:rsidRDefault="00860FF6" w:rsidP="00FA4D5B">
            <w:pPr>
              <w:spacing w:line="220" w:lineRule="atLeast"/>
              <w:jc w:val="both"/>
              <w:rPr>
                <w:rFonts w:ascii="Arial" w:eastAsia="Times New Roman" w:hAnsi="Arial" w:cs="Arial"/>
                <w:lang w:eastAsia="es-PE"/>
              </w:rPr>
            </w:pPr>
            <w:r w:rsidRPr="0051698C">
              <w:rPr>
                <w:rFonts w:ascii="Arial" w:eastAsia="Times New Roman" w:hAnsi="Arial" w:cs="Arial"/>
                <w:lang w:eastAsia="es-PE"/>
              </w:rPr>
              <w:t>Documento autorizado electrónico (DAE)</w:t>
            </w:r>
          </w:p>
        </w:tc>
        <w:tc>
          <w:tcPr>
            <w:tcW w:w="414" w:type="dxa"/>
            <w:tcMar>
              <w:top w:w="15" w:type="dxa"/>
              <w:left w:w="15" w:type="dxa"/>
              <w:bottom w:w="15" w:type="dxa"/>
              <w:right w:w="15" w:type="dxa"/>
            </w:tcMar>
            <w:hideMark/>
          </w:tcPr>
          <w:p w:rsidR="00860FF6" w:rsidRPr="0051698C" w:rsidRDefault="00860FF6" w:rsidP="00FA4D5B">
            <w:pPr>
              <w:spacing w:line="220" w:lineRule="atLeast"/>
              <w:jc w:val="center"/>
              <w:rPr>
                <w:rFonts w:ascii="Arial" w:eastAsia="Times New Roman" w:hAnsi="Arial" w:cs="Arial"/>
                <w:lang w:eastAsia="es-PE"/>
              </w:rPr>
            </w:pPr>
            <w:r w:rsidRPr="0051698C">
              <w:rPr>
                <w:rFonts w:ascii="Arial" w:eastAsia="Times New Roman" w:hAnsi="Arial" w:cs="Arial"/>
                <w:lang w:eastAsia="es-PE"/>
              </w:rPr>
              <w:t>:</w:t>
            </w:r>
          </w:p>
        </w:tc>
        <w:tc>
          <w:tcPr>
            <w:tcW w:w="4551" w:type="dxa"/>
            <w:tcMar>
              <w:top w:w="15" w:type="dxa"/>
              <w:left w:w="15" w:type="dxa"/>
              <w:bottom w:w="15" w:type="dxa"/>
              <w:right w:w="15" w:type="dxa"/>
            </w:tcMar>
            <w:hideMark/>
          </w:tcPr>
          <w:p w:rsidR="00860FF6" w:rsidRPr="0051698C" w:rsidRDefault="00860FF6" w:rsidP="00FA4D5B">
            <w:pPr>
              <w:spacing w:line="220" w:lineRule="atLeast"/>
              <w:jc w:val="both"/>
              <w:rPr>
                <w:rFonts w:ascii="Arial" w:hAnsi="Arial" w:cs="Arial"/>
                <w:lang w:val="es-MX"/>
              </w:rPr>
            </w:pPr>
            <w:r w:rsidRPr="0051698C">
              <w:rPr>
                <w:rFonts w:ascii="Arial" w:hAnsi="Arial" w:cs="Arial"/>
                <w:lang w:val="es-MX"/>
              </w:rPr>
              <w:t>Al documento autorizado a que se refiere el inciso f) del artículo 2 del Reglamento de Comprobantes de Pago</w:t>
            </w:r>
            <w:r w:rsidR="008D6C9D" w:rsidRPr="0051698C">
              <w:rPr>
                <w:rFonts w:ascii="Arial" w:hAnsi="Arial" w:cs="Arial"/>
                <w:lang w:val="es-MX"/>
              </w:rPr>
              <w:t>,</w:t>
            </w:r>
            <w:r w:rsidR="009C3BFC" w:rsidRPr="0051698C">
              <w:rPr>
                <w:rFonts w:ascii="Arial" w:hAnsi="Arial" w:cs="Arial"/>
                <w:lang w:val="es-MX"/>
              </w:rPr>
              <w:t xml:space="preserve"> </w:t>
            </w:r>
            <w:r w:rsidRPr="0051698C">
              <w:rPr>
                <w:rFonts w:ascii="Arial" w:hAnsi="Arial" w:cs="Arial"/>
                <w:lang w:val="es-MX"/>
              </w:rPr>
              <w:t>siempre que el documento electrónico que lo soporte cuente con los requisitos mínimos requeridos</w:t>
            </w:r>
            <w:r w:rsidR="00271669" w:rsidRPr="0051698C">
              <w:rPr>
                <w:rFonts w:ascii="Arial" w:hAnsi="Arial" w:cs="Arial"/>
                <w:lang w:val="es-MX"/>
              </w:rPr>
              <w:t>,</w:t>
            </w:r>
            <w:r w:rsidRPr="0051698C">
              <w:rPr>
                <w:rFonts w:ascii="Arial" w:hAnsi="Arial" w:cs="Arial"/>
                <w:lang w:val="es-MX"/>
              </w:rPr>
              <w:t xml:space="preserve"> el cual se rige por lo dispuesto en la presente resolución.</w:t>
            </w:r>
          </w:p>
          <w:p w:rsidR="009C3BFC" w:rsidRPr="0051698C" w:rsidRDefault="009C3BFC" w:rsidP="00FA4D5B">
            <w:pPr>
              <w:spacing w:line="220" w:lineRule="atLeast"/>
              <w:jc w:val="both"/>
              <w:rPr>
                <w:rFonts w:ascii="Arial" w:hAnsi="Arial" w:cs="Arial"/>
                <w:lang w:val="es-MX"/>
              </w:rPr>
            </w:pPr>
          </w:p>
          <w:p w:rsidR="009C3BFC" w:rsidRPr="0051698C" w:rsidRDefault="009C3BFC" w:rsidP="00FA4D5B">
            <w:pPr>
              <w:spacing w:line="220" w:lineRule="atLeast"/>
              <w:jc w:val="both"/>
              <w:rPr>
                <w:rFonts w:ascii="Arial" w:hAnsi="Arial" w:cs="Arial"/>
                <w:lang w:val="es-MX"/>
              </w:rPr>
            </w:pPr>
            <w:r w:rsidRPr="0051698C">
              <w:rPr>
                <w:rFonts w:ascii="Arial" w:hAnsi="Arial" w:cs="Arial"/>
                <w:lang w:val="es-MX"/>
              </w:rPr>
              <w:t>Los documentos señalados en los literales d) y o) del inciso 6.1 del numeral 6 del artículo 4 del citado reglamento no están comprendidos en la presente definición.</w:t>
            </w:r>
          </w:p>
          <w:p w:rsidR="00860FF6" w:rsidRPr="0051698C" w:rsidRDefault="00860FF6" w:rsidP="00FA4D5B">
            <w:pPr>
              <w:spacing w:line="220" w:lineRule="atLeast"/>
              <w:jc w:val="both"/>
              <w:rPr>
                <w:rFonts w:ascii="Arial" w:hAnsi="Arial" w:cs="Arial"/>
                <w:color w:val="FF0000"/>
                <w:lang w:val="es-MX"/>
              </w:rPr>
            </w:pPr>
            <w:r w:rsidRPr="0051698C">
              <w:rPr>
                <w:rFonts w:ascii="Arial" w:hAnsi="Arial" w:cs="Arial"/>
                <w:color w:val="FF0000"/>
                <w:lang w:val="es-MX"/>
              </w:rPr>
              <w:t xml:space="preserve"> </w:t>
            </w:r>
          </w:p>
        </w:tc>
      </w:tr>
      <w:tr w:rsidR="00860FF6" w:rsidRPr="0051698C" w:rsidTr="006C0F72">
        <w:trPr>
          <w:trHeight w:val="170"/>
          <w:tblCellSpacing w:w="0" w:type="dxa"/>
        </w:trPr>
        <w:tc>
          <w:tcPr>
            <w:tcW w:w="582" w:type="dxa"/>
            <w:tcMar>
              <w:top w:w="15" w:type="dxa"/>
              <w:left w:w="15" w:type="dxa"/>
              <w:bottom w:w="15" w:type="dxa"/>
              <w:right w:w="15" w:type="dxa"/>
            </w:tcMar>
            <w:hideMark/>
          </w:tcPr>
          <w:p w:rsidR="00860FF6" w:rsidRPr="0051698C" w:rsidRDefault="00860FF6" w:rsidP="00FA4D5B">
            <w:pPr>
              <w:pStyle w:val="NormalWeb"/>
              <w:spacing w:before="0" w:beforeAutospacing="0" w:after="0" w:afterAutospacing="0" w:line="220" w:lineRule="atLeast"/>
              <w:ind w:left="0"/>
              <w:rPr>
                <w:rFonts w:ascii="Arial" w:hAnsi="Arial" w:cs="Arial"/>
                <w:color w:val="000000"/>
                <w:sz w:val="22"/>
                <w:szCs w:val="22"/>
              </w:rPr>
            </w:pPr>
            <w:r w:rsidRPr="0051698C">
              <w:rPr>
                <w:rFonts w:ascii="Arial" w:hAnsi="Arial" w:cs="Arial"/>
                <w:color w:val="000000"/>
                <w:sz w:val="22"/>
                <w:szCs w:val="22"/>
              </w:rPr>
              <w:t>2.38</w:t>
            </w:r>
          </w:p>
        </w:tc>
        <w:tc>
          <w:tcPr>
            <w:tcW w:w="2988" w:type="dxa"/>
            <w:tcMar>
              <w:top w:w="15" w:type="dxa"/>
              <w:left w:w="15" w:type="dxa"/>
              <w:bottom w:w="15" w:type="dxa"/>
              <w:right w:w="15" w:type="dxa"/>
            </w:tcMar>
            <w:hideMark/>
          </w:tcPr>
          <w:p w:rsidR="00860FF6" w:rsidRPr="0051698C" w:rsidRDefault="00860FF6" w:rsidP="00FA4D5B">
            <w:pPr>
              <w:spacing w:line="220" w:lineRule="atLeast"/>
              <w:jc w:val="both"/>
              <w:rPr>
                <w:rFonts w:ascii="Arial" w:eastAsia="Times New Roman" w:hAnsi="Arial" w:cs="Arial"/>
                <w:lang w:eastAsia="es-PE"/>
              </w:rPr>
            </w:pPr>
            <w:r w:rsidRPr="0051698C">
              <w:rPr>
                <w:rFonts w:ascii="Arial" w:eastAsia="Times New Roman" w:hAnsi="Arial" w:cs="Arial"/>
                <w:lang w:eastAsia="es-PE"/>
              </w:rPr>
              <w:t>Recibo electrónico por servicios públicos (recibo electrónico SP)</w:t>
            </w:r>
          </w:p>
        </w:tc>
        <w:tc>
          <w:tcPr>
            <w:tcW w:w="414" w:type="dxa"/>
            <w:tcMar>
              <w:top w:w="15" w:type="dxa"/>
              <w:left w:w="15" w:type="dxa"/>
              <w:bottom w:w="15" w:type="dxa"/>
              <w:right w:w="15" w:type="dxa"/>
            </w:tcMar>
            <w:hideMark/>
          </w:tcPr>
          <w:p w:rsidR="00860FF6" w:rsidRPr="0051698C" w:rsidRDefault="00860FF6" w:rsidP="00FA4D5B">
            <w:pPr>
              <w:spacing w:line="220" w:lineRule="atLeast"/>
              <w:jc w:val="center"/>
              <w:rPr>
                <w:rFonts w:ascii="Arial" w:eastAsia="Times New Roman" w:hAnsi="Arial" w:cs="Arial"/>
                <w:b/>
                <w:lang w:eastAsia="es-PE"/>
              </w:rPr>
            </w:pPr>
            <w:r w:rsidRPr="0051698C">
              <w:rPr>
                <w:rFonts w:ascii="Arial" w:eastAsia="Times New Roman" w:hAnsi="Arial" w:cs="Arial"/>
                <w:b/>
                <w:lang w:eastAsia="es-PE"/>
              </w:rPr>
              <w:t>:</w:t>
            </w:r>
          </w:p>
        </w:tc>
        <w:tc>
          <w:tcPr>
            <w:tcW w:w="4551" w:type="dxa"/>
            <w:tcMar>
              <w:top w:w="15" w:type="dxa"/>
              <w:left w:w="15" w:type="dxa"/>
              <w:bottom w:w="15" w:type="dxa"/>
              <w:right w:w="15" w:type="dxa"/>
            </w:tcMar>
            <w:hideMark/>
          </w:tcPr>
          <w:p w:rsidR="00860FF6" w:rsidRPr="0051698C" w:rsidRDefault="009B6729" w:rsidP="00FA4D5B">
            <w:pPr>
              <w:spacing w:line="220" w:lineRule="atLeast"/>
              <w:jc w:val="both"/>
              <w:rPr>
                <w:rFonts w:ascii="Arial" w:hAnsi="Arial" w:cs="Arial"/>
              </w:rPr>
            </w:pPr>
            <w:r w:rsidRPr="0051698C">
              <w:rPr>
                <w:rFonts w:ascii="Arial" w:hAnsi="Arial" w:cs="Arial"/>
              </w:rPr>
              <w:t>Al comprobante de pago electrónico emitido por los servicios a que se refiere el literal d) del inciso 6.1 del numeral 6 del artículo 4 del Reglamento de Comprobantes de Pago, siempre que el documento electrónico que lo soporte cuente con los requisitos mínimos que se indican como tales en el anexo N.° 23.</w:t>
            </w:r>
            <w:r w:rsidR="00860FF6" w:rsidRPr="0051698C">
              <w:rPr>
                <w:rFonts w:ascii="Arial" w:hAnsi="Arial" w:cs="Arial"/>
              </w:rPr>
              <w:t xml:space="preserve"> </w:t>
            </w:r>
          </w:p>
          <w:p w:rsidR="00860FF6" w:rsidRPr="0051698C" w:rsidRDefault="00860FF6" w:rsidP="00FA4D5B">
            <w:pPr>
              <w:spacing w:line="220" w:lineRule="atLeast"/>
              <w:jc w:val="both"/>
              <w:rPr>
                <w:rFonts w:ascii="Arial" w:hAnsi="Arial" w:cs="Arial"/>
                <w:b/>
              </w:rPr>
            </w:pPr>
          </w:p>
        </w:tc>
      </w:tr>
      <w:tr w:rsidR="00860FF6" w:rsidRPr="0051698C" w:rsidTr="006C0F72">
        <w:trPr>
          <w:trHeight w:val="170"/>
          <w:tblCellSpacing w:w="0" w:type="dxa"/>
        </w:trPr>
        <w:tc>
          <w:tcPr>
            <w:tcW w:w="582" w:type="dxa"/>
            <w:tcMar>
              <w:top w:w="15" w:type="dxa"/>
              <w:left w:w="15" w:type="dxa"/>
              <w:bottom w:w="15" w:type="dxa"/>
              <w:right w:w="15" w:type="dxa"/>
            </w:tcMar>
            <w:hideMark/>
          </w:tcPr>
          <w:p w:rsidR="00860FF6" w:rsidRPr="0051698C" w:rsidRDefault="00860FF6" w:rsidP="00FA4D5B">
            <w:pPr>
              <w:pStyle w:val="NormalWeb"/>
              <w:spacing w:before="0" w:beforeAutospacing="0" w:after="0" w:afterAutospacing="0" w:line="220" w:lineRule="atLeast"/>
              <w:ind w:left="0"/>
              <w:rPr>
                <w:rFonts w:ascii="Arial" w:hAnsi="Arial" w:cs="Arial"/>
                <w:color w:val="000000"/>
                <w:sz w:val="22"/>
                <w:szCs w:val="22"/>
              </w:rPr>
            </w:pPr>
            <w:r w:rsidRPr="0051698C">
              <w:rPr>
                <w:rFonts w:ascii="Arial" w:hAnsi="Arial" w:cs="Arial"/>
                <w:color w:val="000000"/>
                <w:sz w:val="22"/>
                <w:szCs w:val="22"/>
              </w:rPr>
              <w:t>(…)</w:t>
            </w:r>
          </w:p>
        </w:tc>
        <w:tc>
          <w:tcPr>
            <w:tcW w:w="2988" w:type="dxa"/>
            <w:tcMar>
              <w:top w:w="15" w:type="dxa"/>
              <w:left w:w="15" w:type="dxa"/>
              <w:bottom w:w="15" w:type="dxa"/>
              <w:right w:w="15" w:type="dxa"/>
            </w:tcMar>
            <w:hideMark/>
          </w:tcPr>
          <w:p w:rsidR="00860FF6" w:rsidRPr="0051698C" w:rsidRDefault="00860FF6" w:rsidP="00FA4D5B">
            <w:pPr>
              <w:spacing w:line="220" w:lineRule="atLeast"/>
              <w:jc w:val="both"/>
              <w:rPr>
                <w:rFonts w:ascii="Arial" w:eastAsia="Times New Roman" w:hAnsi="Arial" w:cs="Arial"/>
                <w:b/>
                <w:color w:val="000000"/>
                <w:lang w:eastAsia="es-PE"/>
              </w:rPr>
            </w:pPr>
          </w:p>
        </w:tc>
        <w:tc>
          <w:tcPr>
            <w:tcW w:w="414" w:type="dxa"/>
            <w:tcMar>
              <w:top w:w="15" w:type="dxa"/>
              <w:left w:w="15" w:type="dxa"/>
              <w:bottom w:w="15" w:type="dxa"/>
              <w:right w:w="15" w:type="dxa"/>
            </w:tcMar>
            <w:hideMark/>
          </w:tcPr>
          <w:p w:rsidR="00860FF6" w:rsidRPr="0051698C" w:rsidRDefault="00860FF6" w:rsidP="00FA4D5B">
            <w:pPr>
              <w:spacing w:line="220" w:lineRule="atLeast"/>
              <w:jc w:val="center"/>
              <w:rPr>
                <w:rFonts w:ascii="Arial" w:eastAsia="Times New Roman" w:hAnsi="Arial" w:cs="Arial"/>
                <w:b/>
                <w:color w:val="000000"/>
                <w:lang w:eastAsia="es-PE"/>
              </w:rPr>
            </w:pPr>
          </w:p>
        </w:tc>
        <w:tc>
          <w:tcPr>
            <w:tcW w:w="4551" w:type="dxa"/>
            <w:tcMar>
              <w:top w:w="15" w:type="dxa"/>
              <w:left w:w="15" w:type="dxa"/>
              <w:bottom w:w="15" w:type="dxa"/>
              <w:right w:w="15" w:type="dxa"/>
            </w:tcMar>
            <w:hideMark/>
          </w:tcPr>
          <w:p w:rsidR="00860FF6" w:rsidRPr="0051698C" w:rsidRDefault="00860FF6" w:rsidP="00FA4D5B">
            <w:pPr>
              <w:spacing w:line="220" w:lineRule="atLeast"/>
              <w:jc w:val="both"/>
              <w:rPr>
                <w:rFonts w:ascii="Arial" w:hAnsi="Arial" w:cs="Arial"/>
                <w:b/>
                <w:color w:val="000000"/>
                <w:lang w:val="es-MX"/>
              </w:rPr>
            </w:pPr>
          </w:p>
        </w:tc>
      </w:tr>
      <w:tr w:rsidR="00860FF6" w:rsidRPr="0051698C" w:rsidTr="006C0F72">
        <w:trPr>
          <w:trHeight w:val="170"/>
          <w:tblCellSpacing w:w="0" w:type="dxa"/>
        </w:trPr>
        <w:tc>
          <w:tcPr>
            <w:tcW w:w="582" w:type="dxa"/>
            <w:tcMar>
              <w:top w:w="15" w:type="dxa"/>
              <w:left w:w="15" w:type="dxa"/>
              <w:bottom w:w="15" w:type="dxa"/>
              <w:right w:w="15" w:type="dxa"/>
            </w:tcMar>
            <w:hideMark/>
          </w:tcPr>
          <w:p w:rsidR="00860FF6" w:rsidRPr="0051698C" w:rsidRDefault="00860FF6" w:rsidP="00FA4D5B">
            <w:pPr>
              <w:pStyle w:val="NormalWeb"/>
              <w:spacing w:before="0" w:beforeAutospacing="0" w:after="0" w:afterAutospacing="0" w:line="220" w:lineRule="atLeast"/>
              <w:ind w:left="0"/>
              <w:rPr>
                <w:rFonts w:ascii="Arial" w:hAnsi="Arial" w:cs="Arial"/>
                <w:color w:val="000000"/>
                <w:sz w:val="22"/>
                <w:szCs w:val="22"/>
              </w:rPr>
            </w:pPr>
          </w:p>
        </w:tc>
        <w:tc>
          <w:tcPr>
            <w:tcW w:w="2988" w:type="dxa"/>
            <w:tcMar>
              <w:top w:w="15" w:type="dxa"/>
              <w:left w:w="15" w:type="dxa"/>
              <w:bottom w:w="15" w:type="dxa"/>
              <w:right w:w="15" w:type="dxa"/>
            </w:tcMar>
            <w:hideMark/>
          </w:tcPr>
          <w:p w:rsidR="00860FF6" w:rsidRPr="0051698C" w:rsidRDefault="00860FF6" w:rsidP="00FA4D5B">
            <w:pPr>
              <w:spacing w:line="220" w:lineRule="atLeast"/>
              <w:jc w:val="both"/>
              <w:rPr>
                <w:rFonts w:ascii="Arial" w:eastAsia="Times New Roman" w:hAnsi="Arial" w:cs="Arial"/>
                <w:b/>
                <w:color w:val="000000"/>
                <w:lang w:eastAsia="es-PE"/>
              </w:rPr>
            </w:pPr>
          </w:p>
        </w:tc>
        <w:tc>
          <w:tcPr>
            <w:tcW w:w="414" w:type="dxa"/>
            <w:tcMar>
              <w:top w:w="15" w:type="dxa"/>
              <w:left w:w="15" w:type="dxa"/>
              <w:bottom w:w="15" w:type="dxa"/>
              <w:right w:w="15" w:type="dxa"/>
            </w:tcMar>
            <w:hideMark/>
          </w:tcPr>
          <w:p w:rsidR="00860FF6" w:rsidRPr="0051698C" w:rsidRDefault="00860FF6" w:rsidP="00FA4D5B">
            <w:pPr>
              <w:spacing w:line="220" w:lineRule="atLeast"/>
              <w:jc w:val="center"/>
              <w:rPr>
                <w:rFonts w:ascii="Arial" w:eastAsia="Times New Roman" w:hAnsi="Arial" w:cs="Arial"/>
                <w:b/>
                <w:color w:val="000000"/>
                <w:lang w:eastAsia="es-PE"/>
              </w:rPr>
            </w:pPr>
          </w:p>
        </w:tc>
        <w:tc>
          <w:tcPr>
            <w:tcW w:w="4551" w:type="dxa"/>
            <w:tcMar>
              <w:top w:w="15" w:type="dxa"/>
              <w:left w:w="15" w:type="dxa"/>
              <w:bottom w:w="15" w:type="dxa"/>
              <w:right w:w="15" w:type="dxa"/>
            </w:tcMar>
            <w:hideMark/>
          </w:tcPr>
          <w:p w:rsidR="00860FF6" w:rsidRPr="0051698C" w:rsidRDefault="00860FF6" w:rsidP="00FA4D5B">
            <w:pPr>
              <w:spacing w:line="220" w:lineRule="atLeast"/>
              <w:jc w:val="both"/>
              <w:rPr>
                <w:rFonts w:ascii="Arial" w:hAnsi="Arial" w:cs="Arial"/>
                <w:b/>
                <w:color w:val="000000"/>
                <w:lang w:val="es-MX"/>
              </w:rPr>
            </w:pPr>
          </w:p>
        </w:tc>
      </w:tr>
      <w:tr w:rsidR="00860FF6" w:rsidRPr="0051698C" w:rsidTr="006C0F72">
        <w:trPr>
          <w:trHeight w:val="170"/>
          <w:tblCellSpacing w:w="0" w:type="dxa"/>
        </w:trPr>
        <w:tc>
          <w:tcPr>
            <w:tcW w:w="582" w:type="dxa"/>
            <w:tcMar>
              <w:top w:w="15" w:type="dxa"/>
              <w:left w:w="15" w:type="dxa"/>
              <w:bottom w:w="15" w:type="dxa"/>
              <w:right w:w="15" w:type="dxa"/>
            </w:tcMar>
            <w:hideMark/>
          </w:tcPr>
          <w:p w:rsidR="00860FF6" w:rsidRPr="0051698C" w:rsidRDefault="00860FF6" w:rsidP="00FA4D5B">
            <w:pPr>
              <w:pStyle w:val="NormalWeb"/>
              <w:spacing w:before="0" w:beforeAutospacing="0" w:after="0" w:afterAutospacing="0" w:line="220" w:lineRule="atLeast"/>
              <w:ind w:left="0"/>
              <w:rPr>
                <w:rFonts w:ascii="Arial" w:hAnsi="Arial" w:cs="Arial"/>
                <w:color w:val="000000"/>
                <w:sz w:val="22"/>
                <w:szCs w:val="22"/>
              </w:rPr>
            </w:pPr>
            <w:r w:rsidRPr="0051698C">
              <w:rPr>
                <w:rFonts w:ascii="Arial" w:hAnsi="Arial" w:cs="Arial"/>
                <w:color w:val="000000"/>
                <w:sz w:val="22"/>
                <w:szCs w:val="22"/>
              </w:rPr>
              <w:t>2.42</w:t>
            </w:r>
          </w:p>
        </w:tc>
        <w:tc>
          <w:tcPr>
            <w:tcW w:w="2988" w:type="dxa"/>
            <w:tcMar>
              <w:top w:w="15" w:type="dxa"/>
              <w:left w:w="15" w:type="dxa"/>
              <w:bottom w:w="15" w:type="dxa"/>
              <w:right w:w="15" w:type="dxa"/>
            </w:tcMar>
            <w:hideMark/>
          </w:tcPr>
          <w:p w:rsidR="00860FF6" w:rsidRPr="0051698C" w:rsidRDefault="00860FF6" w:rsidP="00FA4D5B">
            <w:pPr>
              <w:spacing w:line="220" w:lineRule="atLeast"/>
              <w:jc w:val="both"/>
              <w:rPr>
                <w:rFonts w:ascii="Arial" w:eastAsia="Times New Roman" w:hAnsi="Arial" w:cs="Arial"/>
                <w:color w:val="000000"/>
                <w:lang w:eastAsia="es-PE"/>
              </w:rPr>
            </w:pPr>
            <w:r w:rsidRPr="0051698C">
              <w:rPr>
                <w:rFonts w:ascii="Arial" w:eastAsia="Times New Roman" w:hAnsi="Arial" w:cs="Arial"/>
                <w:color w:val="000000"/>
                <w:lang w:eastAsia="es-PE"/>
              </w:rPr>
              <w:t xml:space="preserve">SEE </w:t>
            </w:r>
            <w:r w:rsidR="00DB2B25" w:rsidRPr="0051698C">
              <w:rPr>
                <w:rFonts w:ascii="Arial" w:eastAsia="Times New Roman" w:hAnsi="Arial" w:cs="Arial"/>
                <w:color w:val="000000"/>
                <w:lang w:eastAsia="es-PE"/>
              </w:rPr>
              <w:t>–</w:t>
            </w:r>
            <w:r w:rsidRPr="0051698C">
              <w:rPr>
                <w:rFonts w:ascii="Arial" w:eastAsia="Times New Roman" w:hAnsi="Arial" w:cs="Arial"/>
                <w:color w:val="000000"/>
                <w:lang w:eastAsia="es-PE"/>
              </w:rPr>
              <w:t xml:space="preserve"> </w:t>
            </w:r>
            <w:r w:rsidR="00220AB1" w:rsidRPr="0051698C">
              <w:rPr>
                <w:rFonts w:ascii="Arial" w:eastAsia="Times New Roman" w:hAnsi="Arial" w:cs="Arial"/>
                <w:color w:val="000000"/>
                <w:lang w:eastAsia="es-PE"/>
              </w:rPr>
              <w:t>Empresas Supervisadas</w:t>
            </w:r>
          </w:p>
        </w:tc>
        <w:tc>
          <w:tcPr>
            <w:tcW w:w="414" w:type="dxa"/>
            <w:tcMar>
              <w:top w:w="15" w:type="dxa"/>
              <w:left w:w="15" w:type="dxa"/>
              <w:bottom w:w="15" w:type="dxa"/>
              <w:right w:w="15" w:type="dxa"/>
            </w:tcMar>
            <w:hideMark/>
          </w:tcPr>
          <w:p w:rsidR="00860FF6" w:rsidRPr="0051698C" w:rsidRDefault="00860FF6" w:rsidP="00FA4D5B">
            <w:pPr>
              <w:spacing w:line="220" w:lineRule="atLeast"/>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4551" w:type="dxa"/>
            <w:tcMar>
              <w:top w:w="15" w:type="dxa"/>
              <w:left w:w="15" w:type="dxa"/>
              <w:bottom w:w="15" w:type="dxa"/>
              <w:right w:w="15" w:type="dxa"/>
            </w:tcMar>
            <w:hideMark/>
          </w:tcPr>
          <w:p w:rsidR="00860FF6" w:rsidRPr="0051698C" w:rsidRDefault="00860FF6" w:rsidP="00FA4D5B">
            <w:pPr>
              <w:spacing w:line="220" w:lineRule="atLeast"/>
              <w:jc w:val="both"/>
              <w:rPr>
                <w:rFonts w:ascii="Arial" w:hAnsi="Arial" w:cs="Arial"/>
                <w:color w:val="000000"/>
                <w:lang w:val="es-MX"/>
              </w:rPr>
            </w:pPr>
            <w:r w:rsidRPr="0051698C">
              <w:rPr>
                <w:rFonts w:ascii="Arial" w:hAnsi="Arial" w:cs="Arial"/>
                <w:color w:val="000000"/>
                <w:lang w:val="es-MX"/>
              </w:rPr>
              <w:t xml:space="preserve">Al sistema de emisión electrónica </w:t>
            </w:r>
            <w:r w:rsidR="0076558B" w:rsidRPr="0051698C">
              <w:rPr>
                <w:rFonts w:ascii="Arial" w:hAnsi="Arial" w:cs="Arial"/>
                <w:color w:val="000000"/>
                <w:lang w:val="es-MX"/>
              </w:rPr>
              <w:t>a que se refiere el inciso g) del primer párrafo del artículo 1 de la Resolución de Superintendencia N.° 300-2014/SUNAT</w:t>
            </w:r>
            <w:r w:rsidR="008D6C9D" w:rsidRPr="0051698C">
              <w:rPr>
                <w:rFonts w:ascii="Arial" w:hAnsi="Arial" w:cs="Arial"/>
                <w:color w:val="000000"/>
                <w:lang w:val="es-MX"/>
              </w:rPr>
              <w:t>.</w:t>
            </w:r>
          </w:p>
          <w:p w:rsidR="002F48A6" w:rsidRPr="0051698C" w:rsidRDefault="002F48A6" w:rsidP="00FA4D5B">
            <w:pPr>
              <w:spacing w:line="220" w:lineRule="atLeast"/>
              <w:jc w:val="both"/>
              <w:rPr>
                <w:rFonts w:ascii="Arial" w:hAnsi="Arial" w:cs="Arial"/>
                <w:color w:val="000000"/>
                <w:lang w:val="es-MX"/>
              </w:rPr>
            </w:pPr>
          </w:p>
          <w:p w:rsidR="0076558B" w:rsidRPr="0051698C" w:rsidRDefault="0076558B" w:rsidP="00FA4D5B">
            <w:pPr>
              <w:spacing w:line="220" w:lineRule="atLeast"/>
              <w:jc w:val="both"/>
              <w:rPr>
                <w:rFonts w:ascii="Arial" w:hAnsi="Arial" w:cs="Arial"/>
              </w:rPr>
            </w:pPr>
          </w:p>
        </w:tc>
      </w:tr>
      <w:tr w:rsidR="0076558B" w:rsidRPr="0051698C" w:rsidTr="006C0F72">
        <w:trPr>
          <w:trHeight w:val="170"/>
          <w:tblCellSpacing w:w="0" w:type="dxa"/>
        </w:trPr>
        <w:tc>
          <w:tcPr>
            <w:tcW w:w="582" w:type="dxa"/>
            <w:tcMar>
              <w:top w:w="15" w:type="dxa"/>
              <w:left w:w="15" w:type="dxa"/>
              <w:bottom w:w="15" w:type="dxa"/>
              <w:right w:w="15" w:type="dxa"/>
            </w:tcMar>
            <w:hideMark/>
          </w:tcPr>
          <w:p w:rsidR="0076558B" w:rsidRPr="0051698C" w:rsidRDefault="0076558B" w:rsidP="006C0F72">
            <w:pPr>
              <w:pStyle w:val="NormalWeb"/>
              <w:ind w:left="0"/>
              <w:rPr>
                <w:rFonts w:ascii="Arial" w:hAnsi="Arial" w:cs="Arial"/>
                <w:color w:val="000000"/>
                <w:sz w:val="22"/>
                <w:szCs w:val="22"/>
              </w:rPr>
            </w:pPr>
            <w:r w:rsidRPr="0051698C">
              <w:rPr>
                <w:rFonts w:ascii="Arial" w:hAnsi="Arial" w:cs="Arial"/>
                <w:color w:val="000000"/>
                <w:sz w:val="22"/>
                <w:szCs w:val="22"/>
              </w:rPr>
              <w:t>2.43</w:t>
            </w:r>
          </w:p>
        </w:tc>
        <w:tc>
          <w:tcPr>
            <w:tcW w:w="2988" w:type="dxa"/>
            <w:tcMar>
              <w:top w:w="15" w:type="dxa"/>
              <w:left w:w="15" w:type="dxa"/>
              <w:bottom w:w="15" w:type="dxa"/>
              <w:right w:w="15" w:type="dxa"/>
            </w:tcMar>
            <w:hideMark/>
          </w:tcPr>
          <w:p w:rsidR="0076558B" w:rsidRPr="0051698C" w:rsidRDefault="0076558B" w:rsidP="006C0F72">
            <w:pPr>
              <w:jc w:val="both"/>
              <w:rPr>
                <w:rFonts w:ascii="Arial" w:eastAsia="Times New Roman" w:hAnsi="Arial" w:cs="Arial"/>
                <w:color w:val="000000"/>
                <w:lang w:eastAsia="es-PE"/>
              </w:rPr>
            </w:pPr>
            <w:r w:rsidRPr="0051698C">
              <w:rPr>
                <w:rFonts w:ascii="Arial" w:eastAsia="Times New Roman" w:hAnsi="Arial" w:cs="Arial"/>
                <w:color w:val="000000"/>
                <w:lang w:eastAsia="es-PE"/>
              </w:rPr>
              <w:t>Representación digital</w:t>
            </w:r>
          </w:p>
        </w:tc>
        <w:tc>
          <w:tcPr>
            <w:tcW w:w="414" w:type="dxa"/>
            <w:tcMar>
              <w:top w:w="15" w:type="dxa"/>
              <w:left w:w="15" w:type="dxa"/>
              <w:bottom w:w="15" w:type="dxa"/>
              <w:right w:w="15" w:type="dxa"/>
            </w:tcMar>
            <w:hideMark/>
          </w:tcPr>
          <w:p w:rsidR="0076558B" w:rsidRPr="0051698C" w:rsidRDefault="0076558B" w:rsidP="006C0F72">
            <w:pPr>
              <w:jc w:val="center"/>
              <w:rPr>
                <w:rFonts w:ascii="Arial" w:eastAsia="Times New Roman" w:hAnsi="Arial" w:cs="Arial"/>
                <w:color w:val="000000"/>
                <w:lang w:eastAsia="es-PE"/>
              </w:rPr>
            </w:pPr>
            <w:r w:rsidRPr="0051698C">
              <w:rPr>
                <w:rFonts w:ascii="Arial" w:eastAsia="Times New Roman" w:hAnsi="Arial" w:cs="Arial"/>
                <w:color w:val="000000"/>
                <w:lang w:eastAsia="es-PE"/>
              </w:rPr>
              <w:t>:</w:t>
            </w:r>
          </w:p>
        </w:tc>
        <w:tc>
          <w:tcPr>
            <w:tcW w:w="4551" w:type="dxa"/>
            <w:tcMar>
              <w:top w:w="15" w:type="dxa"/>
              <w:left w:w="15" w:type="dxa"/>
              <w:bottom w:w="15" w:type="dxa"/>
              <w:right w:w="15" w:type="dxa"/>
            </w:tcMar>
            <w:hideMark/>
          </w:tcPr>
          <w:p w:rsidR="0076558B" w:rsidRPr="0051698C" w:rsidRDefault="00E01529" w:rsidP="002230CA">
            <w:pPr>
              <w:jc w:val="both"/>
              <w:rPr>
                <w:rFonts w:ascii="Arial" w:hAnsi="Arial" w:cs="Arial"/>
                <w:color w:val="000000"/>
                <w:lang w:val="es-MX"/>
              </w:rPr>
            </w:pPr>
            <w:r w:rsidRPr="0051698C">
              <w:rPr>
                <w:rFonts w:ascii="Arial" w:hAnsi="Arial" w:cs="Arial"/>
              </w:rPr>
              <w:t xml:space="preserve">Al resumen del </w:t>
            </w:r>
            <w:r w:rsidR="00066E9D" w:rsidRPr="0051698C">
              <w:rPr>
                <w:rFonts w:ascii="Arial" w:hAnsi="Arial" w:cs="Arial"/>
              </w:rPr>
              <w:t>recibo electrónico SP o de la nota electrónica</w:t>
            </w:r>
            <w:r w:rsidRPr="0051698C">
              <w:rPr>
                <w:rFonts w:ascii="Arial" w:hAnsi="Arial" w:cs="Arial"/>
              </w:rPr>
              <w:t xml:space="preserve"> en formato digital, al que alude el segundo párrafo del artículo 2 y el </w:t>
            </w:r>
            <w:r w:rsidRPr="0051698C">
              <w:rPr>
                <w:rFonts w:ascii="Arial" w:hAnsi="Arial" w:cs="Arial"/>
              </w:rPr>
              <w:lastRenderedPageBreak/>
              <w:t>último párrafo del artículo 3 del Decreto Ley N.° 25632 y normas modificatorias, que contiene l</w:t>
            </w:r>
            <w:r w:rsidR="004966E4" w:rsidRPr="0051698C">
              <w:rPr>
                <w:rFonts w:ascii="Arial" w:hAnsi="Arial" w:cs="Arial"/>
              </w:rPr>
              <w:t>a información mínima</w:t>
            </w:r>
            <w:r w:rsidRPr="0051698C">
              <w:rPr>
                <w:rFonts w:ascii="Arial" w:hAnsi="Arial" w:cs="Arial"/>
              </w:rPr>
              <w:t xml:space="preserve"> que se indica en el anexo </w:t>
            </w:r>
            <w:r w:rsidR="00066E9D" w:rsidRPr="0051698C">
              <w:rPr>
                <w:rFonts w:ascii="Arial" w:hAnsi="Arial" w:cs="Arial"/>
              </w:rPr>
              <w:t>N.° 23</w:t>
            </w:r>
            <w:r w:rsidRPr="0051698C">
              <w:rPr>
                <w:rFonts w:ascii="Arial" w:hAnsi="Arial" w:cs="Arial"/>
              </w:rPr>
              <w:t>.</w:t>
            </w:r>
            <w:r w:rsidR="00066E9D" w:rsidRPr="0051698C">
              <w:rPr>
                <w:rFonts w:ascii="Arial" w:hAnsi="Arial" w:cs="Arial"/>
              </w:rPr>
              <w:t>”</w:t>
            </w:r>
          </w:p>
        </w:tc>
      </w:tr>
    </w:tbl>
    <w:p w:rsidR="00860FF6" w:rsidRPr="0051698C" w:rsidRDefault="00860FF6" w:rsidP="00860FF6">
      <w:pPr>
        <w:pStyle w:val="Default"/>
        <w:jc w:val="both"/>
        <w:rPr>
          <w:sz w:val="22"/>
          <w:szCs w:val="22"/>
        </w:rPr>
      </w:pPr>
    </w:p>
    <w:p w:rsidR="00DD7A8E" w:rsidRPr="0051698C" w:rsidRDefault="00860FF6" w:rsidP="00860FF6">
      <w:pPr>
        <w:pStyle w:val="Default"/>
        <w:jc w:val="both"/>
        <w:rPr>
          <w:sz w:val="22"/>
          <w:szCs w:val="22"/>
        </w:rPr>
      </w:pPr>
      <w:r w:rsidRPr="0051698C">
        <w:rPr>
          <w:sz w:val="22"/>
          <w:szCs w:val="22"/>
        </w:rPr>
        <w:t xml:space="preserve">3.2 </w:t>
      </w:r>
      <w:proofErr w:type="spellStart"/>
      <w:r w:rsidRPr="0051698C">
        <w:rPr>
          <w:sz w:val="22"/>
          <w:szCs w:val="22"/>
        </w:rPr>
        <w:t>Modifícase</w:t>
      </w:r>
      <w:proofErr w:type="spellEnd"/>
      <w:r w:rsidRPr="0051698C">
        <w:rPr>
          <w:sz w:val="22"/>
          <w:szCs w:val="22"/>
        </w:rPr>
        <w:t xml:space="preserve"> el </w:t>
      </w:r>
      <w:r w:rsidR="00DD7A8E" w:rsidRPr="0051698C">
        <w:rPr>
          <w:sz w:val="22"/>
          <w:szCs w:val="22"/>
        </w:rPr>
        <w:t xml:space="preserve">epígrafe del </w:t>
      </w:r>
      <w:r w:rsidRPr="0051698C">
        <w:rPr>
          <w:sz w:val="22"/>
          <w:szCs w:val="22"/>
        </w:rPr>
        <w:t>artículo 3-A</w:t>
      </w:r>
      <w:r w:rsidR="00DD7A8E" w:rsidRPr="0051698C">
        <w:rPr>
          <w:sz w:val="22"/>
          <w:szCs w:val="22"/>
        </w:rPr>
        <w:t xml:space="preserve"> de la Resolución de Superintendencia N.° 097-2012/SUNAT y normas modificatorias e </w:t>
      </w:r>
      <w:proofErr w:type="spellStart"/>
      <w:r w:rsidR="00DD7A8E" w:rsidRPr="0051698C">
        <w:rPr>
          <w:sz w:val="22"/>
          <w:szCs w:val="22"/>
        </w:rPr>
        <w:t>incorpórase</w:t>
      </w:r>
      <w:proofErr w:type="spellEnd"/>
      <w:r w:rsidR="00DD7A8E" w:rsidRPr="0051698C">
        <w:rPr>
          <w:sz w:val="22"/>
          <w:szCs w:val="22"/>
        </w:rPr>
        <w:t xml:space="preserve"> un segundo párrafo en dicho artículo, en los términos siguientes:</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w:t>
      </w:r>
      <w:bookmarkStart w:id="23" w:name="JD_tculo3-A.-CONDICINPREVIA"/>
      <w:bookmarkEnd w:id="23"/>
      <w:r w:rsidRPr="0051698C">
        <w:rPr>
          <w:rFonts w:ascii="Arial" w:hAnsi="Arial" w:cs="Arial"/>
          <w:bCs/>
          <w:sz w:val="22"/>
          <w:szCs w:val="22"/>
        </w:rPr>
        <w:t>Artículo 3-A.- CONDICIÓN PREVIA PARA SER EMISOR ELECTRÓNICO DE UN TIPO DE DAE O DE</w:t>
      </w:r>
      <w:r w:rsidR="00DD7A8E" w:rsidRPr="0051698C">
        <w:rPr>
          <w:rFonts w:ascii="Arial" w:hAnsi="Arial" w:cs="Arial"/>
          <w:bCs/>
          <w:sz w:val="22"/>
          <w:szCs w:val="22"/>
        </w:rPr>
        <w:t>L</w:t>
      </w:r>
      <w:r w:rsidRPr="0051698C">
        <w:rPr>
          <w:rFonts w:ascii="Arial" w:hAnsi="Arial" w:cs="Arial"/>
          <w:bCs/>
          <w:sz w:val="22"/>
          <w:szCs w:val="22"/>
        </w:rPr>
        <w:t xml:space="preserve"> RECIBO ELECTRÓNICO SP</w:t>
      </w:r>
    </w:p>
    <w:p w:rsidR="00DD7A8E" w:rsidRPr="0051698C" w:rsidRDefault="00DD7A8E" w:rsidP="00DD7A8E">
      <w:pPr>
        <w:pStyle w:val="NormalWeb"/>
        <w:ind w:left="0"/>
        <w:rPr>
          <w:rFonts w:ascii="Arial" w:hAnsi="Arial" w:cs="Arial"/>
          <w:sz w:val="22"/>
          <w:szCs w:val="22"/>
        </w:rPr>
      </w:pPr>
      <w:r w:rsidRPr="0051698C">
        <w:rPr>
          <w:rFonts w:ascii="Arial" w:hAnsi="Arial" w:cs="Arial"/>
          <w:sz w:val="22"/>
          <w:szCs w:val="22"/>
        </w:rPr>
        <w:t>(…)</w:t>
      </w:r>
    </w:p>
    <w:p w:rsidR="00DD7A8E" w:rsidRPr="0051698C" w:rsidRDefault="00DD7A8E" w:rsidP="00DD7A8E">
      <w:pPr>
        <w:pStyle w:val="NormalWeb"/>
        <w:ind w:left="0"/>
        <w:rPr>
          <w:rFonts w:ascii="Arial" w:hAnsi="Arial" w:cs="Arial"/>
          <w:sz w:val="22"/>
          <w:szCs w:val="22"/>
        </w:rPr>
      </w:pPr>
      <w:r w:rsidRPr="0051698C">
        <w:rPr>
          <w:rFonts w:ascii="Arial" w:hAnsi="Arial" w:cs="Arial"/>
          <w:sz w:val="22"/>
          <w:szCs w:val="22"/>
        </w:rPr>
        <w:t>Tratándose del recibo electrónico SP, el emisor electrónico por designación, además de lo indicado en el párrafo anterior, para estar habilitado a iniciar la emisión electrónica, debe:</w:t>
      </w:r>
    </w:p>
    <w:p w:rsidR="00DD7A8E" w:rsidRPr="0051698C" w:rsidRDefault="00DD7A8E" w:rsidP="00DD7A8E">
      <w:pPr>
        <w:pStyle w:val="Prrafodelista"/>
        <w:numPr>
          <w:ilvl w:val="0"/>
          <w:numId w:val="13"/>
        </w:numPr>
        <w:tabs>
          <w:tab w:val="left" w:pos="0"/>
          <w:tab w:val="left" w:pos="284"/>
        </w:tabs>
        <w:ind w:left="0" w:firstLine="0"/>
        <w:jc w:val="both"/>
        <w:rPr>
          <w:rFonts w:ascii="Arial" w:hAnsi="Arial" w:cs="Arial"/>
        </w:rPr>
      </w:pPr>
      <w:r w:rsidRPr="0051698C">
        <w:rPr>
          <w:rFonts w:ascii="Arial" w:hAnsi="Arial" w:cs="Arial"/>
        </w:rPr>
        <w:t>Tener registrada, según la normativa de alguno de los sistemas de emisión, o registrar la dirección de correo electrónico que usará para recibir, en su calidad de adquirente o usuario electrónico, aquello que se le otorgue a través del SEE.</w:t>
      </w:r>
    </w:p>
    <w:p w:rsidR="00DD7A8E" w:rsidRPr="0051698C" w:rsidRDefault="00DD7A8E" w:rsidP="00AE490F">
      <w:pPr>
        <w:pStyle w:val="Prrafodelista"/>
        <w:numPr>
          <w:ilvl w:val="0"/>
          <w:numId w:val="13"/>
        </w:numPr>
        <w:tabs>
          <w:tab w:val="left" w:pos="0"/>
          <w:tab w:val="left" w:pos="284"/>
        </w:tabs>
        <w:ind w:left="0" w:firstLine="0"/>
        <w:jc w:val="both"/>
        <w:rPr>
          <w:rFonts w:ascii="Arial" w:hAnsi="Arial" w:cs="Arial"/>
        </w:rPr>
      </w:pPr>
      <w:r w:rsidRPr="0051698C">
        <w:rPr>
          <w:rFonts w:ascii="Arial" w:hAnsi="Arial" w:cs="Arial"/>
        </w:rPr>
        <w:t>Registrar en SUNAT Operaciones en Línea que utilizará el SEE – Del contribuyente.</w:t>
      </w:r>
    </w:p>
    <w:p w:rsidR="00DD7A8E" w:rsidRPr="0051698C" w:rsidRDefault="00DD7A8E" w:rsidP="00DD7A8E">
      <w:pPr>
        <w:pStyle w:val="Prrafodelista"/>
        <w:numPr>
          <w:ilvl w:val="0"/>
          <w:numId w:val="13"/>
        </w:numPr>
        <w:ind w:left="284" w:hanging="284"/>
        <w:jc w:val="both"/>
        <w:rPr>
          <w:rFonts w:ascii="Arial" w:hAnsi="Arial" w:cs="Arial"/>
        </w:rPr>
      </w:pPr>
      <w:r w:rsidRPr="0051698C">
        <w:rPr>
          <w:rFonts w:ascii="Arial" w:hAnsi="Arial" w:cs="Arial"/>
        </w:rPr>
        <w:t xml:space="preserve">Cumplir con lo </w:t>
      </w:r>
      <w:r w:rsidR="00B107D2" w:rsidRPr="0051698C">
        <w:rPr>
          <w:rFonts w:ascii="Arial" w:hAnsi="Arial" w:cs="Arial"/>
        </w:rPr>
        <w:t>indicado en el numeral 6.2 del artículo 6.</w:t>
      </w:r>
      <w:r w:rsidR="009D2AC0" w:rsidRPr="0051698C">
        <w:rPr>
          <w:rFonts w:ascii="Arial" w:hAnsi="Arial" w:cs="Arial"/>
        </w:rPr>
        <w:t>”</w:t>
      </w:r>
    </w:p>
    <w:p w:rsidR="00B107D2" w:rsidRPr="0051698C" w:rsidRDefault="00B107D2" w:rsidP="00B107D2">
      <w:pPr>
        <w:pStyle w:val="Default"/>
        <w:jc w:val="both"/>
        <w:rPr>
          <w:sz w:val="22"/>
          <w:szCs w:val="22"/>
        </w:rPr>
      </w:pPr>
    </w:p>
    <w:p w:rsidR="00B107D2" w:rsidRPr="0051698C" w:rsidRDefault="00B107D2" w:rsidP="00B107D2">
      <w:pPr>
        <w:pStyle w:val="Default"/>
        <w:jc w:val="both"/>
        <w:rPr>
          <w:sz w:val="22"/>
          <w:szCs w:val="22"/>
        </w:rPr>
      </w:pPr>
      <w:r w:rsidRPr="0051698C">
        <w:rPr>
          <w:sz w:val="22"/>
          <w:szCs w:val="22"/>
        </w:rPr>
        <w:t xml:space="preserve">3.3 </w:t>
      </w:r>
      <w:proofErr w:type="spellStart"/>
      <w:r w:rsidRPr="0051698C">
        <w:rPr>
          <w:sz w:val="22"/>
          <w:szCs w:val="22"/>
        </w:rPr>
        <w:t>Modifícase</w:t>
      </w:r>
      <w:proofErr w:type="spellEnd"/>
      <w:r w:rsidRPr="0051698C">
        <w:rPr>
          <w:sz w:val="22"/>
          <w:szCs w:val="22"/>
        </w:rPr>
        <w:t xml:space="preserve"> el numeral 7.5 del artículo 7 de la Resolución de Superintendencia N.° 097-2012/SUNAT y normas modificatorias, en los términos siguientes:</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7.- EFECTOS DE LA INCORPORACIÓN</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La obtención o la asignación de la calidad de emisor electrónico genera los efectos indicados a continuación desde el día en que tenga esa calidad:</w:t>
      </w:r>
    </w:p>
    <w:p w:rsidR="00860FF6" w:rsidRPr="0051698C" w:rsidRDefault="00860FF6" w:rsidP="00860FF6">
      <w:pPr>
        <w:pStyle w:val="NormalWeb"/>
        <w:ind w:left="0"/>
        <w:rPr>
          <w:rFonts w:ascii="Arial" w:hAnsi="Arial" w:cs="Arial"/>
          <w:i/>
          <w:sz w:val="22"/>
          <w:szCs w:val="22"/>
        </w:rPr>
      </w:pPr>
      <w:r w:rsidRPr="0051698C">
        <w:rPr>
          <w:rFonts w:ascii="Arial" w:hAnsi="Arial" w:cs="Arial"/>
          <w:sz w:val="22"/>
          <w:szCs w:val="22"/>
        </w:rPr>
        <w:t>(…)</w:t>
      </w:r>
    </w:p>
    <w:p w:rsidR="00B107D2" w:rsidRPr="0051698C" w:rsidRDefault="00860FF6" w:rsidP="00860FF6">
      <w:pPr>
        <w:pStyle w:val="NormalWeb"/>
        <w:ind w:left="0"/>
        <w:rPr>
          <w:rFonts w:ascii="Arial" w:hAnsi="Arial" w:cs="Arial"/>
          <w:bCs/>
          <w:sz w:val="22"/>
          <w:szCs w:val="22"/>
        </w:rPr>
      </w:pPr>
      <w:bookmarkStart w:id="24" w:name="JD_7.3.LaobligacinderemitiralaSUNAT,de"/>
      <w:bookmarkStart w:id="25" w:name="JD_7.5.Laobligacinderemi"/>
      <w:bookmarkEnd w:id="24"/>
      <w:bookmarkEnd w:id="25"/>
      <w:r w:rsidRPr="0051698C">
        <w:rPr>
          <w:rFonts w:ascii="Arial" w:hAnsi="Arial" w:cs="Arial"/>
          <w:sz w:val="22"/>
          <w:szCs w:val="22"/>
        </w:rPr>
        <w:t>7.5. La obligación de remitir a la SUNAT un ejemplar del DAE o del recibo electrónico SP, según lo regulado en la presente resolución y de colocar en la representación impresa del DAE lo señalado en el inciso d) del numeral 7.4.</w:t>
      </w:r>
      <w:r w:rsidRPr="0051698C">
        <w:rPr>
          <w:rFonts w:ascii="Arial" w:hAnsi="Arial" w:cs="Arial"/>
          <w:bCs/>
          <w:sz w:val="22"/>
          <w:szCs w:val="22"/>
        </w:rPr>
        <w:t>"</w:t>
      </w:r>
    </w:p>
    <w:p w:rsidR="00B107D2" w:rsidRPr="0051698C" w:rsidRDefault="00B107D2" w:rsidP="00B107D2">
      <w:pPr>
        <w:pStyle w:val="Default"/>
        <w:jc w:val="both"/>
        <w:rPr>
          <w:sz w:val="22"/>
          <w:szCs w:val="22"/>
        </w:rPr>
      </w:pPr>
      <w:r w:rsidRPr="0051698C">
        <w:rPr>
          <w:sz w:val="22"/>
          <w:szCs w:val="22"/>
        </w:rPr>
        <w:lastRenderedPageBreak/>
        <w:t xml:space="preserve">3.4 </w:t>
      </w:r>
      <w:proofErr w:type="spellStart"/>
      <w:r w:rsidRPr="0051698C">
        <w:rPr>
          <w:sz w:val="22"/>
          <w:szCs w:val="22"/>
        </w:rPr>
        <w:t>Modifícase</w:t>
      </w:r>
      <w:proofErr w:type="spellEnd"/>
      <w:r w:rsidRPr="0051698C">
        <w:rPr>
          <w:sz w:val="22"/>
          <w:szCs w:val="22"/>
        </w:rPr>
        <w:t xml:space="preserve"> el </w:t>
      </w:r>
      <w:r w:rsidR="000C44F4" w:rsidRPr="0051698C">
        <w:rPr>
          <w:sz w:val="22"/>
          <w:szCs w:val="22"/>
        </w:rPr>
        <w:t>encabezado</w:t>
      </w:r>
      <w:r w:rsidR="008D6C9D" w:rsidRPr="0051698C">
        <w:rPr>
          <w:sz w:val="22"/>
          <w:szCs w:val="22"/>
        </w:rPr>
        <w:t xml:space="preserve"> del primer párrafo</w:t>
      </w:r>
      <w:r w:rsidR="000C44F4" w:rsidRPr="0051698C">
        <w:rPr>
          <w:sz w:val="22"/>
          <w:szCs w:val="22"/>
        </w:rPr>
        <w:t xml:space="preserve"> del </w:t>
      </w:r>
      <w:r w:rsidRPr="0051698C">
        <w:rPr>
          <w:sz w:val="22"/>
          <w:szCs w:val="22"/>
        </w:rPr>
        <w:t xml:space="preserve">numeral 10.5 </w:t>
      </w:r>
      <w:r w:rsidR="009F238C" w:rsidRPr="0051698C">
        <w:rPr>
          <w:sz w:val="22"/>
          <w:szCs w:val="22"/>
        </w:rPr>
        <w:t>y el segundo párrafo</w:t>
      </w:r>
      <w:r w:rsidR="000C44F4" w:rsidRPr="0051698C">
        <w:rPr>
          <w:sz w:val="22"/>
          <w:szCs w:val="22"/>
        </w:rPr>
        <w:t xml:space="preserve"> del artículo 10 de la Resolución de Superintendencia N.° 097-2012/SUNAT y normas modificatorias, en los términos siguientes:</w:t>
      </w:r>
      <w:r w:rsidRPr="0051698C">
        <w:rPr>
          <w:sz w:val="22"/>
          <w:szCs w:val="22"/>
        </w:rPr>
        <w:t xml:space="preserve"> </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10.- CONDICIONES PARA EMITIR EL DOCUMENTO ELECTRÓNICO</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Se considera que el emisor electrónico ha emitido un documento electrónico si cumple con lo siguiente:</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   </w:t>
      </w:r>
    </w:p>
    <w:p w:rsidR="00860FF6" w:rsidRPr="0051698C" w:rsidRDefault="00860FF6" w:rsidP="00860FF6">
      <w:pPr>
        <w:pStyle w:val="NormalWeb"/>
        <w:ind w:left="0"/>
        <w:rPr>
          <w:rFonts w:ascii="Arial" w:hAnsi="Arial" w:cs="Arial"/>
          <w:sz w:val="22"/>
          <w:szCs w:val="22"/>
        </w:rPr>
      </w:pPr>
      <w:bookmarkStart w:id="26" w:name="JD_10.5.Tratndosedelafa"/>
      <w:bookmarkEnd w:id="26"/>
      <w:r w:rsidRPr="0051698C">
        <w:rPr>
          <w:rFonts w:ascii="Arial" w:hAnsi="Arial" w:cs="Arial"/>
          <w:sz w:val="22"/>
          <w:szCs w:val="22"/>
        </w:rPr>
        <w:t>10.5. Tratándose de la factura electrónica, el DAE, el recibo electrónico SP o las notas electrónicas vinculadas a aquellos:</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w:t>
      </w:r>
    </w:p>
    <w:p w:rsidR="00860FF6" w:rsidRPr="0051698C" w:rsidRDefault="00860FF6" w:rsidP="00860FF6">
      <w:pPr>
        <w:pStyle w:val="NormalWeb"/>
        <w:ind w:left="0"/>
        <w:rPr>
          <w:rFonts w:ascii="Arial" w:hAnsi="Arial" w:cs="Arial"/>
          <w:sz w:val="22"/>
          <w:szCs w:val="22"/>
        </w:rPr>
      </w:pPr>
      <w:bookmarkStart w:id="27" w:name="JD_Lascondicionessealadasen"/>
      <w:bookmarkEnd w:id="27"/>
      <w:r w:rsidRPr="0051698C">
        <w:rPr>
          <w:rFonts w:ascii="Arial" w:hAnsi="Arial" w:cs="Arial"/>
          <w:sz w:val="22"/>
          <w:szCs w:val="22"/>
        </w:rPr>
        <w:t>Las condiciones señaladas en los numerales 10.1 al 10.4 y en el inciso a) del numeral 10.5 deben cumplirse el día señalado como fecha de emisión en el documento electrónico. En el caso de la factura electrónica, el DAE, el recibo electrónico SP y la nota electrónica se tendrán por cumplidas en esa misma fecha:</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 xml:space="preserve">a) Cuando se cumpla la condición mencionada en el inciso b) del numeral 10.5 y siempre que la SUNAT no hubiera emitido la Constancia de Recepción (CDR) respectiva con estado de rechazada de conformidad con el numeral 13.2 del artículo 13. </w:t>
      </w:r>
    </w:p>
    <w:p w:rsidR="00860FF6" w:rsidRPr="0051698C" w:rsidRDefault="00860FF6" w:rsidP="00860FF6">
      <w:pPr>
        <w:pStyle w:val="NormalWeb"/>
        <w:ind w:left="0"/>
        <w:rPr>
          <w:rFonts w:ascii="Arial" w:hAnsi="Arial" w:cs="Arial"/>
          <w:b/>
          <w:bCs/>
          <w:sz w:val="22"/>
          <w:szCs w:val="22"/>
        </w:rPr>
      </w:pPr>
      <w:r w:rsidRPr="0051698C">
        <w:rPr>
          <w:rFonts w:ascii="Arial" w:hAnsi="Arial" w:cs="Arial"/>
          <w:sz w:val="22"/>
          <w:szCs w:val="22"/>
        </w:rPr>
        <w:t xml:space="preserve">b) Tratándose del numeral 10.4, si en el momento en que la SUNAT recibe la factura electrónica, </w:t>
      </w:r>
      <w:r w:rsidR="000C44F4" w:rsidRPr="0051698C">
        <w:rPr>
          <w:rFonts w:ascii="Arial" w:hAnsi="Arial" w:cs="Arial"/>
          <w:sz w:val="22"/>
          <w:szCs w:val="22"/>
        </w:rPr>
        <w:t>el</w:t>
      </w:r>
      <w:r w:rsidRPr="0051698C">
        <w:rPr>
          <w:rFonts w:ascii="Arial" w:hAnsi="Arial" w:cs="Arial"/>
          <w:sz w:val="22"/>
          <w:szCs w:val="22"/>
        </w:rPr>
        <w:t xml:space="preserve"> DAE, el recibo electrónico SP o la nota electrónica vinculada a aquell</w:t>
      </w:r>
      <w:r w:rsidR="000C44F4" w:rsidRPr="0051698C">
        <w:rPr>
          <w:rFonts w:ascii="Arial" w:hAnsi="Arial" w:cs="Arial"/>
          <w:sz w:val="22"/>
          <w:szCs w:val="22"/>
        </w:rPr>
        <w:t>o</w:t>
      </w:r>
      <w:r w:rsidRPr="0051698C">
        <w:rPr>
          <w:rFonts w:ascii="Arial" w:hAnsi="Arial" w:cs="Arial"/>
          <w:sz w:val="22"/>
          <w:szCs w:val="22"/>
        </w:rPr>
        <w:t>s, no se ha recibido con anterioridad un ejemplar de esta con la misma numeración.</w:t>
      </w:r>
      <w:r w:rsidRPr="0051698C">
        <w:rPr>
          <w:rFonts w:ascii="Arial" w:hAnsi="Arial" w:cs="Arial"/>
          <w:bCs/>
          <w:sz w:val="22"/>
          <w:szCs w:val="22"/>
        </w:rPr>
        <w:t>”</w:t>
      </w:r>
    </w:p>
    <w:p w:rsidR="000C44F4" w:rsidRPr="0051698C" w:rsidRDefault="000C44F4" w:rsidP="00860FF6">
      <w:pPr>
        <w:pStyle w:val="NormalWeb"/>
        <w:ind w:left="0"/>
        <w:rPr>
          <w:rFonts w:ascii="Arial" w:hAnsi="Arial" w:cs="Arial"/>
          <w:bCs/>
          <w:sz w:val="22"/>
          <w:szCs w:val="22"/>
        </w:rPr>
      </w:pPr>
      <w:r w:rsidRPr="0051698C">
        <w:rPr>
          <w:rFonts w:ascii="Arial" w:hAnsi="Arial" w:cs="Arial"/>
          <w:sz w:val="22"/>
          <w:szCs w:val="22"/>
        </w:rPr>
        <w:t>3.</w:t>
      </w:r>
      <w:r w:rsidR="00244A3C" w:rsidRPr="0051698C">
        <w:rPr>
          <w:rFonts w:ascii="Arial" w:hAnsi="Arial" w:cs="Arial"/>
          <w:sz w:val="22"/>
          <w:szCs w:val="22"/>
        </w:rPr>
        <w:t>5</w:t>
      </w:r>
      <w:r w:rsidRPr="0051698C">
        <w:rPr>
          <w:rFonts w:ascii="Arial" w:hAnsi="Arial" w:cs="Arial"/>
          <w:sz w:val="22"/>
          <w:szCs w:val="22"/>
        </w:rPr>
        <w:t xml:space="preserve"> </w:t>
      </w:r>
      <w:proofErr w:type="spellStart"/>
      <w:r w:rsidRPr="0051698C">
        <w:rPr>
          <w:rFonts w:ascii="Arial" w:hAnsi="Arial" w:cs="Arial"/>
          <w:sz w:val="22"/>
          <w:szCs w:val="22"/>
        </w:rPr>
        <w:t>Modifícase</w:t>
      </w:r>
      <w:proofErr w:type="spellEnd"/>
      <w:r w:rsidR="00244A3C" w:rsidRPr="0051698C">
        <w:rPr>
          <w:rFonts w:ascii="Arial" w:hAnsi="Arial" w:cs="Arial"/>
          <w:sz w:val="22"/>
          <w:szCs w:val="22"/>
        </w:rPr>
        <w:t xml:space="preserve"> el</w:t>
      </w:r>
      <w:r w:rsidRPr="0051698C">
        <w:rPr>
          <w:rFonts w:ascii="Arial" w:hAnsi="Arial" w:cs="Arial"/>
          <w:sz w:val="22"/>
          <w:szCs w:val="22"/>
        </w:rPr>
        <w:t xml:space="preserve"> artículo 12 de la Resolución de Superintendencia N.° 097-2012/SUNAT y normas modificatorias, en los términos siguientes:</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12.- ENVÍO A LA SUNAT DE LA FACTURA ELECTRÓNICA, EL DAE, EL RECIBO ELECTRÓNICO SP Y LA NOTA ELECTRÓNICA VINCULADA A AQUELLOS</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lastRenderedPageBreak/>
        <w:t>En la fecha de emisión consignada en la factura electrónica, el DAE</w:t>
      </w:r>
      <w:r w:rsidR="00244A3C" w:rsidRPr="0051698C">
        <w:rPr>
          <w:rFonts w:ascii="Arial" w:hAnsi="Arial" w:cs="Arial"/>
          <w:sz w:val="22"/>
          <w:szCs w:val="22"/>
        </w:rPr>
        <w:t>, el recibo electrónico SP</w:t>
      </w:r>
      <w:r w:rsidRPr="0051698C">
        <w:rPr>
          <w:rFonts w:ascii="Arial" w:hAnsi="Arial" w:cs="Arial"/>
          <w:sz w:val="22"/>
          <w:szCs w:val="22"/>
        </w:rPr>
        <w:t xml:space="preserve"> y la nota electrónica vinculada a aquellos e incluso hasta un plazo máximo de siete (7) días calendario contado desde el día siguiente a esa fecha, el emisor electrónico debe remitir a la SUNAT un ejemplar de dichos documentos. Lo remitido a la SUNAT transcurrido ese plazo no tendrá la calidad de factura electrónica, DAE, recibo electrónico SP o nota electrónica, aun cuando hubiera sido entregada al adquirente o usuario.</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A tal efecto, la fecha de emisión consignada en la factura electrónica</w:t>
      </w:r>
      <w:r w:rsidRPr="0051698C">
        <w:rPr>
          <w:rFonts w:ascii="Arial" w:hAnsi="Arial" w:cs="Arial"/>
          <w:b/>
          <w:sz w:val="22"/>
          <w:szCs w:val="22"/>
        </w:rPr>
        <w:t>,</w:t>
      </w:r>
      <w:r w:rsidRPr="0051698C">
        <w:rPr>
          <w:rFonts w:ascii="Arial" w:hAnsi="Arial" w:cs="Arial"/>
          <w:sz w:val="22"/>
          <w:szCs w:val="22"/>
        </w:rPr>
        <w:t xml:space="preserve"> en el DAE y en el recibo electrónico SP p</w:t>
      </w:r>
      <w:r w:rsidR="00244A3C" w:rsidRPr="0051698C">
        <w:rPr>
          <w:rFonts w:ascii="Arial" w:hAnsi="Arial" w:cs="Arial"/>
          <w:sz w:val="22"/>
          <w:szCs w:val="22"/>
        </w:rPr>
        <w:t>uede</w:t>
      </w:r>
      <w:r w:rsidRPr="0051698C">
        <w:rPr>
          <w:rFonts w:ascii="Arial" w:hAnsi="Arial" w:cs="Arial"/>
          <w:sz w:val="22"/>
          <w:szCs w:val="22"/>
        </w:rPr>
        <w:t xml:space="preserve"> ser anterior a aquella en que se debe emitir según el primer párrafo del artículo 5 del Reglamento de Comprobantes de Pago, si el emisor electrónico desea anticipar la emisión de acuerdo con el segundo párrafo de ese artículo.” </w:t>
      </w:r>
    </w:p>
    <w:p w:rsidR="00244A3C" w:rsidRPr="0051698C" w:rsidRDefault="00244A3C" w:rsidP="00244A3C">
      <w:pPr>
        <w:pStyle w:val="NormalWeb"/>
        <w:ind w:left="0"/>
        <w:rPr>
          <w:rFonts w:ascii="Arial" w:hAnsi="Arial" w:cs="Arial"/>
          <w:bCs/>
          <w:sz w:val="22"/>
          <w:szCs w:val="22"/>
        </w:rPr>
      </w:pPr>
      <w:r w:rsidRPr="0051698C">
        <w:rPr>
          <w:rFonts w:ascii="Arial" w:hAnsi="Arial" w:cs="Arial"/>
          <w:sz w:val="22"/>
          <w:szCs w:val="22"/>
        </w:rPr>
        <w:t xml:space="preserve">3.6 </w:t>
      </w:r>
      <w:proofErr w:type="spellStart"/>
      <w:r w:rsidRPr="0051698C">
        <w:rPr>
          <w:rFonts w:ascii="Arial" w:hAnsi="Arial" w:cs="Arial"/>
          <w:sz w:val="22"/>
          <w:szCs w:val="22"/>
        </w:rPr>
        <w:t>Modifícase</w:t>
      </w:r>
      <w:proofErr w:type="spellEnd"/>
      <w:r w:rsidRPr="0051698C">
        <w:rPr>
          <w:rFonts w:ascii="Arial" w:hAnsi="Arial" w:cs="Arial"/>
          <w:sz w:val="22"/>
          <w:szCs w:val="22"/>
        </w:rPr>
        <w:t xml:space="preserve"> el artículo 13 de la Resolución de Superintendencia N.° 097-2012/SUNAT y normas modificatorias, en los términos siguientes:</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w:t>
      </w:r>
      <w:bookmarkStart w:id="28" w:name="JD_13.-CONSTANCIA"/>
      <w:bookmarkEnd w:id="28"/>
      <w:r w:rsidRPr="0051698C">
        <w:rPr>
          <w:rFonts w:ascii="Arial" w:hAnsi="Arial" w:cs="Arial"/>
          <w:bCs/>
          <w:sz w:val="22"/>
          <w:szCs w:val="22"/>
        </w:rPr>
        <w:t>Artículo 13.- CONSTANCIA DE RECEPCIÓN</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La CDR respectiva será remitida por la SUNAT al emisor electrónico si la factura electrónica, el DAE, el recibo electrónico SP o la nota electrónica vinculada a aquellos,</w:t>
      </w:r>
      <w:r w:rsidR="00125F6F" w:rsidRPr="0051698C">
        <w:rPr>
          <w:rFonts w:ascii="Arial" w:hAnsi="Arial" w:cs="Arial"/>
          <w:sz w:val="22"/>
          <w:szCs w:val="22"/>
        </w:rPr>
        <w:t xml:space="preserve"> </w:t>
      </w:r>
      <w:r w:rsidRPr="0051698C">
        <w:rPr>
          <w:rFonts w:ascii="Arial" w:hAnsi="Arial" w:cs="Arial"/>
          <w:sz w:val="22"/>
          <w:szCs w:val="22"/>
        </w:rPr>
        <w:t>es enviada a la SUNAT según el inciso b) del numeral 10.5 del artículo 10.</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La constancia antes indicada tendrá alguno de los siguientes estados:</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13.1. Aceptada, si lo recibido cumple con las condiciones indicadas en el artículo 10.</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13.2. Rechazada, si lo recibido no cumple con alguna de las condiciones indicadas en el artículo 10, distinta a la señalada en el inciso b) del numeral 10.5. de ese artículo.</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En este caso también se le comunicará al adquirente o usuario, a través del buzón electrónico a que se refiere el inciso d) del artículo 1 de la Resolución de Superintendencia N.° 014-2008/SUNAT y normas modificatorias, que se ha emitido una CDR con ese estado respecto de un documento en el que aparece como adquirente o usuario, salvo que sea no domiciliado, se haya consignado un número de RUC no válido o sea un sujeto que no cuente con clave SOL.</w:t>
      </w:r>
    </w:p>
    <w:p w:rsidR="00860FF6" w:rsidRPr="0051698C" w:rsidRDefault="00860FF6" w:rsidP="00860FF6">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lastRenderedPageBreak/>
        <w:t>La CDR respectiva contará, por lo menos, con el estado, la numeración del documento a que se refiere, el motivo del rechazo, la firma digital de la SUNAT y la hora en que se recibió el aludido documento.</w:t>
      </w:r>
      <w:r w:rsidRPr="0051698C">
        <w:rPr>
          <w:rFonts w:ascii="Arial" w:hAnsi="Arial" w:cs="Arial"/>
          <w:bCs/>
          <w:sz w:val="22"/>
          <w:szCs w:val="22"/>
        </w:rPr>
        <w:t>”</w:t>
      </w:r>
    </w:p>
    <w:p w:rsidR="00244A3C" w:rsidRPr="0051698C" w:rsidRDefault="00244A3C" w:rsidP="00244A3C">
      <w:pPr>
        <w:pStyle w:val="NormalWeb"/>
        <w:ind w:left="0"/>
        <w:rPr>
          <w:rFonts w:ascii="Arial" w:hAnsi="Arial" w:cs="Arial"/>
          <w:bCs/>
          <w:sz w:val="22"/>
          <w:szCs w:val="22"/>
        </w:rPr>
      </w:pPr>
      <w:r w:rsidRPr="0051698C">
        <w:rPr>
          <w:rFonts w:ascii="Arial" w:hAnsi="Arial" w:cs="Arial"/>
          <w:sz w:val="22"/>
          <w:szCs w:val="22"/>
        </w:rPr>
        <w:t xml:space="preserve">3.7 </w:t>
      </w:r>
      <w:proofErr w:type="spellStart"/>
      <w:r w:rsidRPr="0051698C">
        <w:rPr>
          <w:rFonts w:ascii="Arial" w:hAnsi="Arial" w:cs="Arial"/>
          <w:sz w:val="22"/>
          <w:szCs w:val="22"/>
        </w:rPr>
        <w:t>Modifícase</w:t>
      </w:r>
      <w:proofErr w:type="spellEnd"/>
      <w:r w:rsidRPr="0051698C">
        <w:rPr>
          <w:rFonts w:ascii="Arial" w:hAnsi="Arial" w:cs="Arial"/>
          <w:sz w:val="22"/>
          <w:szCs w:val="22"/>
        </w:rPr>
        <w:t xml:space="preserve"> el encabezado del numeral 14.1 del artículo 14 de la Resolución de Superintendencia N.° 097-2012/SUNAT y normas modificatorias,</w:t>
      </w:r>
      <w:r w:rsidR="00D43310" w:rsidRPr="0051698C">
        <w:rPr>
          <w:rFonts w:ascii="Arial" w:hAnsi="Arial" w:cs="Arial"/>
          <w:sz w:val="22"/>
          <w:szCs w:val="22"/>
        </w:rPr>
        <w:t xml:space="preserve"> así como el acápite </w:t>
      </w:r>
      <w:proofErr w:type="spellStart"/>
      <w:r w:rsidR="00D43310" w:rsidRPr="0051698C">
        <w:rPr>
          <w:rFonts w:ascii="Arial" w:hAnsi="Arial" w:cs="Arial"/>
          <w:sz w:val="22"/>
          <w:szCs w:val="22"/>
        </w:rPr>
        <w:t>ii</w:t>
      </w:r>
      <w:proofErr w:type="spellEnd"/>
      <w:r w:rsidR="00D43310" w:rsidRPr="0051698C">
        <w:rPr>
          <w:rFonts w:ascii="Arial" w:hAnsi="Arial" w:cs="Arial"/>
          <w:sz w:val="22"/>
          <w:szCs w:val="22"/>
        </w:rPr>
        <w:t>) del inciso d) de ese numeral,</w:t>
      </w:r>
      <w:r w:rsidRPr="0051698C">
        <w:rPr>
          <w:rFonts w:ascii="Arial" w:hAnsi="Arial" w:cs="Arial"/>
          <w:sz w:val="22"/>
          <w:szCs w:val="22"/>
        </w:rPr>
        <w:t xml:space="preserve"> en los términos siguientes:</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w:t>
      </w:r>
      <w:bookmarkStart w:id="29" w:name="JD_COMUNICACINDEBAJA"/>
      <w:bookmarkEnd w:id="29"/>
      <w:r w:rsidRPr="0051698C">
        <w:rPr>
          <w:rFonts w:ascii="Arial" w:hAnsi="Arial" w:cs="Arial"/>
          <w:bCs/>
          <w:sz w:val="22"/>
          <w:szCs w:val="22"/>
        </w:rPr>
        <w:t>Artículo 14. COMUNICACIÓN DE BAJA</w:t>
      </w:r>
    </w:p>
    <w:p w:rsidR="00860FF6" w:rsidRPr="0051698C" w:rsidRDefault="00D43310" w:rsidP="00D43310">
      <w:pPr>
        <w:pStyle w:val="NormalWeb"/>
        <w:ind w:left="0"/>
        <w:rPr>
          <w:rFonts w:ascii="Arial" w:hAnsi="Arial" w:cs="Arial"/>
          <w:sz w:val="22"/>
          <w:szCs w:val="22"/>
        </w:rPr>
      </w:pPr>
      <w:r w:rsidRPr="0051698C">
        <w:rPr>
          <w:rFonts w:ascii="Arial" w:hAnsi="Arial" w:cs="Arial"/>
          <w:sz w:val="22"/>
          <w:szCs w:val="22"/>
        </w:rPr>
        <w:t>(…)</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14.1. Tratándose de la factura electrónica, el DAE, el recibo electrónico SP y la nota electrónica vinculada a aquellos:</w:t>
      </w:r>
    </w:p>
    <w:p w:rsidR="00860FF6" w:rsidRPr="0051698C" w:rsidRDefault="00D43310" w:rsidP="00D43310">
      <w:pPr>
        <w:pStyle w:val="NormalWeb"/>
        <w:ind w:left="0"/>
        <w:rPr>
          <w:rFonts w:ascii="Arial" w:hAnsi="Arial" w:cs="Arial"/>
          <w:sz w:val="22"/>
          <w:szCs w:val="22"/>
        </w:rPr>
      </w:pPr>
      <w:r w:rsidRPr="0051698C">
        <w:rPr>
          <w:rFonts w:ascii="Arial" w:hAnsi="Arial" w:cs="Arial"/>
          <w:sz w:val="22"/>
          <w:szCs w:val="22"/>
        </w:rPr>
        <w:t>(…)</w:t>
      </w:r>
      <w:r w:rsidR="00860FF6" w:rsidRPr="0051698C">
        <w:rPr>
          <w:rFonts w:ascii="Arial" w:hAnsi="Arial" w:cs="Arial"/>
          <w:sz w:val="22"/>
          <w:szCs w:val="22"/>
        </w:rPr>
        <w:t xml:space="preserve"> </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d) CDR-Baja</w:t>
      </w:r>
    </w:p>
    <w:p w:rsidR="00860FF6" w:rsidRPr="0051698C" w:rsidRDefault="00D43310" w:rsidP="00D43310">
      <w:pPr>
        <w:pStyle w:val="NormalWeb"/>
        <w:ind w:left="0"/>
        <w:rPr>
          <w:rFonts w:ascii="Arial" w:hAnsi="Arial" w:cs="Arial"/>
          <w:sz w:val="22"/>
          <w:szCs w:val="22"/>
        </w:rPr>
      </w:pPr>
      <w:r w:rsidRPr="0051698C">
        <w:rPr>
          <w:rFonts w:ascii="Arial" w:hAnsi="Arial" w:cs="Arial"/>
          <w:sz w:val="22"/>
          <w:szCs w:val="22"/>
        </w:rPr>
        <w:t>(…)</w:t>
      </w:r>
    </w:p>
    <w:p w:rsidR="00860FF6" w:rsidRPr="0051698C" w:rsidRDefault="00860FF6" w:rsidP="00D43310">
      <w:pPr>
        <w:pStyle w:val="NormalWeb"/>
        <w:ind w:left="0"/>
        <w:rPr>
          <w:rFonts w:ascii="Arial" w:hAnsi="Arial" w:cs="Arial"/>
          <w:sz w:val="22"/>
          <w:szCs w:val="22"/>
        </w:rPr>
      </w:pPr>
      <w:proofErr w:type="spellStart"/>
      <w:r w:rsidRPr="0051698C">
        <w:rPr>
          <w:rFonts w:ascii="Arial" w:hAnsi="Arial" w:cs="Arial"/>
          <w:sz w:val="22"/>
          <w:szCs w:val="22"/>
        </w:rPr>
        <w:t>ii</w:t>
      </w:r>
      <w:proofErr w:type="spellEnd"/>
      <w:r w:rsidRPr="0051698C">
        <w:rPr>
          <w:rFonts w:ascii="Arial" w:hAnsi="Arial" w:cs="Arial"/>
          <w:sz w:val="22"/>
          <w:szCs w:val="22"/>
        </w:rPr>
        <w:t>) Rechazada, si lo recibido no cumple con la condición señalada en el acápite i) del inciso c).</w:t>
      </w:r>
      <w:r w:rsidR="00D43310" w:rsidRPr="0051698C">
        <w:rPr>
          <w:rFonts w:ascii="Arial" w:hAnsi="Arial" w:cs="Arial"/>
          <w:sz w:val="22"/>
          <w:szCs w:val="22"/>
        </w:rPr>
        <w:t xml:space="preserve"> </w:t>
      </w:r>
      <w:r w:rsidRPr="0051698C">
        <w:rPr>
          <w:rFonts w:ascii="Arial" w:hAnsi="Arial" w:cs="Arial"/>
          <w:sz w:val="22"/>
          <w:szCs w:val="22"/>
        </w:rPr>
        <w:t>No se debe enviar la comunicación de baja respecto de la factura electrónica, el DAE, el recibo electrónico SP o la nota electrónica vinculada a aquellos que no hayan sido enviados a la SUNAT según lo previsto en el inciso b) del numeral 10.5. del artículo 10.</w:t>
      </w:r>
      <w:r w:rsidR="00D43310" w:rsidRPr="0051698C">
        <w:rPr>
          <w:rFonts w:ascii="Arial" w:hAnsi="Arial" w:cs="Arial"/>
          <w:sz w:val="22"/>
          <w:szCs w:val="22"/>
        </w:rPr>
        <w:t>”</w:t>
      </w:r>
    </w:p>
    <w:p w:rsidR="00D43310" w:rsidRPr="0051698C" w:rsidRDefault="00D43310" w:rsidP="00D43310">
      <w:pPr>
        <w:pStyle w:val="NormalWeb"/>
        <w:ind w:left="0"/>
        <w:rPr>
          <w:rFonts w:ascii="Arial" w:hAnsi="Arial" w:cs="Arial"/>
          <w:bCs/>
          <w:sz w:val="22"/>
          <w:szCs w:val="22"/>
        </w:rPr>
      </w:pPr>
      <w:r w:rsidRPr="0051698C">
        <w:rPr>
          <w:rFonts w:ascii="Arial" w:hAnsi="Arial" w:cs="Arial"/>
          <w:sz w:val="22"/>
          <w:szCs w:val="22"/>
        </w:rPr>
        <w:t xml:space="preserve">3.8 </w:t>
      </w:r>
      <w:proofErr w:type="spellStart"/>
      <w:r w:rsidRPr="0051698C">
        <w:rPr>
          <w:rFonts w:ascii="Arial" w:hAnsi="Arial" w:cs="Arial"/>
          <w:sz w:val="22"/>
          <w:szCs w:val="22"/>
        </w:rPr>
        <w:t>Incorpórase</w:t>
      </w:r>
      <w:proofErr w:type="spellEnd"/>
      <w:r w:rsidRPr="0051698C">
        <w:rPr>
          <w:rFonts w:ascii="Arial" w:hAnsi="Arial" w:cs="Arial"/>
          <w:sz w:val="22"/>
          <w:szCs w:val="22"/>
        </w:rPr>
        <w:t xml:space="preserve"> el numeral 15.</w:t>
      </w:r>
      <w:r w:rsidR="00275088" w:rsidRPr="0051698C">
        <w:rPr>
          <w:rFonts w:ascii="Arial" w:hAnsi="Arial" w:cs="Arial"/>
          <w:sz w:val="22"/>
          <w:szCs w:val="22"/>
        </w:rPr>
        <w:t>5</w:t>
      </w:r>
      <w:r w:rsidRPr="0051698C">
        <w:rPr>
          <w:rFonts w:ascii="Arial" w:hAnsi="Arial" w:cs="Arial"/>
          <w:sz w:val="22"/>
          <w:szCs w:val="22"/>
        </w:rPr>
        <w:t xml:space="preserve"> en el artículo 15 de la Resolución de Superintendencia N.° 097-2012/SUNAT y normas modificatorias, en los términos siguientes:</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15.- OTORGAMIENTO</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Se considera otorgado el comprobante de pago electrónico o la nota electrónica:</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w:t>
      </w:r>
    </w:p>
    <w:p w:rsidR="00860FF6" w:rsidRPr="0051698C" w:rsidRDefault="00860FF6" w:rsidP="00860FF6">
      <w:pPr>
        <w:pStyle w:val="NormalWeb"/>
        <w:ind w:left="0"/>
        <w:rPr>
          <w:rFonts w:ascii="Arial" w:hAnsi="Arial" w:cs="Arial"/>
          <w:sz w:val="22"/>
          <w:szCs w:val="22"/>
        </w:rPr>
      </w:pPr>
      <w:bookmarkStart w:id="30" w:name="JD_15.4Tratndosedelanotaelectrnicaquemod"/>
      <w:bookmarkStart w:id="31" w:name="JD_5.3.TratndosedelDAEylasnot"/>
      <w:bookmarkEnd w:id="30"/>
      <w:bookmarkEnd w:id="31"/>
      <w:r w:rsidRPr="0051698C">
        <w:rPr>
          <w:rFonts w:ascii="Arial" w:hAnsi="Arial" w:cs="Arial"/>
          <w:sz w:val="22"/>
          <w:szCs w:val="22"/>
        </w:rPr>
        <w:t>15.</w:t>
      </w:r>
      <w:r w:rsidR="00275088" w:rsidRPr="0051698C">
        <w:rPr>
          <w:rFonts w:ascii="Arial" w:hAnsi="Arial" w:cs="Arial"/>
          <w:sz w:val="22"/>
          <w:szCs w:val="22"/>
        </w:rPr>
        <w:t>5</w:t>
      </w:r>
      <w:r w:rsidRPr="0051698C">
        <w:rPr>
          <w:rFonts w:ascii="Arial" w:hAnsi="Arial" w:cs="Arial"/>
          <w:sz w:val="22"/>
          <w:szCs w:val="22"/>
        </w:rPr>
        <w:t>. Tratándose del recibo electrónico SP y las notas electrónicas vinculadas a aquel cuando se ponga a disposición del usuario la representación impresa</w:t>
      </w:r>
      <w:r w:rsidR="00D43310" w:rsidRPr="0051698C">
        <w:rPr>
          <w:rFonts w:ascii="Arial" w:hAnsi="Arial" w:cs="Arial"/>
          <w:sz w:val="22"/>
          <w:szCs w:val="22"/>
        </w:rPr>
        <w:t xml:space="preserve"> o</w:t>
      </w:r>
      <w:r w:rsidRPr="0051698C">
        <w:rPr>
          <w:rFonts w:ascii="Arial" w:hAnsi="Arial" w:cs="Arial"/>
          <w:sz w:val="22"/>
          <w:szCs w:val="22"/>
        </w:rPr>
        <w:t xml:space="preserve"> digital.</w:t>
      </w:r>
      <w:r w:rsidR="00D43310" w:rsidRPr="0051698C">
        <w:rPr>
          <w:rFonts w:ascii="Arial" w:hAnsi="Arial" w:cs="Arial"/>
          <w:sz w:val="22"/>
          <w:szCs w:val="22"/>
        </w:rPr>
        <w:t>”</w:t>
      </w:r>
      <w:r w:rsidRPr="0051698C">
        <w:rPr>
          <w:rFonts w:ascii="Arial" w:hAnsi="Arial" w:cs="Arial"/>
          <w:sz w:val="22"/>
          <w:szCs w:val="22"/>
        </w:rPr>
        <w:t xml:space="preserve">   </w:t>
      </w:r>
    </w:p>
    <w:p w:rsidR="00CD0093" w:rsidRPr="0051698C" w:rsidRDefault="00CD0093" w:rsidP="00CD0093">
      <w:pPr>
        <w:pStyle w:val="NormalWeb"/>
        <w:ind w:left="0"/>
        <w:rPr>
          <w:rFonts w:ascii="Arial" w:hAnsi="Arial" w:cs="Arial"/>
          <w:bCs/>
          <w:sz w:val="22"/>
          <w:szCs w:val="22"/>
        </w:rPr>
      </w:pPr>
      <w:r w:rsidRPr="0051698C">
        <w:rPr>
          <w:rFonts w:ascii="Arial" w:hAnsi="Arial" w:cs="Arial"/>
          <w:sz w:val="22"/>
          <w:szCs w:val="22"/>
        </w:rPr>
        <w:lastRenderedPageBreak/>
        <w:t xml:space="preserve">3.9 </w:t>
      </w:r>
      <w:proofErr w:type="spellStart"/>
      <w:r w:rsidR="000D5769" w:rsidRPr="0051698C">
        <w:rPr>
          <w:rFonts w:ascii="Arial" w:hAnsi="Arial" w:cs="Arial"/>
          <w:sz w:val="22"/>
          <w:szCs w:val="22"/>
        </w:rPr>
        <w:t>Modifícase</w:t>
      </w:r>
      <w:proofErr w:type="spellEnd"/>
      <w:r w:rsidR="000D5769" w:rsidRPr="0051698C">
        <w:rPr>
          <w:rFonts w:ascii="Arial" w:hAnsi="Arial" w:cs="Arial"/>
          <w:sz w:val="22"/>
          <w:szCs w:val="22"/>
        </w:rPr>
        <w:t xml:space="preserve"> el numeral 22.1 y el inciso b) del numeral 22.3 del artículo 22, el numeral 23.1 del artículo 23, el literal d) del numeral 24.1 y el literal c) del numeral 24.2 del artículo 24 </w:t>
      </w:r>
      <w:r w:rsidRPr="0051698C">
        <w:rPr>
          <w:rFonts w:ascii="Arial" w:hAnsi="Arial" w:cs="Arial"/>
          <w:sz w:val="22"/>
          <w:szCs w:val="22"/>
        </w:rPr>
        <w:t>de la Resolución de Superintendencia N.° 097-2012/SUNAT y normas modificatorias,</w:t>
      </w:r>
      <w:r w:rsidR="000D5769" w:rsidRPr="0051698C">
        <w:rPr>
          <w:rFonts w:ascii="Arial" w:hAnsi="Arial" w:cs="Arial"/>
          <w:sz w:val="22"/>
          <w:szCs w:val="22"/>
        </w:rPr>
        <w:t xml:space="preserve"> e</w:t>
      </w:r>
      <w:r w:rsidR="00E379CF" w:rsidRPr="0051698C">
        <w:rPr>
          <w:rFonts w:ascii="Arial" w:hAnsi="Arial" w:cs="Arial"/>
          <w:sz w:val="22"/>
          <w:szCs w:val="22"/>
        </w:rPr>
        <w:t xml:space="preserve"> </w:t>
      </w:r>
      <w:proofErr w:type="spellStart"/>
      <w:r w:rsidR="000D5769" w:rsidRPr="0051698C">
        <w:rPr>
          <w:rFonts w:ascii="Arial" w:hAnsi="Arial" w:cs="Arial"/>
          <w:sz w:val="22"/>
          <w:szCs w:val="22"/>
        </w:rPr>
        <w:t>incorpórase</w:t>
      </w:r>
      <w:proofErr w:type="spellEnd"/>
      <w:r w:rsidR="000D5769" w:rsidRPr="0051698C">
        <w:rPr>
          <w:rFonts w:ascii="Arial" w:hAnsi="Arial" w:cs="Arial"/>
          <w:sz w:val="22"/>
          <w:szCs w:val="22"/>
        </w:rPr>
        <w:t xml:space="preserve"> en este último numeral el literal e),</w:t>
      </w:r>
      <w:r w:rsidRPr="0051698C">
        <w:rPr>
          <w:rFonts w:ascii="Arial" w:hAnsi="Arial" w:cs="Arial"/>
          <w:sz w:val="22"/>
          <w:szCs w:val="22"/>
        </w:rPr>
        <w:t xml:space="preserve"> en los términos siguientes:</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w:t>
      </w:r>
      <w:r w:rsidRPr="0051698C">
        <w:rPr>
          <w:rFonts w:ascii="Arial" w:hAnsi="Arial" w:cs="Arial"/>
          <w:bCs/>
          <w:sz w:val="22"/>
          <w:szCs w:val="22"/>
        </w:rPr>
        <w:t>Artículo 22.- NOTA DE CRÉDITO ELECTRÓNICA</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La nota de crédito electrónica se regirá por las siguientes disposiciones:</w:t>
      </w:r>
    </w:p>
    <w:p w:rsidR="00860FF6" w:rsidRPr="0051698C" w:rsidRDefault="00860FF6" w:rsidP="00860FF6">
      <w:pPr>
        <w:pStyle w:val="NormalWeb"/>
        <w:ind w:left="0"/>
        <w:rPr>
          <w:rFonts w:ascii="Arial" w:hAnsi="Arial" w:cs="Arial"/>
          <w:sz w:val="22"/>
          <w:szCs w:val="22"/>
        </w:rPr>
      </w:pPr>
      <w:bookmarkStart w:id="32" w:name="JD_2.1.Seemitirnicam"/>
      <w:bookmarkEnd w:id="32"/>
      <w:r w:rsidRPr="0051698C">
        <w:rPr>
          <w:rFonts w:ascii="Arial" w:hAnsi="Arial" w:cs="Arial"/>
          <w:sz w:val="22"/>
          <w:szCs w:val="22"/>
        </w:rPr>
        <w:t>22.1. Se emitirá únicamente respecto de la factura electrónica</w:t>
      </w:r>
      <w:r w:rsidRPr="0051698C">
        <w:rPr>
          <w:rFonts w:ascii="Arial" w:hAnsi="Arial" w:cs="Arial"/>
          <w:b/>
          <w:sz w:val="22"/>
          <w:szCs w:val="22"/>
        </w:rPr>
        <w:t>,</w:t>
      </w:r>
      <w:r w:rsidRPr="0051698C">
        <w:rPr>
          <w:rFonts w:ascii="Arial" w:hAnsi="Arial" w:cs="Arial"/>
          <w:sz w:val="22"/>
          <w:szCs w:val="22"/>
        </w:rPr>
        <w:t xml:space="preserve"> el DAE o el recibo electrónico SP que cuente con la CDR respectiva con estado de aceptada o la boleta de venta electrónica, que hayan sido otorgadas al mismo adquirente o usuario con anterioridad, siendo de aplicación lo establecido en los incisos 1.1., 1.4. y 1.8. del numeral 1 del artículo 10 del Reglamento de Comprobantes de Pago.</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 xml:space="preserve">Una nota de crédito electrónica puede modificar una o más facturas electrónicas, boletas de venta electrónicas o DAE, siempre que se cumpla con lo estipulado para ello en los anexos </w:t>
      </w:r>
      <w:proofErr w:type="spellStart"/>
      <w:r w:rsidRPr="0051698C">
        <w:rPr>
          <w:rFonts w:ascii="Arial" w:hAnsi="Arial" w:cs="Arial"/>
          <w:sz w:val="22"/>
          <w:szCs w:val="22"/>
        </w:rPr>
        <w:t>N.°</w:t>
      </w:r>
      <w:r w:rsidRPr="0051698C">
        <w:rPr>
          <w:rFonts w:ascii="Arial" w:hAnsi="Arial" w:cs="Arial"/>
          <w:sz w:val="22"/>
          <w:szCs w:val="22"/>
          <w:vertAlign w:val="superscript"/>
        </w:rPr>
        <w:t>s</w:t>
      </w:r>
      <w:proofErr w:type="spellEnd"/>
      <w:r w:rsidRPr="0051698C">
        <w:rPr>
          <w:rFonts w:ascii="Arial" w:hAnsi="Arial" w:cs="Arial"/>
          <w:sz w:val="22"/>
          <w:szCs w:val="22"/>
        </w:rPr>
        <w:t xml:space="preserve"> 3 y 9.</w:t>
      </w:r>
    </w:p>
    <w:p w:rsidR="00860FF6" w:rsidRPr="0051698C" w:rsidRDefault="00860FF6" w:rsidP="00860FF6">
      <w:pPr>
        <w:pStyle w:val="NormalWeb"/>
        <w:ind w:left="0"/>
        <w:rPr>
          <w:rFonts w:ascii="Arial" w:hAnsi="Arial" w:cs="Arial"/>
          <w:sz w:val="22"/>
          <w:szCs w:val="22"/>
        </w:rPr>
      </w:pPr>
      <w:bookmarkStart w:id="33" w:name="JD_sodeoperaciones"/>
      <w:bookmarkEnd w:id="33"/>
      <w:r w:rsidRPr="0051698C">
        <w:rPr>
          <w:rFonts w:ascii="Arial" w:hAnsi="Arial" w:cs="Arial"/>
          <w:sz w:val="22"/>
          <w:szCs w:val="22"/>
        </w:rPr>
        <w:t xml:space="preserve">En el caso de </w:t>
      </w:r>
      <w:r w:rsidR="000D5769" w:rsidRPr="0051698C">
        <w:rPr>
          <w:rFonts w:ascii="Arial" w:hAnsi="Arial" w:cs="Arial"/>
          <w:sz w:val="22"/>
          <w:szCs w:val="22"/>
        </w:rPr>
        <w:t xml:space="preserve">las </w:t>
      </w:r>
      <w:r w:rsidRPr="0051698C">
        <w:rPr>
          <w:rFonts w:ascii="Arial" w:hAnsi="Arial" w:cs="Arial"/>
          <w:sz w:val="22"/>
          <w:szCs w:val="22"/>
        </w:rPr>
        <w:t>operaciones de exportación consideradas como tales por las normas del impuesto general a las ventas</w:t>
      </w:r>
      <w:r w:rsidR="00996578" w:rsidRPr="0051698C">
        <w:rPr>
          <w:rFonts w:ascii="Arial" w:hAnsi="Arial" w:cs="Arial"/>
          <w:sz w:val="22"/>
          <w:szCs w:val="22"/>
        </w:rPr>
        <w:t xml:space="preserve"> o </w:t>
      </w:r>
      <w:r w:rsidR="00BE3D41" w:rsidRPr="0051698C">
        <w:rPr>
          <w:rFonts w:ascii="Arial" w:hAnsi="Arial" w:cs="Arial"/>
          <w:sz w:val="22"/>
          <w:szCs w:val="22"/>
        </w:rPr>
        <w:t xml:space="preserve">tratándose del </w:t>
      </w:r>
      <w:r w:rsidR="00996578" w:rsidRPr="0051698C">
        <w:rPr>
          <w:rFonts w:ascii="Arial" w:hAnsi="Arial" w:cs="Arial"/>
          <w:sz w:val="22"/>
          <w:szCs w:val="22"/>
        </w:rPr>
        <w:t>recibo electrónico SP</w:t>
      </w:r>
      <w:r w:rsidRPr="0051698C">
        <w:rPr>
          <w:rFonts w:ascii="Arial" w:hAnsi="Arial" w:cs="Arial"/>
          <w:sz w:val="22"/>
          <w:szCs w:val="22"/>
        </w:rPr>
        <w:t xml:space="preserve">, la nota de crédito electrónica </w:t>
      </w:r>
      <w:r w:rsidR="001139B2" w:rsidRPr="0051698C">
        <w:rPr>
          <w:rFonts w:ascii="Arial" w:hAnsi="Arial" w:cs="Arial"/>
          <w:sz w:val="22"/>
          <w:szCs w:val="22"/>
        </w:rPr>
        <w:t>solo puede modificar</w:t>
      </w:r>
      <w:r w:rsidRPr="0051698C">
        <w:rPr>
          <w:rFonts w:ascii="Arial" w:hAnsi="Arial" w:cs="Arial"/>
          <w:sz w:val="22"/>
          <w:szCs w:val="22"/>
        </w:rPr>
        <w:t xml:space="preserve"> una factura electrónica, una boleta de venta electrónica o un recibo electrónico SP, no resultando aplicable lo dispuesto en el párrafo anterior.</w:t>
      </w:r>
    </w:p>
    <w:p w:rsidR="00860FF6" w:rsidRPr="0051698C" w:rsidRDefault="000D5769" w:rsidP="00860FF6">
      <w:pPr>
        <w:pStyle w:val="NormalWeb"/>
        <w:ind w:left="0"/>
        <w:rPr>
          <w:rFonts w:ascii="Arial" w:hAnsi="Arial" w:cs="Arial"/>
          <w:sz w:val="22"/>
          <w:szCs w:val="22"/>
        </w:rPr>
      </w:pPr>
      <w:r w:rsidRPr="0051698C">
        <w:rPr>
          <w:rFonts w:ascii="Arial" w:hAnsi="Arial" w:cs="Arial"/>
          <w:sz w:val="22"/>
          <w:szCs w:val="22"/>
        </w:rPr>
        <w:t>(…)</w:t>
      </w:r>
      <w:r w:rsidR="00860FF6" w:rsidRPr="0051698C">
        <w:rPr>
          <w:rFonts w:ascii="Arial" w:hAnsi="Arial" w:cs="Arial"/>
          <w:color w:val="FF0000"/>
          <w:sz w:val="22"/>
          <w:szCs w:val="22"/>
        </w:rPr>
        <w:t xml:space="preserve"> </w:t>
      </w:r>
    </w:p>
    <w:p w:rsidR="00860FF6" w:rsidRPr="0051698C" w:rsidRDefault="00860FF6" w:rsidP="000D5769">
      <w:pPr>
        <w:pStyle w:val="NormalWeb"/>
        <w:ind w:left="0"/>
        <w:rPr>
          <w:rFonts w:ascii="Arial" w:hAnsi="Arial" w:cs="Arial"/>
          <w:sz w:val="22"/>
          <w:szCs w:val="22"/>
        </w:rPr>
      </w:pPr>
      <w:r w:rsidRPr="0051698C">
        <w:rPr>
          <w:rFonts w:ascii="Arial" w:hAnsi="Arial" w:cs="Arial"/>
          <w:sz w:val="22"/>
          <w:szCs w:val="22"/>
        </w:rPr>
        <w:t xml:space="preserve">22.3. </w:t>
      </w:r>
      <w:r w:rsidR="000D5769" w:rsidRPr="0051698C">
        <w:rPr>
          <w:rFonts w:ascii="Arial" w:hAnsi="Arial" w:cs="Arial"/>
          <w:sz w:val="22"/>
          <w:szCs w:val="22"/>
        </w:rPr>
        <w:t>(…)</w:t>
      </w:r>
    </w:p>
    <w:p w:rsidR="001139B2" w:rsidRPr="0051698C" w:rsidRDefault="00860FF6" w:rsidP="00860FF6">
      <w:pPr>
        <w:pStyle w:val="NormalWeb"/>
        <w:ind w:left="0"/>
        <w:rPr>
          <w:rFonts w:ascii="Arial" w:hAnsi="Arial" w:cs="Arial"/>
          <w:sz w:val="22"/>
          <w:szCs w:val="22"/>
        </w:rPr>
      </w:pPr>
      <w:bookmarkStart w:id="34" w:name="JD_)Paracorre"/>
      <w:bookmarkEnd w:id="34"/>
      <w:r w:rsidRPr="0051698C">
        <w:rPr>
          <w:rFonts w:ascii="Arial" w:hAnsi="Arial" w:cs="Arial"/>
          <w:sz w:val="22"/>
          <w:szCs w:val="22"/>
        </w:rPr>
        <w:t>b) Para corregir los referidos comprobantes de pago electrónicos que contengan una descripción que no corresponda al bien vendido o cedido en uso o al tipo de servicio prestado</w:t>
      </w:r>
      <w:r w:rsidR="00221FDA" w:rsidRPr="0051698C">
        <w:rPr>
          <w:rFonts w:ascii="Arial" w:hAnsi="Arial" w:cs="Arial"/>
          <w:sz w:val="22"/>
          <w:szCs w:val="22"/>
        </w:rPr>
        <w:t>.</w:t>
      </w:r>
      <w:r w:rsidR="00292B19" w:rsidRPr="0051698C">
        <w:rPr>
          <w:rFonts w:ascii="Arial" w:hAnsi="Arial" w:cs="Arial"/>
          <w:sz w:val="22"/>
          <w:szCs w:val="22"/>
        </w:rPr>
        <w:t>”</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23.- NOTA DE DÉBITO ELECTRÓNICA</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La nota de débito electrónica se rige por las siguientes disposiciones:</w:t>
      </w:r>
    </w:p>
    <w:p w:rsidR="00860FF6" w:rsidRPr="0051698C" w:rsidRDefault="00860FF6" w:rsidP="00860FF6">
      <w:pPr>
        <w:pStyle w:val="NormalWeb"/>
        <w:ind w:left="0"/>
        <w:rPr>
          <w:rFonts w:ascii="Arial" w:hAnsi="Arial" w:cs="Arial"/>
          <w:sz w:val="22"/>
          <w:szCs w:val="22"/>
        </w:rPr>
      </w:pPr>
      <w:bookmarkStart w:id="35" w:name="JD_.1.Seemitenic"/>
      <w:bookmarkEnd w:id="35"/>
      <w:r w:rsidRPr="0051698C">
        <w:rPr>
          <w:rFonts w:ascii="Arial" w:hAnsi="Arial" w:cs="Arial"/>
          <w:sz w:val="22"/>
          <w:szCs w:val="22"/>
        </w:rPr>
        <w:lastRenderedPageBreak/>
        <w:t>23.1. Se emite únicamente respecto de la factura electrónica</w:t>
      </w:r>
      <w:r w:rsidRPr="0051698C">
        <w:rPr>
          <w:rFonts w:ascii="Arial" w:hAnsi="Arial" w:cs="Arial"/>
          <w:b/>
          <w:sz w:val="22"/>
          <w:szCs w:val="22"/>
        </w:rPr>
        <w:t>,</w:t>
      </w:r>
      <w:r w:rsidRPr="0051698C">
        <w:rPr>
          <w:rFonts w:ascii="Arial" w:hAnsi="Arial" w:cs="Arial"/>
          <w:sz w:val="22"/>
          <w:szCs w:val="22"/>
        </w:rPr>
        <w:t xml:space="preserve"> el DAE o el recibo electrónico SP que cuente con la CDR respectiva con estado de aceptada o la boleta de venta electrónica, que hayan sido otorgadas al mismo adquirente o usuario con anterioridad, siendo de aplicación lo dispuesto en el primer párrafo del inciso a) del numeral 2.1 del artículo 10 del Reglamento de Comprobantes de Pago.</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 xml:space="preserve">Una nota de débito electrónica puede modificar una o más facturas electrónicas, boletas de venta electrónicas o DAE, según sea el caso, siempre que se cumpla con lo estipulado para ello en los anexos </w:t>
      </w:r>
      <w:proofErr w:type="spellStart"/>
      <w:r w:rsidRPr="0051698C">
        <w:rPr>
          <w:rFonts w:ascii="Arial" w:hAnsi="Arial" w:cs="Arial"/>
          <w:sz w:val="22"/>
          <w:szCs w:val="22"/>
        </w:rPr>
        <w:t>N.°</w:t>
      </w:r>
      <w:r w:rsidRPr="0051698C">
        <w:rPr>
          <w:rFonts w:ascii="Arial" w:hAnsi="Arial" w:cs="Arial"/>
          <w:sz w:val="22"/>
          <w:szCs w:val="22"/>
          <w:vertAlign w:val="superscript"/>
        </w:rPr>
        <w:t>s</w:t>
      </w:r>
      <w:proofErr w:type="spellEnd"/>
      <w:r w:rsidRPr="0051698C">
        <w:rPr>
          <w:rFonts w:ascii="Arial" w:hAnsi="Arial" w:cs="Arial"/>
          <w:sz w:val="22"/>
          <w:szCs w:val="22"/>
        </w:rPr>
        <w:t xml:space="preserve"> 4 y 9. </w:t>
      </w:r>
    </w:p>
    <w:p w:rsidR="00860FF6" w:rsidRPr="0051698C" w:rsidRDefault="00860FF6" w:rsidP="00860FF6">
      <w:pPr>
        <w:pStyle w:val="NormalWeb"/>
        <w:ind w:left="0"/>
        <w:rPr>
          <w:rFonts w:ascii="Arial" w:hAnsi="Arial" w:cs="Arial"/>
          <w:sz w:val="22"/>
          <w:szCs w:val="22"/>
        </w:rPr>
      </w:pPr>
      <w:bookmarkStart w:id="36" w:name="JD_deoperacion"/>
      <w:bookmarkEnd w:id="36"/>
      <w:r w:rsidRPr="0051698C">
        <w:rPr>
          <w:rFonts w:ascii="Arial" w:hAnsi="Arial" w:cs="Arial"/>
          <w:sz w:val="22"/>
          <w:szCs w:val="22"/>
        </w:rPr>
        <w:t xml:space="preserve">En el caso de </w:t>
      </w:r>
      <w:r w:rsidR="000D5769" w:rsidRPr="0051698C">
        <w:rPr>
          <w:rFonts w:ascii="Arial" w:hAnsi="Arial" w:cs="Arial"/>
          <w:sz w:val="22"/>
          <w:szCs w:val="22"/>
        </w:rPr>
        <w:t xml:space="preserve">las </w:t>
      </w:r>
      <w:r w:rsidRPr="0051698C">
        <w:rPr>
          <w:rFonts w:ascii="Arial" w:hAnsi="Arial" w:cs="Arial"/>
          <w:sz w:val="22"/>
          <w:szCs w:val="22"/>
        </w:rPr>
        <w:t xml:space="preserve">operaciones de exportación consideradas como tales por las normas del impuesto general a las ventas </w:t>
      </w:r>
      <w:r w:rsidR="001139B2" w:rsidRPr="0051698C">
        <w:rPr>
          <w:rFonts w:ascii="Arial" w:hAnsi="Arial" w:cs="Arial"/>
          <w:sz w:val="22"/>
          <w:szCs w:val="22"/>
        </w:rPr>
        <w:t xml:space="preserve">o </w:t>
      </w:r>
      <w:r w:rsidR="00BE3D41" w:rsidRPr="0051698C">
        <w:rPr>
          <w:rFonts w:ascii="Arial" w:hAnsi="Arial" w:cs="Arial"/>
          <w:sz w:val="22"/>
          <w:szCs w:val="22"/>
        </w:rPr>
        <w:t>tratándose del recibo</w:t>
      </w:r>
      <w:r w:rsidR="001139B2" w:rsidRPr="0051698C">
        <w:rPr>
          <w:rFonts w:ascii="Arial" w:hAnsi="Arial" w:cs="Arial"/>
          <w:sz w:val="22"/>
          <w:szCs w:val="22"/>
        </w:rPr>
        <w:t xml:space="preserve"> electrónico SP,</w:t>
      </w:r>
      <w:r w:rsidRPr="0051698C">
        <w:rPr>
          <w:rFonts w:ascii="Arial" w:hAnsi="Arial" w:cs="Arial"/>
          <w:sz w:val="22"/>
          <w:szCs w:val="22"/>
        </w:rPr>
        <w:t xml:space="preserve"> la nota de </w:t>
      </w:r>
      <w:r w:rsidR="00817B56" w:rsidRPr="0051698C">
        <w:rPr>
          <w:rFonts w:ascii="Arial" w:hAnsi="Arial" w:cs="Arial"/>
          <w:sz w:val="22"/>
          <w:szCs w:val="22"/>
        </w:rPr>
        <w:t>débito</w:t>
      </w:r>
      <w:r w:rsidRPr="0051698C">
        <w:rPr>
          <w:rFonts w:ascii="Arial" w:hAnsi="Arial" w:cs="Arial"/>
          <w:sz w:val="22"/>
          <w:szCs w:val="22"/>
        </w:rPr>
        <w:t xml:space="preserve"> electrónica </w:t>
      </w:r>
      <w:r w:rsidR="00817B56" w:rsidRPr="0051698C">
        <w:rPr>
          <w:rFonts w:ascii="Arial" w:hAnsi="Arial" w:cs="Arial"/>
          <w:sz w:val="22"/>
          <w:szCs w:val="22"/>
        </w:rPr>
        <w:t>solo puede modificar</w:t>
      </w:r>
      <w:r w:rsidRPr="0051698C">
        <w:rPr>
          <w:rFonts w:ascii="Arial" w:hAnsi="Arial" w:cs="Arial"/>
          <w:sz w:val="22"/>
          <w:szCs w:val="22"/>
        </w:rPr>
        <w:t xml:space="preserve"> una factura electrónica, </w:t>
      </w:r>
      <w:r w:rsidR="000D5769" w:rsidRPr="0051698C">
        <w:rPr>
          <w:rFonts w:ascii="Arial" w:hAnsi="Arial" w:cs="Arial"/>
          <w:sz w:val="22"/>
          <w:szCs w:val="22"/>
        </w:rPr>
        <w:t>u</w:t>
      </w:r>
      <w:r w:rsidRPr="0051698C">
        <w:rPr>
          <w:rFonts w:ascii="Arial" w:hAnsi="Arial" w:cs="Arial"/>
          <w:sz w:val="22"/>
          <w:szCs w:val="22"/>
        </w:rPr>
        <w:t>na boleta de venta electrónica o un recibo electrónico SP, no resultando aplicable lo dispuesto en el párrafo anterior.</w:t>
      </w:r>
      <w:r w:rsidR="000D5769" w:rsidRPr="0051698C">
        <w:rPr>
          <w:rFonts w:ascii="Arial" w:hAnsi="Arial" w:cs="Arial"/>
          <w:sz w:val="22"/>
          <w:szCs w:val="22"/>
        </w:rPr>
        <w:t>”</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24.- NOTAS ELECTRÓNICAS EMITIDAS RESPECTO DE COMPROBANTES DE PAGO NO EMITIDOS EN EL SISTEMA</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24.1. Nota de crédito electrónica</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El emisor electrónico puede optar por emitir una nota de crédito electrónica respecto de:</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w:t>
      </w:r>
    </w:p>
    <w:p w:rsidR="003B4D06" w:rsidRPr="0051698C" w:rsidRDefault="00860FF6" w:rsidP="003B4D06">
      <w:pPr>
        <w:pStyle w:val="NormalWeb"/>
        <w:spacing w:before="0" w:beforeAutospacing="0" w:after="0" w:afterAutospacing="0" w:line="220" w:lineRule="atLeast"/>
        <w:ind w:left="0"/>
        <w:rPr>
          <w:rFonts w:ascii="Arial" w:hAnsi="Arial" w:cs="Arial"/>
          <w:sz w:val="22"/>
          <w:szCs w:val="22"/>
        </w:rPr>
      </w:pPr>
      <w:bookmarkStart w:id="37" w:name="JD_)Losdocumentosa"/>
      <w:bookmarkEnd w:id="37"/>
      <w:r w:rsidRPr="0051698C">
        <w:rPr>
          <w:rFonts w:ascii="Arial" w:hAnsi="Arial" w:cs="Arial"/>
          <w:sz w:val="22"/>
          <w:szCs w:val="22"/>
        </w:rPr>
        <w:t xml:space="preserve">d) Los recibos electrónicos SP que hubieran sido emitidos a través del SEE – </w:t>
      </w:r>
      <w:r w:rsidR="00220AB1" w:rsidRPr="0051698C">
        <w:rPr>
          <w:rFonts w:ascii="Arial" w:hAnsi="Arial" w:cs="Arial"/>
          <w:sz w:val="22"/>
          <w:szCs w:val="22"/>
        </w:rPr>
        <w:t>Empresas Supervisadas</w:t>
      </w:r>
      <w:r w:rsidRPr="0051698C">
        <w:rPr>
          <w:rFonts w:ascii="Arial" w:hAnsi="Arial" w:cs="Arial"/>
          <w:sz w:val="22"/>
          <w:szCs w:val="22"/>
        </w:rPr>
        <w:t xml:space="preserve"> </w:t>
      </w:r>
      <w:r w:rsidRPr="0051698C">
        <w:rPr>
          <w:rFonts w:ascii="Arial" w:hAnsi="Arial" w:cs="Arial"/>
          <w:color w:val="000000"/>
          <w:sz w:val="22"/>
          <w:szCs w:val="22"/>
        </w:rPr>
        <w:t>o los documentos autorizados</w:t>
      </w:r>
      <w:r w:rsidR="000D5769" w:rsidRPr="0051698C">
        <w:rPr>
          <w:rFonts w:ascii="Arial" w:hAnsi="Arial" w:cs="Arial"/>
          <w:color w:val="000000"/>
          <w:sz w:val="22"/>
          <w:szCs w:val="22"/>
        </w:rPr>
        <w:t xml:space="preserve"> </w:t>
      </w:r>
      <w:r w:rsidR="003B4D06" w:rsidRPr="0051698C">
        <w:rPr>
          <w:rFonts w:ascii="Arial" w:hAnsi="Arial" w:cs="Arial"/>
          <w:sz w:val="22"/>
          <w:szCs w:val="22"/>
        </w:rPr>
        <w:t>que emitió por los servicios a que se refiere el literal d) del inciso 6.1 del numeral 6 del artículo 4 del Reglamento de Comprobantes de Pago</w:t>
      </w:r>
      <w:r w:rsidR="00BE3D41" w:rsidRPr="0051698C">
        <w:rPr>
          <w:rFonts w:ascii="Arial" w:hAnsi="Arial" w:cs="Arial"/>
          <w:sz w:val="22"/>
          <w:szCs w:val="22"/>
        </w:rPr>
        <w:t>,</w:t>
      </w:r>
      <w:r w:rsidR="003B4D06" w:rsidRPr="0051698C">
        <w:rPr>
          <w:rFonts w:ascii="Arial" w:hAnsi="Arial" w:cs="Arial"/>
          <w:sz w:val="22"/>
          <w:szCs w:val="22"/>
        </w:rPr>
        <w:t xml:space="preserve"> según el citado reglamento</w:t>
      </w:r>
      <w:r w:rsidR="00BE3D41" w:rsidRPr="0051698C">
        <w:rPr>
          <w:rFonts w:ascii="Arial" w:hAnsi="Arial" w:cs="Arial"/>
          <w:sz w:val="22"/>
          <w:szCs w:val="22"/>
        </w:rPr>
        <w:t>,</w:t>
      </w:r>
      <w:r w:rsidR="003B4D06" w:rsidRPr="0051698C">
        <w:rPr>
          <w:rFonts w:ascii="Arial" w:hAnsi="Arial" w:cs="Arial"/>
          <w:sz w:val="22"/>
          <w:szCs w:val="22"/>
        </w:rPr>
        <w:t xml:space="preserve"> o que emita conforme a lo dispuesto por el artículo 4-B de la Resolución de Superintendencia N.° 300-2014/SUNAT y normas modificatorias. </w:t>
      </w:r>
    </w:p>
    <w:p w:rsidR="00860FF6" w:rsidRPr="0051698C" w:rsidRDefault="00860FF6" w:rsidP="00860FF6">
      <w:pPr>
        <w:pStyle w:val="NormalWeb"/>
        <w:ind w:left="0"/>
        <w:rPr>
          <w:rFonts w:ascii="Arial" w:hAnsi="Arial" w:cs="Arial"/>
          <w:sz w:val="22"/>
          <w:szCs w:val="22"/>
        </w:rPr>
      </w:pPr>
      <w:bookmarkStart w:id="38" w:name="JD_mitanrespectodeloscomproban"/>
      <w:bookmarkEnd w:id="38"/>
      <w:r w:rsidRPr="0051698C">
        <w:rPr>
          <w:rFonts w:ascii="Arial" w:hAnsi="Arial" w:cs="Arial"/>
          <w:sz w:val="22"/>
          <w:szCs w:val="22"/>
        </w:rPr>
        <w:t>A las notas de crédito electrónicas que se emitan respecto de los comprobantes de pago indicados en el párrafo anterior se les aplicará la obligación de enviarlas a la SUNAT según el artículo 12, así como las demás disposiciones referidas a las notas de crédito electrónicas vinculadas al recibo electrónico SP, salvo que se disponga expresamente algo distinto.</w:t>
      </w:r>
    </w:p>
    <w:p w:rsidR="00860FF6" w:rsidRPr="0051698C" w:rsidRDefault="00860FF6" w:rsidP="00860FF6">
      <w:pPr>
        <w:pStyle w:val="NormalWeb"/>
        <w:ind w:left="0"/>
        <w:rPr>
          <w:rFonts w:ascii="Arial" w:hAnsi="Arial" w:cs="Arial"/>
          <w:b/>
          <w:bCs/>
          <w:strike/>
          <w:sz w:val="22"/>
          <w:szCs w:val="22"/>
        </w:rPr>
      </w:pPr>
      <w:bookmarkStart w:id="39" w:name="JD_e)Laexcepcinreguladae"/>
      <w:bookmarkEnd w:id="39"/>
      <w:r w:rsidRPr="0051698C">
        <w:rPr>
          <w:rFonts w:ascii="Arial" w:hAnsi="Arial" w:cs="Arial"/>
          <w:sz w:val="22"/>
          <w:szCs w:val="22"/>
        </w:rPr>
        <w:lastRenderedPageBreak/>
        <w:t>(…)</w:t>
      </w:r>
    </w:p>
    <w:p w:rsidR="00860FF6" w:rsidRPr="0051698C" w:rsidRDefault="00860FF6" w:rsidP="00860FF6">
      <w:pPr>
        <w:pStyle w:val="NormalWeb"/>
        <w:ind w:left="0"/>
        <w:rPr>
          <w:rFonts w:ascii="Arial" w:hAnsi="Arial" w:cs="Arial"/>
          <w:strike/>
          <w:sz w:val="22"/>
          <w:szCs w:val="22"/>
        </w:rPr>
      </w:pPr>
      <w:r w:rsidRPr="0051698C">
        <w:rPr>
          <w:rFonts w:ascii="Arial" w:hAnsi="Arial" w:cs="Arial"/>
          <w:sz w:val="22"/>
          <w:szCs w:val="22"/>
        </w:rPr>
        <w:t>24.2. Nota de débito electrónica</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El emisor electrónico puede optar por emitir una nota de débito electrónica respecto de:</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w:t>
      </w:r>
    </w:p>
    <w:p w:rsidR="00860FF6" w:rsidRPr="0051698C" w:rsidRDefault="00860FF6" w:rsidP="00860FF6">
      <w:pPr>
        <w:pStyle w:val="NormalWeb"/>
        <w:ind w:left="0"/>
        <w:rPr>
          <w:rFonts w:ascii="Arial" w:hAnsi="Arial" w:cs="Arial"/>
          <w:color w:val="000000"/>
          <w:sz w:val="22"/>
          <w:szCs w:val="22"/>
        </w:rPr>
      </w:pPr>
      <w:r w:rsidRPr="0051698C">
        <w:rPr>
          <w:rFonts w:ascii="Arial" w:hAnsi="Arial" w:cs="Arial"/>
          <w:color w:val="000000"/>
          <w:sz w:val="22"/>
          <w:szCs w:val="22"/>
        </w:rPr>
        <w:t>c) Los documentos autorizados contemplados en el literal l) del inciso 6.1 y en el acápite d.2) del literal d) del inciso 6.2 del numeral 6 del artículo 4 del Reglamento de Comprobantes de Pago, emitidos según ese reglamento.</w:t>
      </w:r>
    </w:p>
    <w:p w:rsidR="00D7508C" w:rsidRPr="0051698C" w:rsidRDefault="00D7508C" w:rsidP="00860FF6">
      <w:pPr>
        <w:pStyle w:val="NormalWeb"/>
        <w:ind w:left="0"/>
        <w:rPr>
          <w:rFonts w:ascii="Arial" w:hAnsi="Arial" w:cs="Arial"/>
          <w:sz w:val="22"/>
          <w:szCs w:val="22"/>
        </w:rPr>
      </w:pPr>
      <w:r w:rsidRPr="0051698C">
        <w:rPr>
          <w:rFonts w:ascii="Arial" w:hAnsi="Arial" w:cs="Arial"/>
          <w:sz w:val="22"/>
          <w:szCs w:val="22"/>
        </w:rPr>
        <w:t>(…)</w:t>
      </w:r>
    </w:p>
    <w:p w:rsidR="00860FF6" w:rsidRPr="0051698C" w:rsidRDefault="00D7508C" w:rsidP="00860FF6">
      <w:pPr>
        <w:pStyle w:val="NormalWeb"/>
        <w:ind w:left="0"/>
        <w:rPr>
          <w:rFonts w:ascii="Arial" w:hAnsi="Arial" w:cs="Arial"/>
          <w:color w:val="000000"/>
          <w:sz w:val="22"/>
          <w:szCs w:val="22"/>
        </w:rPr>
      </w:pPr>
      <w:bookmarkStart w:id="40" w:name="JD_rizadoscontemplado"/>
      <w:bookmarkEnd w:id="40"/>
      <w:r w:rsidRPr="0051698C">
        <w:rPr>
          <w:rFonts w:ascii="Arial" w:hAnsi="Arial" w:cs="Arial"/>
          <w:sz w:val="22"/>
          <w:szCs w:val="22"/>
        </w:rPr>
        <w:t>e</w:t>
      </w:r>
      <w:r w:rsidR="00860FF6" w:rsidRPr="0051698C">
        <w:rPr>
          <w:rFonts w:ascii="Arial" w:hAnsi="Arial" w:cs="Arial"/>
          <w:sz w:val="22"/>
          <w:szCs w:val="22"/>
        </w:rPr>
        <w:t xml:space="preserve">) </w:t>
      </w:r>
      <w:r w:rsidRPr="0051698C">
        <w:rPr>
          <w:rFonts w:ascii="Arial" w:hAnsi="Arial" w:cs="Arial"/>
          <w:sz w:val="22"/>
          <w:szCs w:val="22"/>
        </w:rPr>
        <w:t xml:space="preserve">Los recibos electrónicos SP que hubieran sido emitidos a través del SEE – </w:t>
      </w:r>
      <w:r w:rsidR="00220AB1" w:rsidRPr="0051698C">
        <w:rPr>
          <w:rFonts w:ascii="Arial" w:hAnsi="Arial" w:cs="Arial"/>
          <w:sz w:val="22"/>
          <w:szCs w:val="22"/>
        </w:rPr>
        <w:t>Empresas Supervisadas</w:t>
      </w:r>
      <w:r w:rsidRPr="0051698C">
        <w:rPr>
          <w:rFonts w:ascii="Arial" w:hAnsi="Arial" w:cs="Arial"/>
          <w:sz w:val="22"/>
          <w:szCs w:val="22"/>
        </w:rPr>
        <w:t xml:space="preserve"> </w:t>
      </w:r>
      <w:r w:rsidRPr="0051698C">
        <w:rPr>
          <w:rFonts w:ascii="Arial" w:hAnsi="Arial" w:cs="Arial"/>
          <w:color w:val="000000"/>
          <w:sz w:val="22"/>
          <w:szCs w:val="22"/>
        </w:rPr>
        <w:t xml:space="preserve">o los documentos autorizados </w:t>
      </w:r>
      <w:r w:rsidR="00B3445C" w:rsidRPr="0051698C">
        <w:rPr>
          <w:rFonts w:ascii="Arial" w:hAnsi="Arial" w:cs="Arial"/>
          <w:sz w:val="22"/>
          <w:szCs w:val="22"/>
        </w:rPr>
        <w:t>que emitió por los servicios a que se refiere el literal d) del inciso 6.1 del numeral 6 del artículo 4 del Reglamento de Comprobantes de Pago</w:t>
      </w:r>
      <w:r w:rsidR="00BE3D41" w:rsidRPr="0051698C">
        <w:rPr>
          <w:rFonts w:ascii="Arial" w:hAnsi="Arial" w:cs="Arial"/>
          <w:sz w:val="22"/>
          <w:szCs w:val="22"/>
        </w:rPr>
        <w:t>,</w:t>
      </w:r>
      <w:r w:rsidR="00B3445C" w:rsidRPr="0051698C">
        <w:rPr>
          <w:rFonts w:ascii="Arial" w:hAnsi="Arial" w:cs="Arial"/>
          <w:sz w:val="22"/>
          <w:szCs w:val="22"/>
        </w:rPr>
        <w:t xml:space="preserve"> según el citado reglamento</w:t>
      </w:r>
      <w:r w:rsidR="00BE3D41" w:rsidRPr="0051698C">
        <w:rPr>
          <w:rFonts w:ascii="Arial" w:hAnsi="Arial" w:cs="Arial"/>
          <w:sz w:val="22"/>
          <w:szCs w:val="22"/>
        </w:rPr>
        <w:t>,</w:t>
      </w:r>
      <w:r w:rsidR="00B3445C" w:rsidRPr="0051698C">
        <w:rPr>
          <w:rFonts w:ascii="Arial" w:hAnsi="Arial" w:cs="Arial"/>
          <w:sz w:val="22"/>
          <w:szCs w:val="22"/>
        </w:rPr>
        <w:t xml:space="preserve"> o que emita conforme a lo dispuesto por el artículo 4-B de la Resolución de Superintendencia N.° 300-2014/SUNAT y normas modificatorias</w:t>
      </w:r>
      <w:r w:rsidRPr="0051698C">
        <w:rPr>
          <w:rFonts w:ascii="Arial" w:hAnsi="Arial" w:cs="Arial"/>
          <w:color w:val="000000"/>
          <w:sz w:val="22"/>
          <w:szCs w:val="22"/>
        </w:rPr>
        <w:t>.</w:t>
      </w:r>
      <w:r w:rsidR="00860FF6" w:rsidRPr="0051698C">
        <w:rPr>
          <w:rFonts w:ascii="Arial" w:hAnsi="Arial" w:cs="Arial"/>
          <w:color w:val="000000"/>
          <w:sz w:val="22"/>
          <w:szCs w:val="22"/>
        </w:rPr>
        <w:t>”</w:t>
      </w:r>
    </w:p>
    <w:p w:rsidR="00D7508C" w:rsidRPr="0051698C" w:rsidRDefault="00D7508C" w:rsidP="00D7508C">
      <w:pPr>
        <w:pStyle w:val="NormalWeb"/>
        <w:ind w:left="0"/>
        <w:rPr>
          <w:rFonts w:ascii="Arial" w:hAnsi="Arial" w:cs="Arial"/>
          <w:bCs/>
          <w:sz w:val="22"/>
          <w:szCs w:val="22"/>
        </w:rPr>
      </w:pPr>
      <w:r w:rsidRPr="0051698C">
        <w:rPr>
          <w:rFonts w:ascii="Arial" w:hAnsi="Arial" w:cs="Arial"/>
          <w:sz w:val="22"/>
          <w:szCs w:val="22"/>
        </w:rPr>
        <w:t xml:space="preserve">3.10 </w:t>
      </w:r>
      <w:proofErr w:type="spellStart"/>
      <w:r w:rsidRPr="0051698C">
        <w:rPr>
          <w:rFonts w:ascii="Arial" w:hAnsi="Arial" w:cs="Arial"/>
          <w:sz w:val="22"/>
          <w:szCs w:val="22"/>
        </w:rPr>
        <w:t>Modifícase</w:t>
      </w:r>
      <w:proofErr w:type="spellEnd"/>
      <w:r w:rsidRPr="0051698C">
        <w:rPr>
          <w:rFonts w:ascii="Arial" w:hAnsi="Arial" w:cs="Arial"/>
          <w:sz w:val="22"/>
          <w:szCs w:val="22"/>
        </w:rPr>
        <w:t xml:space="preserve"> el numeral 25.2 del artículo 25, el artículo 26</w:t>
      </w:r>
      <w:r w:rsidR="00C711F4" w:rsidRPr="0051698C">
        <w:rPr>
          <w:rFonts w:ascii="Arial" w:hAnsi="Arial" w:cs="Arial"/>
          <w:sz w:val="22"/>
          <w:szCs w:val="22"/>
        </w:rPr>
        <w:t xml:space="preserve"> y</w:t>
      </w:r>
      <w:r w:rsidRPr="0051698C">
        <w:rPr>
          <w:rFonts w:ascii="Arial" w:hAnsi="Arial" w:cs="Arial"/>
          <w:sz w:val="22"/>
          <w:szCs w:val="22"/>
        </w:rPr>
        <w:t xml:space="preserve"> el primer párrafo del artículo 27</w:t>
      </w:r>
      <w:r w:rsidR="00B17BBE" w:rsidRPr="0051698C">
        <w:rPr>
          <w:rFonts w:ascii="Arial" w:hAnsi="Arial" w:cs="Arial"/>
          <w:sz w:val="22"/>
          <w:szCs w:val="22"/>
        </w:rPr>
        <w:t xml:space="preserve"> </w:t>
      </w:r>
      <w:r w:rsidRPr="0051698C">
        <w:rPr>
          <w:rFonts w:ascii="Arial" w:hAnsi="Arial" w:cs="Arial"/>
          <w:sz w:val="22"/>
          <w:szCs w:val="22"/>
        </w:rPr>
        <w:t>de la Resolución de Superintendencia N.° 097-2012/SUNAT y normas modificatorias, en los términos siguientes:</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25.- DE LA CONSERVACIÓN Y DE LA PUESTA A DISPOSICIÓN DEL ADQUIRENTE O USUARIO</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De conformidad con lo previsto en el numeral 7 del artículo 87 del Código Tributario:</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25.2. El adquirente o usuario no electrónico deberá almacenar, archivar y conservar la representación impresa</w:t>
      </w:r>
      <w:r w:rsidRPr="0051698C">
        <w:rPr>
          <w:rFonts w:ascii="Arial" w:hAnsi="Arial" w:cs="Arial"/>
          <w:b/>
          <w:sz w:val="22"/>
          <w:szCs w:val="22"/>
        </w:rPr>
        <w:t xml:space="preserve"> </w:t>
      </w:r>
      <w:r w:rsidRPr="0051698C">
        <w:rPr>
          <w:rFonts w:ascii="Arial" w:hAnsi="Arial" w:cs="Arial"/>
          <w:sz w:val="22"/>
          <w:szCs w:val="22"/>
        </w:rPr>
        <w:t>o, de ser el caso, el comprobante de pago electrónico o la nota electrónica.</w:t>
      </w:r>
    </w:p>
    <w:p w:rsidR="00860FF6" w:rsidRPr="0051698C" w:rsidRDefault="003B4D06" w:rsidP="00860FF6">
      <w:pPr>
        <w:pStyle w:val="NormalWeb"/>
        <w:ind w:left="0"/>
        <w:rPr>
          <w:rFonts w:ascii="Arial" w:eastAsia="Times New Roman" w:hAnsi="Arial" w:cs="Arial"/>
          <w:color w:val="000000"/>
          <w:sz w:val="22"/>
          <w:szCs w:val="22"/>
          <w:lang w:eastAsia="es-PE"/>
        </w:rPr>
      </w:pPr>
      <w:r w:rsidRPr="0051698C">
        <w:rPr>
          <w:rFonts w:ascii="Arial" w:hAnsi="Arial" w:cs="Arial"/>
          <w:sz w:val="22"/>
          <w:szCs w:val="22"/>
        </w:rPr>
        <w:lastRenderedPageBreak/>
        <w:t>Tratándose del recibo electrónico SP, el usuario debe</w:t>
      </w:r>
      <w:r w:rsidR="00860FF6" w:rsidRPr="0051698C">
        <w:rPr>
          <w:rFonts w:ascii="Arial" w:eastAsia="Times New Roman" w:hAnsi="Arial" w:cs="Arial"/>
          <w:sz w:val="22"/>
          <w:szCs w:val="22"/>
          <w:lang w:eastAsia="es-PE"/>
        </w:rPr>
        <w:t xml:space="preserve"> almacenar, archivar y conservar la representación impresa</w:t>
      </w:r>
      <w:r w:rsidR="00D7508C" w:rsidRPr="0051698C">
        <w:rPr>
          <w:rFonts w:ascii="Arial" w:eastAsia="Times New Roman" w:hAnsi="Arial" w:cs="Arial"/>
          <w:sz w:val="22"/>
          <w:szCs w:val="22"/>
          <w:lang w:eastAsia="es-PE"/>
        </w:rPr>
        <w:t xml:space="preserve"> o</w:t>
      </w:r>
      <w:r w:rsidR="00860FF6" w:rsidRPr="0051698C">
        <w:rPr>
          <w:rFonts w:ascii="Arial" w:eastAsia="Times New Roman" w:hAnsi="Arial" w:cs="Arial"/>
          <w:sz w:val="22"/>
          <w:szCs w:val="22"/>
          <w:lang w:eastAsia="es-PE"/>
        </w:rPr>
        <w:t xml:space="preserve"> digital del comprobante de pago electrónico y de la </w:t>
      </w:r>
      <w:r w:rsidR="00860FF6" w:rsidRPr="0051698C">
        <w:rPr>
          <w:rFonts w:ascii="Arial" w:eastAsia="Times New Roman" w:hAnsi="Arial" w:cs="Arial"/>
          <w:color w:val="000000"/>
          <w:sz w:val="22"/>
          <w:szCs w:val="22"/>
          <w:lang w:eastAsia="es-PE"/>
        </w:rPr>
        <w:t>nota electrónica que reciba, cuando tenga efectos tributarios.</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El almacenamiento de los comprobantes de pago electrónicos</w:t>
      </w:r>
      <w:r w:rsidR="00847A45" w:rsidRPr="0051698C">
        <w:rPr>
          <w:rFonts w:ascii="Arial" w:hAnsi="Arial" w:cs="Arial"/>
          <w:sz w:val="22"/>
          <w:szCs w:val="22"/>
        </w:rPr>
        <w:t>, las notas electrónicas, las representaciones</w:t>
      </w:r>
      <w:r w:rsidRPr="0051698C">
        <w:rPr>
          <w:rFonts w:ascii="Arial" w:hAnsi="Arial" w:cs="Arial"/>
          <w:b/>
          <w:sz w:val="22"/>
          <w:szCs w:val="22"/>
        </w:rPr>
        <w:t xml:space="preserve"> </w:t>
      </w:r>
      <w:r w:rsidRPr="0051698C">
        <w:rPr>
          <w:rFonts w:ascii="Arial" w:hAnsi="Arial" w:cs="Arial"/>
          <w:sz w:val="22"/>
          <w:szCs w:val="22"/>
        </w:rPr>
        <w:t>digitales</w:t>
      </w:r>
      <w:r w:rsidR="00847A45" w:rsidRPr="0051698C">
        <w:rPr>
          <w:rFonts w:ascii="Arial" w:hAnsi="Arial" w:cs="Arial"/>
          <w:sz w:val="22"/>
          <w:szCs w:val="22"/>
        </w:rPr>
        <w:t xml:space="preserve"> de esos comprobantes y notas</w:t>
      </w:r>
      <w:r w:rsidRPr="0051698C">
        <w:rPr>
          <w:rFonts w:ascii="Arial" w:hAnsi="Arial" w:cs="Arial"/>
          <w:sz w:val="22"/>
          <w:szCs w:val="22"/>
        </w:rPr>
        <w:t xml:space="preserve">, </w:t>
      </w:r>
      <w:r w:rsidR="00847A45" w:rsidRPr="0051698C">
        <w:rPr>
          <w:rFonts w:ascii="Arial" w:hAnsi="Arial" w:cs="Arial"/>
          <w:sz w:val="22"/>
          <w:szCs w:val="22"/>
        </w:rPr>
        <w:t xml:space="preserve">los </w:t>
      </w:r>
      <w:r w:rsidRPr="0051698C">
        <w:rPr>
          <w:rFonts w:ascii="Arial" w:hAnsi="Arial" w:cs="Arial"/>
          <w:sz w:val="22"/>
          <w:szCs w:val="22"/>
        </w:rPr>
        <w:t>resúmenes diarios y</w:t>
      </w:r>
      <w:r w:rsidR="00847A45" w:rsidRPr="0051698C">
        <w:rPr>
          <w:rFonts w:ascii="Arial" w:hAnsi="Arial" w:cs="Arial"/>
          <w:sz w:val="22"/>
          <w:szCs w:val="22"/>
        </w:rPr>
        <w:t xml:space="preserve"> las</w:t>
      </w:r>
      <w:r w:rsidRPr="0051698C">
        <w:rPr>
          <w:rFonts w:ascii="Arial" w:hAnsi="Arial" w:cs="Arial"/>
          <w:sz w:val="22"/>
          <w:szCs w:val="22"/>
        </w:rPr>
        <w:t xml:space="preserve"> constancias de rechazo puede ser realizado en medios magnéticos, ópticos, entre otros.</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Adicionalmente, el emisor electrónico debe poner a disposición del adquirente o usuario, a través de una página web, los comprobantes de pago electrónicos</w:t>
      </w:r>
      <w:r w:rsidR="00847A45" w:rsidRPr="0051698C">
        <w:rPr>
          <w:rFonts w:ascii="Arial" w:hAnsi="Arial" w:cs="Arial"/>
          <w:sz w:val="22"/>
          <w:szCs w:val="22"/>
        </w:rPr>
        <w:t xml:space="preserve"> y las notas electrónicas</w:t>
      </w:r>
      <w:r w:rsidRPr="0051698C">
        <w:rPr>
          <w:rFonts w:ascii="Arial" w:hAnsi="Arial" w:cs="Arial"/>
          <w:sz w:val="22"/>
          <w:szCs w:val="22"/>
        </w:rPr>
        <w:t xml:space="preserve"> vinculadas a aquellos que le haya otorgado, por el plazo de un año, contado desde la emisión. Durante ese plazo el adquirente o usuario podrá leerlos, descargarlos e imprimirlos.</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El emisor electrónico debe definir una forma de autenticación que garantice que s</w:t>
      </w:r>
      <w:r w:rsidR="00847A45" w:rsidRPr="0051698C">
        <w:rPr>
          <w:rFonts w:ascii="Arial" w:hAnsi="Arial" w:cs="Arial"/>
          <w:sz w:val="22"/>
          <w:szCs w:val="22"/>
        </w:rPr>
        <w:t>o</w:t>
      </w:r>
      <w:r w:rsidRPr="0051698C">
        <w:rPr>
          <w:rFonts w:ascii="Arial" w:hAnsi="Arial" w:cs="Arial"/>
          <w:sz w:val="22"/>
          <w:szCs w:val="22"/>
        </w:rPr>
        <w:t>lo el adquirente o usuario p</w:t>
      </w:r>
      <w:r w:rsidR="00847A45" w:rsidRPr="0051698C">
        <w:rPr>
          <w:rFonts w:ascii="Arial" w:hAnsi="Arial" w:cs="Arial"/>
          <w:sz w:val="22"/>
          <w:szCs w:val="22"/>
        </w:rPr>
        <w:t>uede</w:t>
      </w:r>
      <w:r w:rsidRPr="0051698C">
        <w:rPr>
          <w:rFonts w:ascii="Arial" w:hAnsi="Arial" w:cs="Arial"/>
          <w:sz w:val="22"/>
          <w:szCs w:val="22"/>
        </w:rPr>
        <w:t xml:space="preserve"> acceder a su información.”</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26.- DE LA PÉRDIDA Y LA OBTENCIÓN DE OTROS EJEMPLARES</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En caso de pérdida, destrucción por siniestros, asaltos y otros de los comprobantes de pago electrónicos, las notas electrónicas o las representaciones impresas</w:t>
      </w:r>
      <w:r w:rsidR="00847A45" w:rsidRPr="0051698C">
        <w:rPr>
          <w:rFonts w:ascii="Arial" w:hAnsi="Arial" w:cs="Arial"/>
          <w:sz w:val="22"/>
          <w:szCs w:val="22"/>
        </w:rPr>
        <w:t xml:space="preserve"> o</w:t>
      </w:r>
      <w:r w:rsidRPr="0051698C">
        <w:rPr>
          <w:rFonts w:ascii="Arial" w:hAnsi="Arial" w:cs="Arial"/>
          <w:sz w:val="22"/>
          <w:szCs w:val="22"/>
        </w:rPr>
        <w:t xml:space="preserve"> digitales, el adquirente o usuario debe solicitar al emisor electrónico que le remita un nuevo ejemplar o una nueva representación, según sea el caso.</w:t>
      </w:r>
      <w:r w:rsidR="00E80238" w:rsidRPr="0051698C">
        <w:rPr>
          <w:rFonts w:ascii="Arial" w:hAnsi="Arial" w:cs="Arial"/>
          <w:sz w:val="22"/>
          <w:szCs w:val="22"/>
        </w:rPr>
        <w:t>”</w:t>
      </w:r>
    </w:p>
    <w:p w:rsidR="00860FF6" w:rsidRPr="0051698C" w:rsidRDefault="00860FF6" w:rsidP="00860FF6">
      <w:pPr>
        <w:pStyle w:val="NormalWeb"/>
        <w:ind w:left="0"/>
        <w:rPr>
          <w:rFonts w:ascii="Arial" w:hAnsi="Arial" w:cs="Arial"/>
          <w:sz w:val="22"/>
          <w:szCs w:val="22"/>
        </w:rPr>
      </w:pPr>
      <w:r w:rsidRPr="0051698C">
        <w:rPr>
          <w:rFonts w:ascii="Arial" w:hAnsi="Arial" w:cs="Arial"/>
          <w:bCs/>
          <w:sz w:val="22"/>
          <w:szCs w:val="22"/>
        </w:rPr>
        <w:t>“Artículo 27.- CONSULTA</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La SUNAT mediante SUNAT Virtual pondrá a disposición del emisor electrónico y el adquirente o usuario la posibilidad de consultar la</w:t>
      </w:r>
      <w:r w:rsidR="005E1D77" w:rsidRPr="0051698C">
        <w:rPr>
          <w:rFonts w:ascii="Arial" w:hAnsi="Arial" w:cs="Arial"/>
          <w:sz w:val="22"/>
          <w:szCs w:val="22"/>
        </w:rPr>
        <w:t xml:space="preserve"> </w:t>
      </w:r>
      <w:r w:rsidRPr="0051698C">
        <w:rPr>
          <w:rFonts w:ascii="Arial" w:hAnsi="Arial" w:cs="Arial"/>
          <w:sz w:val="22"/>
          <w:szCs w:val="22"/>
        </w:rPr>
        <w:t>validez</w:t>
      </w:r>
      <w:r w:rsidR="005E1D77" w:rsidRPr="0051698C">
        <w:rPr>
          <w:rFonts w:ascii="Arial" w:hAnsi="Arial" w:cs="Arial"/>
          <w:sz w:val="22"/>
          <w:szCs w:val="22"/>
        </w:rPr>
        <w:t xml:space="preserve"> </w:t>
      </w:r>
      <w:r w:rsidRPr="0051698C">
        <w:rPr>
          <w:rFonts w:ascii="Arial" w:hAnsi="Arial" w:cs="Arial"/>
          <w:sz w:val="22"/>
          <w:szCs w:val="22"/>
        </w:rPr>
        <w:t>así como la información de las condiciones de emisión y requisitos mínimos de las facturas electrónicas, los DAE, los</w:t>
      </w:r>
      <w:r w:rsidRPr="0051698C">
        <w:rPr>
          <w:rFonts w:ascii="Arial" w:hAnsi="Arial" w:cs="Arial"/>
          <w:b/>
          <w:sz w:val="22"/>
          <w:szCs w:val="22"/>
        </w:rPr>
        <w:t xml:space="preserve"> </w:t>
      </w:r>
      <w:r w:rsidRPr="0051698C">
        <w:rPr>
          <w:rFonts w:ascii="Arial" w:hAnsi="Arial" w:cs="Arial"/>
          <w:sz w:val="22"/>
          <w:szCs w:val="22"/>
        </w:rPr>
        <w:t>recibos electrónicos SP y las notas electrónicas vinculadas a aquellos.</w:t>
      </w:r>
    </w:p>
    <w:p w:rsidR="00860FF6" w:rsidRPr="0051698C" w:rsidRDefault="00860FF6" w:rsidP="00860FF6">
      <w:pPr>
        <w:pStyle w:val="NormalWeb"/>
        <w:ind w:left="0"/>
        <w:rPr>
          <w:rFonts w:ascii="Arial" w:hAnsi="Arial" w:cs="Arial"/>
          <w:sz w:val="22"/>
          <w:szCs w:val="22"/>
        </w:rPr>
      </w:pPr>
      <w:r w:rsidRPr="0051698C">
        <w:rPr>
          <w:rFonts w:ascii="Arial" w:hAnsi="Arial" w:cs="Arial"/>
          <w:sz w:val="22"/>
          <w:szCs w:val="22"/>
        </w:rPr>
        <w:t>(…)”</w:t>
      </w:r>
    </w:p>
    <w:p w:rsidR="00860FF6" w:rsidRPr="0051698C" w:rsidRDefault="00860FF6" w:rsidP="00860FF6">
      <w:pPr>
        <w:pStyle w:val="Default"/>
        <w:jc w:val="both"/>
        <w:rPr>
          <w:color w:val="auto"/>
          <w:sz w:val="22"/>
          <w:szCs w:val="22"/>
        </w:rPr>
      </w:pPr>
      <w:bookmarkStart w:id="41" w:name="JD_Artculo29-B.-PRIMERAE"/>
      <w:bookmarkEnd w:id="41"/>
      <w:r w:rsidRPr="0051698C">
        <w:rPr>
          <w:color w:val="auto"/>
          <w:sz w:val="22"/>
          <w:szCs w:val="22"/>
        </w:rPr>
        <w:t>3.</w:t>
      </w:r>
      <w:r w:rsidR="00847A45" w:rsidRPr="0051698C">
        <w:rPr>
          <w:color w:val="auto"/>
          <w:sz w:val="22"/>
          <w:szCs w:val="22"/>
        </w:rPr>
        <w:t>11</w:t>
      </w:r>
      <w:r w:rsidRPr="0051698C">
        <w:rPr>
          <w:color w:val="auto"/>
          <w:sz w:val="22"/>
          <w:szCs w:val="22"/>
        </w:rPr>
        <w:t xml:space="preserve"> Sustitúyase el anexo N.° 6, los catálogos 1, 24 y 56 del anexo N.° 8, el </w:t>
      </w:r>
      <w:r w:rsidR="005715BF" w:rsidRPr="0051698C">
        <w:rPr>
          <w:color w:val="auto"/>
          <w:sz w:val="22"/>
          <w:szCs w:val="22"/>
        </w:rPr>
        <w:t>literal</w:t>
      </w:r>
      <w:r w:rsidRPr="0051698C">
        <w:rPr>
          <w:color w:val="auto"/>
          <w:sz w:val="22"/>
          <w:szCs w:val="22"/>
        </w:rPr>
        <w:t xml:space="preserve"> g) – Estándar del anexo N.° 9 y </w:t>
      </w:r>
      <w:r w:rsidR="005510D3" w:rsidRPr="0051698C">
        <w:rPr>
          <w:color w:val="auto"/>
          <w:sz w:val="22"/>
          <w:szCs w:val="22"/>
        </w:rPr>
        <w:t>el</w:t>
      </w:r>
      <w:r w:rsidRPr="0051698C">
        <w:rPr>
          <w:color w:val="auto"/>
          <w:sz w:val="22"/>
          <w:szCs w:val="22"/>
        </w:rPr>
        <w:t xml:space="preserve"> anexo N.° 23, según los anexos </w:t>
      </w:r>
      <w:r w:rsidR="00822FA1" w:rsidRPr="0051698C">
        <w:rPr>
          <w:color w:val="auto"/>
          <w:sz w:val="22"/>
          <w:szCs w:val="22"/>
        </w:rPr>
        <w:t>IV</w:t>
      </w:r>
      <w:r w:rsidRPr="0051698C">
        <w:rPr>
          <w:color w:val="auto"/>
          <w:sz w:val="22"/>
          <w:szCs w:val="22"/>
        </w:rPr>
        <w:t>, V, V</w:t>
      </w:r>
      <w:r w:rsidR="00822FA1" w:rsidRPr="0051698C">
        <w:rPr>
          <w:color w:val="auto"/>
          <w:sz w:val="22"/>
          <w:szCs w:val="22"/>
        </w:rPr>
        <w:t>I</w:t>
      </w:r>
      <w:r w:rsidR="005510D3" w:rsidRPr="0051698C">
        <w:rPr>
          <w:color w:val="auto"/>
          <w:sz w:val="22"/>
          <w:szCs w:val="22"/>
        </w:rPr>
        <w:t xml:space="preserve"> y</w:t>
      </w:r>
      <w:r w:rsidRPr="0051698C">
        <w:rPr>
          <w:color w:val="auto"/>
          <w:sz w:val="22"/>
          <w:szCs w:val="22"/>
        </w:rPr>
        <w:t xml:space="preserve"> VI</w:t>
      </w:r>
      <w:r w:rsidR="00822FA1" w:rsidRPr="0051698C">
        <w:rPr>
          <w:color w:val="auto"/>
          <w:sz w:val="22"/>
          <w:szCs w:val="22"/>
        </w:rPr>
        <w:t>I</w:t>
      </w:r>
      <w:r w:rsidRPr="0051698C">
        <w:rPr>
          <w:color w:val="auto"/>
          <w:sz w:val="22"/>
          <w:szCs w:val="22"/>
        </w:rPr>
        <w:t xml:space="preserve"> de esta resolución.</w:t>
      </w:r>
    </w:p>
    <w:p w:rsidR="00BD67C3" w:rsidRPr="0051698C" w:rsidRDefault="00BD67C3" w:rsidP="0054265E">
      <w:pPr>
        <w:jc w:val="both"/>
        <w:rPr>
          <w:rFonts w:ascii="Arial" w:hAnsi="Arial" w:cs="Arial"/>
          <w:b/>
          <w:color w:val="000000"/>
          <w:lang w:val="es-MX"/>
        </w:rPr>
      </w:pPr>
    </w:p>
    <w:p w:rsidR="0054265E" w:rsidRPr="0051698C" w:rsidRDefault="0054265E" w:rsidP="0054265E">
      <w:pPr>
        <w:jc w:val="both"/>
        <w:rPr>
          <w:rFonts w:ascii="Arial" w:hAnsi="Arial" w:cs="Arial"/>
          <w:b/>
          <w:color w:val="000000"/>
          <w:lang w:val="es-MX"/>
        </w:rPr>
      </w:pPr>
      <w:r w:rsidRPr="0051698C">
        <w:rPr>
          <w:rFonts w:ascii="Arial" w:hAnsi="Arial" w:cs="Arial"/>
          <w:b/>
          <w:color w:val="000000"/>
          <w:lang w:val="es-MX"/>
        </w:rPr>
        <w:t xml:space="preserve">CUARTA. SEE -  OSE </w:t>
      </w:r>
    </w:p>
    <w:p w:rsidR="0054265E" w:rsidRPr="0051698C" w:rsidRDefault="0054265E" w:rsidP="0054265E">
      <w:pPr>
        <w:jc w:val="both"/>
        <w:rPr>
          <w:rFonts w:ascii="Arial" w:hAnsi="Arial" w:cs="Arial"/>
          <w:b/>
          <w:color w:val="000000"/>
          <w:lang w:val="es-MX"/>
        </w:rPr>
      </w:pPr>
    </w:p>
    <w:p w:rsidR="0054265E" w:rsidRPr="0051698C" w:rsidRDefault="0054265E" w:rsidP="0054265E">
      <w:pPr>
        <w:pStyle w:val="Default"/>
        <w:jc w:val="both"/>
        <w:rPr>
          <w:sz w:val="22"/>
          <w:szCs w:val="22"/>
        </w:rPr>
      </w:pPr>
      <w:r w:rsidRPr="0051698C">
        <w:rPr>
          <w:sz w:val="22"/>
          <w:szCs w:val="22"/>
        </w:rPr>
        <w:t>4.1</w:t>
      </w:r>
      <w:r w:rsidR="009A2A9D" w:rsidRPr="0051698C">
        <w:rPr>
          <w:sz w:val="22"/>
          <w:szCs w:val="22"/>
        </w:rPr>
        <w:t xml:space="preserve"> </w:t>
      </w:r>
      <w:proofErr w:type="spellStart"/>
      <w:r w:rsidRPr="0051698C">
        <w:rPr>
          <w:sz w:val="22"/>
          <w:szCs w:val="22"/>
        </w:rPr>
        <w:t>Modifícase</w:t>
      </w:r>
      <w:proofErr w:type="spellEnd"/>
      <w:r w:rsidRPr="0051698C">
        <w:rPr>
          <w:sz w:val="22"/>
          <w:szCs w:val="22"/>
        </w:rPr>
        <w:t xml:space="preserve"> el inciso 1.12</w:t>
      </w:r>
      <w:r w:rsidR="00297D3F" w:rsidRPr="0051698C">
        <w:rPr>
          <w:sz w:val="22"/>
          <w:szCs w:val="22"/>
        </w:rPr>
        <w:t xml:space="preserve"> y el literal b) del inciso 1.1</w:t>
      </w:r>
      <w:r w:rsidR="00D27475" w:rsidRPr="0051698C">
        <w:rPr>
          <w:sz w:val="22"/>
          <w:szCs w:val="22"/>
        </w:rPr>
        <w:t>8</w:t>
      </w:r>
      <w:r w:rsidRPr="0051698C">
        <w:rPr>
          <w:sz w:val="22"/>
          <w:szCs w:val="22"/>
        </w:rPr>
        <w:t xml:space="preserve"> del artículo 1 de la Resolución de Superintendencia N.° 117-2017/SUNAT y normas modificatorias, en los términos siguientes:</w:t>
      </w:r>
    </w:p>
    <w:p w:rsidR="0054265E" w:rsidRPr="0051698C" w:rsidRDefault="0054265E" w:rsidP="0054265E">
      <w:pPr>
        <w:pStyle w:val="NormalWeb"/>
        <w:ind w:left="0"/>
        <w:rPr>
          <w:rFonts w:ascii="Arial" w:hAnsi="Arial" w:cs="Arial"/>
          <w:sz w:val="22"/>
          <w:szCs w:val="22"/>
        </w:rPr>
      </w:pPr>
      <w:r w:rsidRPr="0051698C">
        <w:rPr>
          <w:rFonts w:ascii="Arial" w:hAnsi="Arial" w:cs="Arial"/>
          <w:bCs/>
          <w:sz w:val="22"/>
          <w:szCs w:val="22"/>
        </w:rPr>
        <w:t>“Artículo 1. Definiciones</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Para efecto de la presente resolución se entiende por:</w:t>
      </w:r>
    </w:p>
    <w:p w:rsidR="0054265E" w:rsidRPr="0051698C" w:rsidRDefault="0054265E" w:rsidP="0054265E">
      <w:pPr>
        <w:pStyle w:val="Default"/>
        <w:jc w:val="both"/>
        <w:rPr>
          <w:sz w:val="22"/>
          <w:szCs w:val="22"/>
          <w:lang w:val="es-ES"/>
        </w:rPr>
      </w:pPr>
      <w:r w:rsidRPr="0051698C">
        <w:rPr>
          <w:sz w:val="22"/>
          <w:szCs w:val="22"/>
          <w:lang w:val="es-ES"/>
        </w:rPr>
        <w:t>(…)</w:t>
      </w:r>
    </w:p>
    <w:p w:rsidR="0054265E" w:rsidRPr="0051698C" w:rsidRDefault="0054265E" w:rsidP="0054265E">
      <w:pPr>
        <w:pStyle w:val="Default"/>
        <w:jc w:val="both"/>
        <w:rPr>
          <w:sz w:val="22"/>
          <w:szCs w:val="22"/>
        </w:rPr>
      </w:pPr>
    </w:p>
    <w:tbl>
      <w:tblPr>
        <w:tblW w:w="8535" w:type="dxa"/>
        <w:tblCellSpacing w:w="0" w:type="dxa"/>
        <w:tblLook w:val="04A0" w:firstRow="1" w:lastRow="0" w:firstColumn="1" w:lastColumn="0" w:noHBand="0" w:noVBand="1"/>
      </w:tblPr>
      <w:tblGrid>
        <w:gridCol w:w="913"/>
        <w:gridCol w:w="2657"/>
        <w:gridCol w:w="535"/>
        <w:gridCol w:w="4430"/>
      </w:tblGrid>
      <w:tr w:rsidR="0054265E" w:rsidRPr="0051698C" w:rsidTr="0054265E">
        <w:trPr>
          <w:trHeight w:val="170"/>
          <w:tblCellSpacing w:w="0" w:type="dxa"/>
        </w:trPr>
        <w:tc>
          <w:tcPr>
            <w:tcW w:w="913" w:type="dxa"/>
            <w:tcMar>
              <w:top w:w="15" w:type="dxa"/>
              <w:left w:w="15" w:type="dxa"/>
              <w:bottom w:w="15" w:type="dxa"/>
              <w:right w:w="15" w:type="dxa"/>
            </w:tcMar>
            <w:hideMark/>
          </w:tcPr>
          <w:p w:rsidR="0054265E" w:rsidRPr="0051698C" w:rsidRDefault="0054265E" w:rsidP="0054265E">
            <w:pPr>
              <w:pStyle w:val="NormalWeb"/>
              <w:ind w:left="0"/>
              <w:rPr>
                <w:rFonts w:ascii="Arial" w:hAnsi="Arial" w:cs="Arial"/>
                <w:color w:val="000000"/>
                <w:sz w:val="22"/>
                <w:szCs w:val="22"/>
              </w:rPr>
            </w:pPr>
            <w:r w:rsidRPr="0051698C">
              <w:rPr>
                <w:rFonts w:ascii="Arial" w:hAnsi="Arial" w:cs="Arial"/>
                <w:color w:val="000000"/>
                <w:sz w:val="22"/>
                <w:szCs w:val="22"/>
              </w:rPr>
              <w:t>1.12</w:t>
            </w:r>
          </w:p>
        </w:tc>
        <w:tc>
          <w:tcPr>
            <w:tcW w:w="2657" w:type="dxa"/>
            <w:tcMar>
              <w:top w:w="15" w:type="dxa"/>
              <w:left w:w="15" w:type="dxa"/>
              <w:bottom w:w="15" w:type="dxa"/>
              <w:right w:w="15" w:type="dxa"/>
            </w:tcMar>
            <w:hideMark/>
          </w:tcPr>
          <w:p w:rsidR="0054265E" w:rsidRPr="0051698C" w:rsidRDefault="0054265E" w:rsidP="00297D3F">
            <w:pPr>
              <w:jc w:val="both"/>
              <w:rPr>
                <w:rFonts w:ascii="Arial" w:eastAsia="Times New Roman" w:hAnsi="Arial" w:cs="Arial"/>
                <w:lang w:eastAsia="es-PE"/>
              </w:rPr>
            </w:pPr>
            <w:r w:rsidRPr="0051698C">
              <w:rPr>
                <w:rFonts w:ascii="Arial" w:eastAsia="Times New Roman" w:hAnsi="Arial" w:cs="Arial"/>
                <w:lang w:eastAsia="es-PE"/>
              </w:rPr>
              <w:t>DAE</w:t>
            </w:r>
          </w:p>
        </w:tc>
        <w:tc>
          <w:tcPr>
            <w:tcW w:w="535" w:type="dxa"/>
            <w:tcMar>
              <w:top w:w="15" w:type="dxa"/>
              <w:left w:w="15" w:type="dxa"/>
              <w:bottom w:w="15" w:type="dxa"/>
              <w:right w:w="15" w:type="dxa"/>
            </w:tcMar>
            <w:hideMark/>
          </w:tcPr>
          <w:p w:rsidR="0054265E" w:rsidRPr="0051698C" w:rsidRDefault="0054265E" w:rsidP="0054265E">
            <w:pPr>
              <w:jc w:val="center"/>
              <w:rPr>
                <w:rFonts w:ascii="Arial" w:eastAsia="Times New Roman" w:hAnsi="Arial" w:cs="Arial"/>
                <w:lang w:eastAsia="es-PE"/>
              </w:rPr>
            </w:pPr>
            <w:r w:rsidRPr="0051698C">
              <w:rPr>
                <w:rFonts w:ascii="Arial" w:eastAsia="Times New Roman" w:hAnsi="Arial" w:cs="Arial"/>
                <w:lang w:eastAsia="es-PE"/>
              </w:rPr>
              <w:t>:</w:t>
            </w:r>
          </w:p>
        </w:tc>
        <w:tc>
          <w:tcPr>
            <w:tcW w:w="4430" w:type="dxa"/>
            <w:tcMar>
              <w:top w:w="15" w:type="dxa"/>
              <w:left w:w="15" w:type="dxa"/>
              <w:bottom w:w="15" w:type="dxa"/>
              <w:right w:w="15" w:type="dxa"/>
            </w:tcMar>
            <w:hideMark/>
          </w:tcPr>
          <w:p w:rsidR="0054265E" w:rsidRPr="0051698C" w:rsidRDefault="0054265E" w:rsidP="0054265E">
            <w:pPr>
              <w:jc w:val="both"/>
              <w:rPr>
                <w:rFonts w:ascii="Arial" w:hAnsi="Arial" w:cs="Arial"/>
                <w:lang w:val="es-MX"/>
              </w:rPr>
            </w:pPr>
            <w:r w:rsidRPr="0051698C">
              <w:rPr>
                <w:rFonts w:ascii="Arial" w:hAnsi="Arial" w:cs="Arial"/>
                <w:lang w:val="es-MX"/>
              </w:rPr>
              <w:t>Al documento autorizado a que se refiere el inciso f) del artículo 2 del R</w:t>
            </w:r>
            <w:r w:rsidR="00297D3F" w:rsidRPr="0051698C">
              <w:rPr>
                <w:rFonts w:ascii="Arial" w:hAnsi="Arial" w:cs="Arial"/>
                <w:lang w:val="es-MX"/>
              </w:rPr>
              <w:t>CP, siempre que el documento electrónico que lo soporte cuente con los requisitos mínimos requeridos</w:t>
            </w:r>
            <w:r w:rsidRPr="0051698C">
              <w:rPr>
                <w:rFonts w:ascii="Arial" w:hAnsi="Arial" w:cs="Arial"/>
                <w:lang w:val="es-MX"/>
              </w:rPr>
              <w:t>.</w:t>
            </w:r>
          </w:p>
          <w:p w:rsidR="0054265E" w:rsidRPr="0051698C" w:rsidRDefault="0054265E" w:rsidP="0054265E">
            <w:pPr>
              <w:jc w:val="both"/>
              <w:rPr>
                <w:rFonts w:ascii="Arial" w:hAnsi="Arial" w:cs="Arial"/>
                <w:color w:val="FF0000"/>
                <w:lang w:val="es-MX"/>
              </w:rPr>
            </w:pPr>
          </w:p>
          <w:p w:rsidR="004D4B7C" w:rsidRPr="0051698C" w:rsidRDefault="004D4B7C" w:rsidP="004D4B7C">
            <w:pPr>
              <w:jc w:val="both"/>
              <w:rPr>
                <w:rFonts w:ascii="Arial" w:hAnsi="Arial" w:cs="Arial"/>
                <w:lang w:val="es-MX"/>
              </w:rPr>
            </w:pPr>
            <w:r w:rsidRPr="0051698C">
              <w:rPr>
                <w:rFonts w:ascii="Arial" w:hAnsi="Arial" w:cs="Arial"/>
                <w:lang w:val="es-MX"/>
              </w:rPr>
              <w:t>Los documentos señalados en los literales d) y o) del inciso 6.1 del numeral 6 del artículo 4 del citado reglamento no están comprendidos en la presente definición.</w:t>
            </w:r>
          </w:p>
          <w:p w:rsidR="004D4B7C" w:rsidRPr="0051698C" w:rsidRDefault="004D4B7C" w:rsidP="0054265E">
            <w:pPr>
              <w:jc w:val="both"/>
              <w:rPr>
                <w:rFonts w:ascii="Arial" w:hAnsi="Arial" w:cs="Arial"/>
                <w:color w:val="FF0000"/>
                <w:lang w:val="es-MX"/>
              </w:rPr>
            </w:pPr>
          </w:p>
        </w:tc>
      </w:tr>
      <w:tr w:rsidR="00297D3F" w:rsidRPr="0051698C" w:rsidTr="0054265E">
        <w:trPr>
          <w:trHeight w:val="170"/>
          <w:tblCellSpacing w:w="0" w:type="dxa"/>
        </w:trPr>
        <w:tc>
          <w:tcPr>
            <w:tcW w:w="913" w:type="dxa"/>
            <w:tcMar>
              <w:top w:w="15" w:type="dxa"/>
              <w:left w:w="15" w:type="dxa"/>
              <w:bottom w:w="15" w:type="dxa"/>
              <w:right w:w="15" w:type="dxa"/>
            </w:tcMar>
          </w:tcPr>
          <w:p w:rsidR="00297D3F" w:rsidRPr="0051698C" w:rsidRDefault="00297D3F" w:rsidP="0054265E">
            <w:pPr>
              <w:pStyle w:val="NormalWeb"/>
              <w:ind w:left="0"/>
              <w:rPr>
                <w:rFonts w:ascii="Arial" w:hAnsi="Arial" w:cs="Arial"/>
                <w:color w:val="000000"/>
                <w:sz w:val="22"/>
                <w:szCs w:val="22"/>
              </w:rPr>
            </w:pPr>
            <w:r w:rsidRPr="0051698C">
              <w:rPr>
                <w:rFonts w:ascii="Arial" w:hAnsi="Arial" w:cs="Arial"/>
                <w:color w:val="000000"/>
                <w:sz w:val="22"/>
                <w:szCs w:val="22"/>
              </w:rPr>
              <w:t>1.1</w:t>
            </w:r>
            <w:r w:rsidR="008D6C9D" w:rsidRPr="0051698C">
              <w:rPr>
                <w:rFonts w:ascii="Arial" w:hAnsi="Arial" w:cs="Arial"/>
                <w:color w:val="000000"/>
                <w:sz w:val="22"/>
                <w:szCs w:val="22"/>
              </w:rPr>
              <w:t>8</w:t>
            </w:r>
          </w:p>
        </w:tc>
        <w:tc>
          <w:tcPr>
            <w:tcW w:w="2657" w:type="dxa"/>
            <w:tcMar>
              <w:top w:w="15" w:type="dxa"/>
              <w:left w:w="15" w:type="dxa"/>
              <w:bottom w:w="15" w:type="dxa"/>
              <w:right w:w="15" w:type="dxa"/>
            </w:tcMar>
          </w:tcPr>
          <w:p w:rsidR="00297D3F" w:rsidRPr="0051698C" w:rsidRDefault="00D27475" w:rsidP="00D27475">
            <w:pPr>
              <w:jc w:val="both"/>
              <w:rPr>
                <w:rFonts w:ascii="Arial" w:eastAsia="Times New Roman" w:hAnsi="Arial" w:cs="Arial"/>
                <w:lang w:eastAsia="es-PE"/>
              </w:rPr>
            </w:pPr>
            <w:r w:rsidRPr="0051698C">
              <w:rPr>
                <w:rFonts w:ascii="Arial" w:eastAsia="Times New Roman" w:hAnsi="Arial" w:cs="Arial"/>
                <w:lang w:eastAsia="es-PE"/>
              </w:rPr>
              <w:t>Formato digital</w:t>
            </w:r>
          </w:p>
        </w:tc>
        <w:tc>
          <w:tcPr>
            <w:tcW w:w="535" w:type="dxa"/>
            <w:tcMar>
              <w:top w:w="15" w:type="dxa"/>
              <w:left w:w="15" w:type="dxa"/>
              <w:bottom w:w="15" w:type="dxa"/>
              <w:right w:w="15" w:type="dxa"/>
            </w:tcMar>
          </w:tcPr>
          <w:p w:rsidR="00297D3F" w:rsidRPr="0051698C" w:rsidRDefault="00D27475" w:rsidP="0054265E">
            <w:pPr>
              <w:jc w:val="center"/>
              <w:rPr>
                <w:rFonts w:ascii="Arial" w:eastAsia="Times New Roman" w:hAnsi="Arial" w:cs="Arial"/>
                <w:lang w:eastAsia="es-PE"/>
              </w:rPr>
            </w:pPr>
            <w:r w:rsidRPr="0051698C">
              <w:rPr>
                <w:rFonts w:ascii="Arial" w:eastAsia="Times New Roman" w:hAnsi="Arial" w:cs="Arial"/>
                <w:lang w:eastAsia="es-PE"/>
              </w:rPr>
              <w:t>:</w:t>
            </w:r>
          </w:p>
        </w:tc>
        <w:tc>
          <w:tcPr>
            <w:tcW w:w="4430" w:type="dxa"/>
            <w:tcMar>
              <w:top w:w="15" w:type="dxa"/>
              <w:left w:w="15" w:type="dxa"/>
              <w:bottom w:w="15" w:type="dxa"/>
              <w:right w:w="15" w:type="dxa"/>
            </w:tcMar>
          </w:tcPr>
          <w:p w:rsidR="00297D3F" w:rsidRPr="0051698C" w:rsidRDefault="00D27475" w:rsidP="0054265E">
            <w:pPr>
              <w:jc w:val="both"/>
              <w:rPr>
                <w:rFonts w:ascii="Arial" w:hAnsi="Arial" w:cs="Arial"/>
                <w:lang w:val="es-MX"/>
              </w:rPr>
            </w:pPr>
            <w:r w:rsidRPr="0051698C">
              <w:rPr>
                <w:rFonts w:ascii="Arial" w:hAnsi="Arial" w:cs="Arial"/>
                <w:lang w:val="es-MX"/>
              </w:rPr>
              <w:t>(…)</w:t>
            </w:r>
          </w:p>
          <w:p w:rsidR="00D27475" w:rsidRPr="0051698C" w:rsidRDefault="00D27475" w:rsidP="0054265E">
            <w:pPr>
              <w:jc w:val="both"/>
              <w:rPr>
                <w:rFonts w:ascii="Arial" w:hAnsi="Arial" w:cs="Arial"/>
                <w:lang w:val="es-MX"/>
              </w:rPr>
            </w:pPr>
          </w:p>
          <w:p w:rsidR="00D27475" w:rsidRPr="0051698C" w:rsidRDefault="00D27475" w:rsidP="00D27475">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b) Formato XML, en el  caso  del  resumen diario de boletas de venta,</w:t>
            </w:r>
          </w:p>
          <w:p w:rsidR="00D27475" w:rsidRPr="0051698C" w:rsidRDefault="00D27475" w:rsidP="00D27475">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la comunicación de baja, el  CRE, el CPE, el resumen diario de reversión del comprobante de retención electrónica</w:t>
            </w:r>
          </w:p>
          <w:p w:rsidR="00D27475" w:rsidRPr="0051698C" w:rsidRDefault="00D27475" w:rsidP="00D27475">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y el resumen diario de reversiones del comprobante de percepción electrónica.</w:t>
            </w:r>
          </w:p>
          <w:p w:rsidR="00CB47B2" w:rsidRPr="0051698C" w:rsidRDefault="00CB47B2" w:rsidP="00D27475">
            <w:pPr>
              <w:pStyle w:val="NormalWeb"/>
              <w:spacing w:before="0" w:beforeAutospacing="0" w:after="0" w:afterAutospacing="0" w:line="220" w:lineRule="atLeast"/>
              <w:ind w:left="0"/>
              <w:rPr>
                <w:rFonts w:ascii="Arial" w:hAnsi="Arial" w:cs="Arial"/>
                <w:sz w:val="22"/>
                <w:szCs w:val="22"/>
              </w:rPr>
            </w:pPr>
          </w:p>
          <w:p w:rsidR="00D27475" w:rsidRPr="0051698C" w:rsidRDefault="00D27475" w:rsidP="0051698C">
            <w:pPr>
              <w:jc w:val="both"/>
              <w:rPr>
                <w:rFonts w:ascii="Arial" w:hAnsi="Arial" w:cs="Arial"/>
                <w:lang w:val="es-MX"/>
              </w:rPr>
            </w:pPr>
            <w:r w:rsidRPr="0051698C">
              <w:rPr>
                <w:rFonts w:ascii="Arial" w:hAnsi="Arial" w:cs="Arial"/>
                <w:lang w:val="es-MX"/>
              </w:rPr>
              <w:t>(…)</w:t>
            </w:r>
            <w:r w:rsidR="00CB47B2" w:rsidRPr="0051698C">
              <w:rPr>
                <w:rFonts w:ascii="Arial" w:hAnsi="Arial" w:cs="Arial"/>
                <w:lang w:val="es-MX"/>
              </w:rPr>
              <w:t>”</w:t>
            </w:r>
          </w:p>
        </w:tc>
      </w:tr>
    </w:tbl>
    <w:p w:rsidR="0051698C" w:rsidRDefault="0051698C" w:rsidP="0054265E">
      <w:pPr>
        <w:pStyle w:val="Default"/>
        <w:jc w:val="both"/>
        <w:rPr>
          <w:color w:val="auto"/>
          <w:sz w:val="22"/>
          <w:szCs w:val="22"/>
        </w:rPr>
      </w:pPr>
    </w:p>
    <w:p w:rsidR="0054265E" w:rsidRPr="0051698C" w:rsidRDefault="0054265E" w:rsidP="0054265E">
      <w:pPr>
        <w:pStyle w:val="Default"/>
        <w:jc w:val="both"/>
        <w:rPr>
          <w:color w:val="auto"/>
          <w:sz w:val="22"/>
          <w:szCs w:val="22"/>
        </w:rPr>
      </w:pPr>
      <w:r w:rsidRPr="0051698C">
        <w:rPr>
          <w:color w:val="auto"/>
          <w:sz w:val="22"/>
          <w:szCs w:val="22"/>
        </w:rPr>
        <w:t xml:space="preserve">4.2 </w:t>
      </w:r>
      <w:proofErr w:type="spellStart"/>
      <w:r w:rsidRPr="0051698C">
        <w:rPr>
          <w:color w:val="auto"/>
          <w:sz w:val="22"/>
          <w:szCs w:val="22"/>
        </w:rPr>
        <w:t>Modifícase</w:t>
      </w:r>
      <w:proofErr w:type="spellEnd"/>
      <w:r w:rsidRPr="0051698C">
        <w:rPr>
          <w:color w:val="auto"/>
          <w:sz w:val="22"/>
          <w:szCs w:val="22"/>
        </w:rPr>
        <w:t xml:space="preserve"> el párrafo 12.2 del artículo 12, el inciso g) del párrafo 13.1 del artículo 13 y el inciso 28.3.3 del párrafo 28.3 del artículo 28</w:t>
      </w:r>
      <w:r w:rsidR="008C2FDB" w:rsidRPr="0051698C">
        <w:rPr>
          <w:color w:val="auto"/>
          <w:sz w:val="22"/>
          <w:szCs w:val="22"/>
        </w:rPr>
        <w:t xml:space="preserve"> y el encabezado del párrafo 39.1 del artículo 39</w:t>
      </w:r>
      <w:r w:rsidRPr="0051698C">
        <w:rPr>
          <w:color w:val="auto"/>
          <w:sz w:val="22"/>
          <w:szCs w:val="22"/>
        </w:rPr>
        <w:t xml:space="preserve"> de la Resolución de Superintendencia N.° 117-2017/SUNAT y normas modificatorias, en los términos siguientes:</w:t>
      </w:r>
    </w:p>
    <w:p w:rsidR="0054265E" w:rsidRPr="0051698C" w:rsidRDefault="0054265E" w:rsidP="0054265E">
      <w:pPr>
        <w:pStyle w:val="NormalWeb"/>
        <w:ind w:left="0"/>
        <w:rPr>
          <w:rFonts w:ascii="Arial" w:hAnsi="Arial" w:cs="Arial"/>
          <w:sz w:val="22"/>
          <w:szCs w:val="22"/>
        </w:rPr>
      </w:pPr>
      <w:r w:rsidRPr="0051698C">
        <w:rPr>
          <w:rFonts w:ascii="Arial" w:hAnsi="Arial" w:cs="Arial"/>
          <w:bCs/>
          <w:sz w:val="22"/>
          <w:szCs w:val="22"/>
        </w:rPr>
        <w:t>“Artículo 12. Efectos de la incorporación</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lastRenderedPageBreak/>
        <w:t>La obtención o la asignación de la calidad de emisor electrónico genera los efectos indicados a continuación desde el día en que tenga esa calidad:</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w:t>
      </w:r>
    </w:p>
    <w:p w:rsidR="00A770B0" w:rsidRPr="0051698C" w:rsidRDefault="0054265E" w:rsidP="0054265E">
      <w:pPr>
        <w:pStyle w:val="NormalWeb"/>
        <w:ind w:left="0"/>
        <w:rPr>
          <w:rFonts w:ascii="Arial" w:hAnsi="Arial" w:cs="Arial"/>
          <w:sz w:val="22"/>
          <w:szCs w:val="22"/>
        </w:rPr>
      </w:pPr>
      <w:bookmarkStart w:id="42" w:name="JD_queaemisinelectrnicasere"/>
      <w:bookmarkEnd w:id="42"/>
      <w:r w:rsidRPr="0051698C">
        <w:rPr>
          <w:rFonts w:ascii="Arial" w:hAnsi="Arial" w:cs="Arial"/>
          <w:sz w:val="22"/>
          <w:szCs w:val="22"/>
        </w:rPr>
        <w:t>12.2 En lo que a emisión electrónica se refiere, tener la calidad de emisor electrónico del SEE, en los términos de esta resolución, solo le permite emitir a través del SEE - OSE. Es decir, está impedido de emitir en sistemas de emisión distintos a este y de ejercer la calidad de emisor electrónico por elección en otro sistema comprendido en el SEE, salvo cuando se trate</w:t>
      </w:r>
      <w:r w:rsidR="00A770B0" w:rsidRPr="0051698C">
        <w:rPr>
          <w:rFonts w:ascii="Arial" w:hAnsi="Arial" w:cs="Arial"/>
          <w:sz w:val="22"/>
          <w:szCs w:val="22"/>
        </w:rPr>
        <w:t>:</w:t>
      </w:r>
    </w:p>
    <w:p w:rsidR="00A770B0" w:rsidRPr="0051698C" w:rsidRDefault="00A770B0" w:rsidP="0054265E">
      <w:pPr>
        <w:pStyle w:val="NormalWeb"/>
        <w:ind w:left="0"/>
        <w:rPr>
          <w:rFonts w:ascii="Arial" w:hAnsi="Arial" w:cs="Arial"/>
          <w:sz w:val="22"/>
          <w:szCs w:val="22"/>
        </w:rPr>
      </w:pPr>
      <w:r w:rsidRPr="0051698C">
        <w:rPr>
          <w:rFonts w:ascii="Arial" w:hAnsi="Arial" w:cs="Arial"/>
          <w:sz w:val="22"/>
          <w:szCs w:val="22"/>
        </w:rPr>
        <w:t>a) D</w:t>
      </w:r>
      <w:r w:rsidR="0054265E" w:rsidRPr="0051698C">
        <w:rPr>
          <w:rFonts w:ascii="Arial" w:hAnsi="Arial" w:cs="Arial"/>
          <w:sz w:val="22"/>
          <w:szCs w:val="22"/>
        </w:rPr>
        <w:t xml:space="preserve">el SEE – SOL o </w:t>
      </w:r>
    </w:p>
    <w:p w:rsidR="0054265E" w:rsidRPr="0051698C" w:rsidRDefault="00A770B0" w:rsidP="0054265E">
      <w:pPr>
        <w:pStyle w:val="NormalWeb"/>
        <w:ind w:left="0"/>
        <w:rPr>
          <w:rFonts w:ascii="Arial" w:hAnsi="Arial" w:cs="Arial"/>
          <w:sz w:val="22"/>
          <w:szCs w:val="22"/>
        </w:rPr>
      </w:pPr>
      <w:r w:rsidRPr="0051698C">
        <w:rPr>
          <w:rFonts w:ascii="Arial" w:hAnsi="Arial" w:cs="Arial"/>
          <w:sz w:val="22"/>
          <w:szCs w:val="22"/>
        </w:rPr>
        <w:t>b) D</w:t>
      </w:r>
      <w:r w:rsidR="0054265E" w:rsidRPr="0051698C">
        <w:rPr>
          <w:rFonts w:ascii="Arial" w:hAnsi="Arial" w:cs="Arial"/>
          <w:sz w:val="22"/>
          <w:szCs w:val="22"/>
        </w:rPr>
        <w:t xml:space="preserve">el SEE – </w:t>
      </w:r>
      <w:r w:rsidR="00220AB1" w:rsidRPr="0051698C">
        <w:rPr>
          <w:rFonts w:ascii="Arial" w:hAnsi="Arial" w:cs="Arial"/>
          <w:sz w:val="22"/>
          <w:szCs w:val="22"/>
        </w:rPr>
        <w:t>Empresas Supervisadas</w:t>
      </w:r>
      <w:r w:rsidRPr="0051698C">
        <w:rPr>
          <w:rFonts w:ascii="Arial" w:hAnsi="Arial" w:cs="Arial"/>
          <w:sz w:val="22"/>
          <w:szCs w:val="22"/>
        </w:rPr>
        <w:t xml:space="preserve"> o del SEE – Del contribuyente, solo respecto de los</w:t>
      </w:r>
      <w:r w:rsidR="0054265E" w:rsidRPr="0051698C">
        <w:rPr>
          <w:rFonts w:ascii="Arial" w:hAnsi="Arial" w:cs="Arial"/>
          <w:sz w:val="22"/>
          <w:szCs w:val="22"/>
        </w:rPr>
        <w:t xml:space="preserve"> recibos electrónicos SP</w:t>
      </w:r>
      <w:r w:rsidR="008C2FDB" w:rsidRPr="0051698C">
        <w:rPr>
          <w:rFonts w:ascii="Arial" w:hAnsi="Arial" w:cs="Arial"/>
          <w:sz w:val="22"/>
          <w:szCs w:val="22"/>
        </w:rPr>
        <w:t>.</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 xml:space="preserve">Asimismo, puede emitir el comprobante de pago, la nota de débito, la nota de crédito y/o la guía de remisión en formatos impresos </w:t>
      </w:r>
      <w:r w:rsidRPr="007009A9">
        <w:rPr>
          <w:rFonts w:ascii="Arial" w:hAnsi="Arial" w:cs="Arial"/>
          <w:sz w:val="22"/>
          <w:szCs w:val="22"/>
        </w:rPr>
        <w:t>y/o importados por imprentas autorizadas o los tickets o cintas emitidas por m</w:t>
      </w:r>
      <w:r w:rsidR="00824AA6" w:rsidRPr="007009A9">
        <w:rPr>
          <w:rFonts w:ascii="Arial" w:hAnsi="Arial" w:cs="Arial"/>
          <w:sz w:val="22"/>
          <w:szCs w:val="22"/>
        </w:rPr>
        <w:t>á</w:t>
      </w:r>
      <w:r w:rsidRPr="007009A9">
        <w:rPr>
          <w:rFonts w:ascii="Arial" w:hAnsi="Arial" w:cs="Arial"/>
          <w:sz w:val="22"/>
          <w:szCs w:val="22"/>
        </w:rPr>
        <w:t>quinas registradoras, cuando la normativa sobre emisión electrónica se lo permita.”</w:t>
      </w:r>
      <w:r w:rsidR="008C2FDB" w:rsidRPr="0051698C">
        <w:rPr>
          <w:rFonts w:ascii="Arial" w:hAnsi="Arial" w:cs="Arial"/>
          <w:sz w:val="22"/>
          <w:szCs w:val="22"/>
        </w:rPr>
        <w:t xml:space="preserve"> </w:t>
      </w:r>
    </w:p>
    <w:p w:rsidR="0054265E" w:rsidRPr="0051698C" w:rsidRDefault="0054265E" w:rsidP="0054265E">
      <w:pPr>
        <w:pStyle w:val="NormalWeb"/>
        <w:ind w:left="0"/>
        <w:rPr>
          <w:rFonts w:ascii="Arial" w:hAnsi="Arial" w:cs="Arial"/>
          <w:bCs/>
          <w:sz w:val="22"/>
          <w:szCs w:val="22"/>
        </w:rPr>
      </w:pPr>
      <w:r w:rsidRPr="0051698C">
        <w:rPr>
          <w:rFonts w:ascii="Arial" w:hAnsi="Arial" w:cs="Arial"/>
          <w:bCs/>
          <w:sz w:val="22"/>
          <w:szCs w:val="22"/>
        </w:rPr>
        <w:t>“Artículo 13. Condiciones para emitir el documento electrónico</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13.1 El emisor electrónico emite un documento electrónico si cumple con lo siguiente:</w:t>
      </w:r>
    </w:p>
    <w:p w:rsidR="0054265E" w:rsidRPr="0051698C" w:rsidRDefault="0054265E" w:rsidP="0054265E">
      <w:pPr>
        <w:pStyle w:val="Default"/>
        <w:jc w:val="both"/>
        <w:rPr>
          <w:sz w:val="22"/>
          <w:szCs w:val="22"/>
        </w:rPr>
      </w:pPr>
      <w:r w:rsidRPr="0051698C">
        <w:rPr>
          <w:sz w:val="22"/>
          <w:szCs w:val="22"/>
        </w:rPr>
        <w:t>(…)</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 xml:space="preserve">g) La factura electrónica, la nota electrónica vinculada a aquella y la GRE deben contar con el formato digital. En consecuencia, tiene que existir información en los campos indicados como condiciones de emisión en los anexos </w:t>
      </w:r>
      <w:proofErr w:type="spellStart"/>
      <w:r w:rsidRPr="0051698C">
        <w:rPr>
          <w:rFonts w:ascii="Arial" w:hAnsi="Arial" w:cs="Arial"/>
          <w:sz w:val="22"/>
          <w:szCs w:val="22"/>
        </w:rPr>
        <w:t>N.°</w:t>
      </w:r>
      <w:r w:rsidRPr="0051698C">
        <w:rPr>
          <w:rFonts w:ascii="Arial" w:hAnsi="Arial" w:cs="Arial"/>
          <w:sz w:val="22"/>
          <w:szCs w:val="22"/>
          <w:vertAlign w:val="superscript"/>
        </w:rPr>
        <w:t>s</w:t>
      </w:r>
      <w:proofErr w:type="spellEnd"/>
      <w:r w:rsidRPr="0051698C">
        <w:rPr>
          <w:rFonts w:ascii="Arial" w:hAnsi="Arial" w:cs="Arial"/>
          <w:sz w:val="22"/>
          <w:szCs w:val="22"/>
        </w:rPr>
        <w:t xml:space="preserve"> 1, 3, 4 y 12, según corresponda, y se debe cumplir las validaciones especificadas en esos anexos.” </w:t>
      </w:r>
      <w:r w:rsidRPr="0051698C">
        <w:rPr>
          <w:rFonts w:ascii="Arial" w:hAnsi="Arial" w:cs="Arial"/>
          <w:b/>
          <w:bCs/>
          <w:sz w:val="22"/>
          <w:szCs w:val="22"/>
        </w:rPr>
        <w:t xml:space="preserve"> </w:t>
      </w:r>
    </w:p>
    <w:p w:rsidR="0054265E" w:rsidRPr="0051698C" w:rsidRDefault="0054265E" w:rsidP="0054265E">
      <w:pPr>
        <w:pStyle w:val="NormalWeb"/>
        <w:ind w:left="0"/>
        <w:rPr>
          <w:rFonts w:ascii="Arial" w:hAnsi="Arial" w:cs="Arial"/>
          <w:sz w:val="22"/>
          <w:szCs w:val="22"/>
        </w:rPr>
      </w:pPr>
      <w:r w:rsidRPr="0051698C">
        <w:rPr>
          <w:rFonts w:ascii="Arial" w:hAnsi="Arial" w:cs="Arial"/>
          <w:bCs/>
          <w:sz w:val="22"/>
          <w:szCs w:val="22"/>
        </w:rPr>
        <w:t>“Artículo 28. Notas electrónicas emitidas respecto de comprobantes de pago no emitidos en el SEE - OSE</w:t>
      </w:r>
    </w:p>
    <w:p w:rsidR="002759EF" w:rsidRPr="0051698C" w:rsidRDefault="0054265E" w:rsidP="002759EF">
      <w:pPr>
        <w:pStyle w:val="NormalWeb"/>
        <w:ind w:left="0"/>
        <w:rPr>
          <w:rFonts w:ascii="Arial" w:hAnsi="Arial" w:cs="Arial"/>
          <w:sz w:val="22"/>
          <w:szCs w:val="22"/>
        </w:rPr>
      </w:pPr>
      <w:r w:rsidRPr="0051698C">
        <w:rPr>
          <w:rFonts w:ascii="Arial" w:hAnsi="Arial" w:cs="Arial"/>
          <w:sz w:val="22"/>
          <w:szCs w:val="22"/>
        </w:rPr>
        <w:t>(…)</w:t>
      </w:r>
    </w:p>
    <w:p w:rsidR="002759EF" w:rsidRPr="0051698C" w:rsidRDefault="002759EF" w:rsidP="002759EF">
      <w:pPr>
        <w:pStyle w:val="NormalWeb"/>
        <w:ind w:left="0"/>
        <w:rPr>
          <w:rFonts w:ascii="Arial" w:hAnsi="Arial" w:cs="Arial"/>
          <w:sz w:val="22"/>
          <w:szCs w:val="22"/>
        </w:rPr>
      </w:pPr>
      <w:r w:rsidRPr="0051698C">
        <w:rPr>
          <w:rFonts w:ascii="Arial" w:hAnsi="Arial" w:cs="Arial"/>
          <w:sz w:val="22"/>
          <w:szCs w:val="22"/>
        </w:rPr>
        <w:t>28.3 Nota de débito electrónica</w:t>
      </w:r>
    </w:p>
    <w:p w:rsidR="002759EF" w:rsidRPr="0051698C" w:rsidRDefault="002759EF" w:rsidP="002759EF">
      <w:pPr>
        <w:pStyle w:val="NormalWeb"/>
        <w:ind w:left="0"/>
        <w:rPr>
          <w:rFonts w:ascii="Arial" w:hAnsi="Arial" w:cs="Arial"/>
          <w:sz w:val="22"/>
          <w:szCs w:val="22"/>
        </w:rPr>
      </w:pPr>
      <w:r w:rsidRPr="0051698C">
        <w:rPr>
          <w:rFonts w:ascii="Arial" w:hAnsi="Arial" w:cs="Arial"/>
          <w:sz w:val="22"/>
          <w:szCs w:val="22"/>
        </w:rPr>
        <w:lastRenderedPageBreak/>
        <w:t>El emisor electrónico puede optar por emitir una nota de débito electrónica respecto de:</w:t>
      </w:r>
    </w:p>
    <w:p w:rsidR="002759EF" w:rsidRPr="0051698C" w:rsidRDefault="002759EF" w:rsidP="0054265E">
      <w:pPr>
        <w:pStyle w:val="NormalWeb"/>
        <w:ind w:left="0"/>
        <w:rPr>
          <w:rFonts w:ascii="Arial" w:hAnsi="Arial" w:cs="Arial"/>
          <w:sz w:val="22"/>
          <w:szCs w:val="22"/>
        </w:rPr>
      </w:pPr>
      <w:r w:rsidRPr="0051698C">
        <w:rPr>
          <w:rFonts w:ascii="Arial" w:hAnsi="Arial" w:cs="Arial"/>
          <w:sz w:val="22"/>
          <w:szCs w:val="22"/>
        </w:rPr>
        <w:t>(…)</w:t>
      </w:r>
    </w:p>
    <w:p w:rsidR="0054265E" w:rsidRPr="0051698C" w:rsidRDefault="0054265E" w:rsidP="008C2FDB">
      <w:pPr>
        <w:pStyle w:val="NormalWeb"/>
        <w:ind w:left="0"/>
        <w:rPr>
          <w:rFonts w:ascii="Arial" w:hAnsi="Arial" w:cs="Arial"/>
          <w:sz w:val="22"/>
          <w:szCs w:val="22"/>
        </w:rPr>
      </w:pPr>
      <w:r w:rsidRPr="0051698C">
        <w:rPr>
          <w:rFonts w:ascii="Arial" w:hAnsi="Arial" w:cs="Arial"/>
          <w:sz w:val="22"/>
          <w:szCs w:val="22"/>
        </w:rPr>
        <w:t xml:space="preserve">28.3.3 </w:t>
      </w:r>
      <w:r w:rsidR="002759EF" w:rsidRPr="0051698C">
        <w:rPr>
          <w:rFonts w:ascii="Arial" w:hAnsi="Arial" w:cs="Arial"/>
          <w:sz w:val="22"/>
          <w:szCs w:val="22"/>
        </w:rPr>
        <w:t>El</w:t>
      </w:r>
      <w:r w:rsidRPr="0051698C">
        <w:rPr>
          <w:rFonts w:ascii="Arial" w:hAnsi="Arial" w:cs="Arial"/>
          <w:sz w:val="22"/>
          <w:szCs w:val="22"/>
        </w:rPr>
        <w:t xml:space="preserve"> documento autorizado contemplado en el literal l) del inciso 6.1. y en el acápite d.2) del literal d) del inciso 6.2 del numeral 6 del artículo 4 del RCP. Un ejemplar de la nota emitida respecto de ese comprobante se debe enviar al OSE según el párrafo 15.1 del artículo 15.”</w:t>
      </w:r>
    </w:p>
    <w:p w:rsidR="008C2FDB" w:rsidRPr="0051698C" w:rsidRDefault="008C2FDB" w:rsidP="008C2FDB">
      <w:pPr>
        <w:pStyle w:val="NormalWeb"/>
        <w:ind w:left="0"/>
        <w:rPr>
          <w:sz w:val="22"/>
          <w:szCs w:val="22"/>
        </w:rPr>
      </w:pPr>
      <w:r w:rsidRPr="0051698C">
        <w:rPr>
          <w:rFonts w:ascii="Arial" w:hAnsi="Arial" w:cs="Arial"/>
          <w:bCs/>
          <w:sz w:val="22"/>
          <w:szCs w:val="22"/>
        </w:rPr>
        <w:t>“Artículo 39. De los anexos del SEE - OSE</w:t>
      </w:r>
    </w:p>
    <w:p w:rsidR="008C2FDB" w:rsidRPr="0051698C" w:rsidRDefault="008C2FDB" w:rsidP="008C2FDB">
      <w:pPr>
        <w:pStyle w:val="NormalWeb"/>
        <w:ind w:left="0"/>
        <w:rPr>
          <w:rFonts w:ascii="Arial" w:hAnsi="Arial" w:cs="Arial"/>
          <w:sz w:val="22"/>
          <w:szCs w:val="22"/>
        </w:rPr>
      </w:pPr>
      <w:r w:rsidRPr="0051698C">
        <w:rPr>
          <w:rFonts w:ascii="Arial" w:hAnsi="Arial" w:cs="Arial"/>
          <w:sz w:val="22"/>
          <w:szCs w:val="22"/>
        </w:rPr>
        <w:t xml:space="preserve">39.1 Los anexos </w:t>
      </w:r>
      <w:proofErr w:type="spellStart"/>
      <w:r w:rsidRPr="0051698C">
        <w:rPr>
          <w:rFonts w:ascii="Arial" w:hAnsi="Arial" w:cs="Arial"/>
          <w:sz w:val="22"/>
          <w:szCs w:val="22"/>
        </w:rPr>
        <w:t>N.°</w:t>
      </w:r>
      <w:r w:rsidRPr="0051698C">
        <w:rPr>
          <w:rFonts w:ascii="Arial" w:hAnsi="Arial" w:cs="Arial"/>
          <w:sz w:val="22"/>
          <w:szCs w:val="22"/>
          <w:vertAlign w:val="superscript"/>
        </w:rPr>
        <w:t>s</w:t>
      </w:r>
      <w:proofErr w:type="spellEnd"/>
      <w:r w:rsidRPr="0051698C">
        <w:rPr>
          <w:rFonts w:ascii="Arial" w:hAnsi="Arial" w:cs="Arial"/>
          <w:sz w:val="22"/>
          <w:szCs w:val="22"/>
        </w:rPr>
        <w:t xml:space="preserve"> 1, 2, 3, 4, 5, 5-A, 8, 9, 9-A, 10, 12, 14, 15, 16, 17 y 18 que se indican en esta resolución pertenecen a la Resolución de Superintendencia N.° 097-2012/SUNAT y normas modificatorias y se aplican también a la presente resolución cuando sean mencionados.”</w:t>
      </w:r>
    </w:p>
    <w:p w:rsidR="0054265E" w:rsidRPr="0051698C" w:rsidRDefault="004D4B7C" w:rsidP="0054265E">
      <w:pPr>
        <w:pStyle w:val="NormalWeb"/>
        <w:ind w:left="0"/>
        <w:rPr>
          <w:rFonts w:ascii="Arial" w:hAnsi="Arial" w:cs="Arial"/>
          <w:sz w:val="22"/>
          <w:szCs w:val="22"/>
        </w:rPr>
      </w:pPr>
      <w:r w:rsidRPr="0051698C">
        <w:rPr>
          <w:rFonts w:ascii="Arial" w:hAnsi="Arial" w:cs="Arial"/>
          <w:sz w:val="22"/>
          <w:szCs w:val="22"/>
        </w:rPr>
        <w:t>4</w:t>
      </w:r>
      <w:r w:rsidR="0054265E" w:rsidRPr="0051698C">
        <w:rPr>
          <w:rFonts w:ascii="Arial" w:hAnsi="Arial" w:cs="Arial"/>
          <w:sz w:val="22"/>
          <w:szCs w:val="22"/>
        </w:rPr>
        <w:t xml:space="preserve">.3 Sustitúyase el anexo B y el literal b del numeral III del anexo C, conforme a lo indicado en los anexos </w:t>
      </w:r>
      <w:r w:rsidR="003C6988" w:rsidRPr="0051698C">
        <w:rPr>
          <w:rFonts w:ascii="Arial" w:hAnsi="Arial" w:cs="Arial"/>
          <w:sz w:val="22"/>
          <w:szCs w:val="22"/>
        </w:rPr>
        <w:t>VIII</w:t>
      </w:r>
      <w:r w:rsidR="0054265E" w:rsidRPr="0051698C">
        <w:rPr>
          <w:rFonts w:ascii="Arial" w:hAnsi="Arial" w:cs="Arial"/>
          <w:sz w:val="22"/>
          <w:szCs w:val="22"/>
        </w:rPr>
        <w:t xml:space="preserve"> y </w:t>
      </w:r>
      <w:r w:rsidR="003C6988" w:rsidRPr="0051698C">
        <w:rPr>
          <w:rFonts w:ascii="Arial" w:hAnsi="Arial" w:cs="Arial"/>
          <w:sz w:val="22"/>
          <w:szCs w:val="22"/>
        </w:rPr>
        <w:t>I</w:t>
      </w:r>
      <w:r w:rsidR="0054265E" w:rsidRPr="0051698C">
        <w:rPr>
          <w:rFonts w:ascii="Arial" w:hAnsi="Arial" w:cs="Arial"/>
          <w:sz w:val="22"/>
          <w:szCs w:val="22"/>
        </w:rPr>
        <w:t xml:space="preserve">X de esta resolución. </w:t>
      </w:r>
    </w:p>
    <w:p w:rsidR="0054265E" w:rsidRPr="0051698C" w:rsidRDefault="0054265E" w:rsidP="0054265E">
      <w:pPr>
        <w:pStyle w:val="NormalWeb"/>
        <w:ind w:left="0"/>
        <w:rPr>
          <w:rFonts w:ascii="Arial" w:hAnsi="Arial" w:cs="Arial"/>
          <w:b/>
          <w:sz w:val="22"/>
          <w:szCs w:val="22"/>
        </w:rPr>
      </w:pPr>
      <w:r w:rsidRPr="0051698C">
        <w:rPr>
          <w:rFonts w:ascii="Arial" w:hAnsi="Arial" w:cs="Arial"/>
          <w:b/>
          <w:sz w:val="22"/>
          <w:szCs w:val="22"/>
        </w:rPr>
        <w:t>QUINTA. De la Resolución de Superintendencia N.° 013-2019/SUNAT</w:t>
      </w:r>
    </w:p>
    <w:p w:rsidR="0054265E" w:rsidRPr="0051698C" w:rsidRDefault="0054265E" w:rsidP="0054265E">
      <w:pPr>
        <w:pStyle w:val="Default"/>
        <w:jc w:val="both"/>
        <w:rPr>
          <w:sz w:val="22"/>
          <w:szCs w:val="22"/>
        </w:rPr>
      </w:pPr>
      <w:r w:rsidRPr="0051698C">
        <w:rPr>
          <w:sz w:val="22"/>
          <w:szCs w:val="22"/>
        </w:rPr>
        <w:t xml:space="preserve">5.1 </w:t>
      </w:r>
      <w:proofErr w:type="spellStart"/>
      <w:r w:rsidRPr="0051698C">
        <w:rPr>
          <w:sz w:val="22"/>
          <w:szCs w:val="22"/>
        </w:rPr>
        <w:t>Modifícase</w:t>
      </w:r>
      <w:proofErr w:type="spellEnd"/>
      <w:r w:rsidRPr="0051698C">
        <w:rPr>
          <w:sz w:val="22"/>
          <w:szCs w:val="22"/>
        </w:rPr>
        <w:t xml:space="preserve"> </w:t>
      </w:r>
      <w:r w:rsidR="003A70F8" w:rsidRPr="0051698C">
        <w:rPr>
          <w:sz w:val="22"/>
          <w:szCs w:val="22"/>
        </w:rPr>
        <w:t>el in</w:t>
      </w:r>
      <w:r w:rsidRPr="0051698C">
        <w:rPr>
          <w:sz w:val="22"/>
          <w:szCs w:val="22"/>
        </w:rPr>
        <w:t>ciso 2.3.1</w:t>
      </w:r>
      <w:r w:rsidR="002759EF" w:rsidRPr="0051698C">
        <w:rPr>
          <w:sz w:val="22"/>
          <w:szCs w:val="22"/>
        </w:rPr>
        <w:t xml:space="preserve"> </w:t>
      </w:r>
      <w:r w:rsidRPr="0051698C">
        <w:rPr>
          <w:sz w:val="22"/>
          <w:szCs w:val="22"/>
        </w:rPr>
        <w:t>del párrafo 2.3 del artículo 2 de la Resolución de Superintendencia N.° 013-2019/SUNAT y norma modificatoria, en los términos siguientes:</w:t>
      </w:r>
    </w:p>
    <w:p w:rsidR="0054265E" w:rsidRPr="0051698C" w:rsidRDefault="0054265E" w:rsidP="0054265E">
      <w:pPr>
        <w:pStyle w:val="Default"/>
        <w:jc w:val="both"/>
        <w:rPr>
          <w:sz w:val="22"/>
          <w:szCs w:val="22"/>
        </w:rPr>
      </w:pPr>
    </w:p>
    <w:p w:rsidR="0054265E" w:rsidRPr="0051698C" w:rsidRDefault="0054265E" w:rsidP="0054265E">
      <w:pPr>
        <w:pStyle w:val="Default"/>
        <w:jc w:val="both"/>
        <w:rPr>
          <w:bCs/>
          <w:sz w:val="22"/>
          <w:szCs w:val="22"/>
        </w:rPr>
      </w:pPr>
      <w:r w:rsidRPr="0051698C">
        <w:rPr>
          <w:sz w:val="22"/>
          <w:szCs w:val="22"/>
        </w:rPr>
        <w:t>“</w:t>
      </w:r>
      <w:r w:rsidRPr="0051698C">
        <w:rPr>
          <w:bCs/>
          <w:sz w:val="22"/>
          <w:szCs w:val="22"/>
        </w:rPr>
        <w:t>Artículo 2. Designación de nuevos emisores electrónicos</w:t>
      </w:r>
    </w:p>
    <w:p w:rsidR="0054265E" w:rsidRPr="0051698C" w:rsidRDefault="0054265E" w:rsidP="0054265E">
      <w:pPr>
        <w:pStyle w:val="Default"/>
        <w:jc w:val="both"/>
        <w:rPr>
          <w:bCs/>
          <w:sz w:val="22"/>
          <w:szCs w:val="22"/>
        </w:rPr>
      </w:pPr>
    </w:p>
    <w:p w:rsidR="0054265E" w:rsidRPr="0051698C" w:rsidRDefault="0054265E" w:rsidP="0054265E">
      <w:pPr>
        <w:pStyle w:val="Default"/>
        <w:jc w:val="both"/>
        <w:rPr>
          <w:sz w:val="22"/>
          <w:szCs w:val="22"/>
        </w:rPr>
      </w:pPr>
      <w:r w:rsidRPr="0051698C">
        <w:rPr>
          <w:bCs/>
          <w:sz w:val="22"/>
          <w:szCs w:val="22"/>
        </w:rPr>
        <w:t>(…)</w:t>
      </w:r>
      <w:r w:rsidRPr="0051698C">
        <w:rPr>
          <w:sz w:val="22"/>
          <w:szCs w:val="22"/>
        </w:rPr>
        <w:t>     </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2.3 El sujeto designado como emisor electrónico del SEE en el párrafo 2.1 y aquel que tenga esa calidad al 31 de diciembre de 2019, por las operaciones comprendidas en el párrafo 2.1:</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2.3.1 Debe emitir el documento autorizado electrónico por las operaciones señaladas en el párrafo 2.1 en el SEE - SOL, el SEE - Del contribuyente o el SEE - OSE, según corresponda, de acuerdo con lo señalado en las resoluciones de superintendencia que regulan dichos sistemas.</w:t>
      </w:r>
    </w:p>
    <w:p w:rsidR="002759EF" w:rsidRPr="0051698C" w:rsidRDefault="0054265E" w:rsidP="003A70F8">
      <w:pPr>
        <w:pStyle w:val="NormalWeb"/>
        <w:ind w:left="0"/>
        <w:rPr>
          <w:rFonts w:ascii="Arial" w:hAnsi="Arial" w:cs="Arial"/>
          <w:sz w:val="22"/>
          <w:szCs w:val="22"/>
        </w:rPr>
      </w:pPr>
      <w:r w:rsidRPr="0051698C">
        <w:rPr>
          <w:rFonts w:ascii="Arial" w:hAnsi="Arial" w:cs="Arial"/>
          <w:color w:val="000000"/>
          <w:sz w:val="22"/>
          <w:szCs w:val="22"/>
        </w:rPr>
        <w:lastRenderedPageBreak/>
        <w:t>Tratándose de</w:t>
      </w:r>
      <w:r w:rsidR="00D20B86" w:rsidRPr="0051698C">
        <w:rPr>
          <w:rFonts w:ascii="Arial" w:hAnsi="Arial" w:cs="Arial"/>
          <w:color w:val="000000"/>
          <w:sz w:val="22"/>
          <w:szCs w:val="22"/>
        </w:rPr>
        <w:t>l</w:t>
      </w:r>
      <w:r w:rsidRPr="0051698C">
        <w:rPr>
          <w:rFonts w:ascii="Arial" w:hAnsi="Arial" w:cs="Arial"/>
          <w:color w:val="000000"/>
          <w:sz w:val="22"/>
          <w:szCs w:val="22"/>
        </w:rPr>
        <w:t xml:space="preserve"> sujeto comprendido en el literal e) del párrafo 2.1 debe emitir</w:t>
      </w:r>
      <w:r w:rsidR="00D20B86" w:rsidRPr="0051698C">
        <w:rPr>
          <w:rFonts w:ascii="Arial" w:hAnsi="Arial" w:cs="Arial"/>
          <w:color w:val="000000"/>
          <w:sz w:val="22"/>
          <w:szCs w:val="22"/>
        </w:rPr>
        <w:t xml:space="preserve">, a través del SEE – </w:t>
      </w:r>
      <w:r w:rsidR="00220AB1" w:rsidRPr="0051698C">
        <w:rPr>
          <w:rFonts w:ascii="Arial" w:hAnsi="Arial" w:cs="Arial"/>
          <w:color w:val="000000"/>
          <w:sz w:val="22"/>
          <w:szCs w:val="22"/>
        </w:rPr>
        <w:t>Empresas Supervisadas</w:t>
      </w:r>
      <w:r w:rsidR="00D20B86" w:rsidRPr="0051698C">
        <w:rPr>
          <w:rFonts w:ascii="Arial" w:hAnsi="Arial" w:cs="Arial"/>
          <w:color w:val="000000"/>
          <w:sz w:val="22"/>
          <w:szCs w:val="22"/>
        </w:rPr>
        <w:t xml:space="preserve"> o del SEE – Del contribuyente,</w:t>
      </w:r>
      <w:r w:rsidRPr="0051698C">
        <w:rPr>
          <w:rFonts w:ascii="Arial" w:hAnsi="Arial" w:cs="Arial"/>
          <w:color w:val="000000"/>
          <w:sz w:val="22"/>
          <w:szCs w:val="22"/>
        </w:rPr>
        <w:t xml:space="preserve"> el recibo electrónic</w:t>
      </w:r>
      <w:r w:rsidR="00D20B86" w:rsidRPr="0051698C">
        <w:rPr>
          <w:rFonts w:ascii="Arial" w:hAnsi="Arial" w:cs="Arial"/>
          <w:color w:val="000000"/>
          <w:sz w:val="22"/>
          <w:szCs w:val="22"/>
        </w:rPr>
        <w:t>o por servicios públicos por la</w:t>
      </w:r>
      <w:r w:rsidRPr="0051698C">
        <w:rPr>
          <w:rFonts w:ascii="Arial" w:hAnsi="Arial" w:cs="Arial"/>
          <w:color w:val="000000"/>
          <w:sz w:val="22"/>
          <w:szCs w:val="22"/>
        </w:rPr>
        <w:t xml:space="preserve"> operaci</w:t>
      </w:r>
      <w:r w:rsidR="00D20B86" w:rsidRPr="0051698C">
        <w:rPr>
          <w:rFonts w:ascii="Arial" w:hAnsi="Arial" w:cs="Arial"/>
          <w:color w:val="000000"/>
          <w:sz w:val="22"/>
          <w:szCs w:val="22"/>
        </w:rPr>
        <w:t>ón</w:t>
      </w:r>
      <w:r w:rsidRPr="0051698C">
        <w:rPr>
          <w:rFonts w:ascii="Arial" w:hAnsi="Arial" w:cs="Arial"/>
          <w:color w:val="000000"/>
          <w:sz w:val="22"/>
          <w:szCs w:val="22"/>
        </w:rPr>
        <w:t xml:space="preserve"> comprendida en dicho literal, de acuerdo con lo señalado</w:t>
      </w:r>
      <w:r w:rsidR="00776207" w:rsidRPr="0051698C">
        <w:rPr>
          <w:rFonts w:ascii="Arial" w:hAnsi="Arial" w:cs="Arial"/>
          <w:color w:val="000000"/>
          <w:sz w:val="22"/>
          <w:szCs w:val="22"/>
        </w:rPr>
        <w:t xml:space="preserve"> </w:t>
      </w:r>
      <w:r w:rsidRPr="0051698C">
        <w:rPr>
          <w:rFonts w:ascii="Arial" w:hAnsi="Arial" w:cs="Arial"/>
          <w:color w:val="000000"/>
          <w:sz w:val="22"/>
          <w:szCs w:val="22"/>
        </w:rPr>
        <w:t>en las resoluciones de superintendencia que regulan dichos sistemas.</w:t>
      </w:r>
      <w:r w:rsidR="003A70F8" w:rsidRPr="0051698C">
        <w:rPr>
          <w:rFonts w:ascii="Arial" w:hAnsi="Arial" w:cs="Arial"/>
          <w:color w:val="000000"/>
          <w:sz w:val="22"/>
          <w:szCs w:val="22"/>
        </w:rPr>
        <w:t>”</w:t>
      </w:r>
    </w:p>
    <w:p w:rsidR="0054265E" w:rsidRPr="0051698C" w:rsidRDefault="0054265E" w:rsidP="0054265E">
      <w:pPr>
        <w:pStyle w:val="Default"/>
        <w:jc w:val="both"/>
        <w:rPr>
          <w:sz w:val="22"/>
          <w:szCs w:val="22"/>
        </w:rPr>
      </w:pPr>
      <w:r w:rsidRPr="0051698C">
        <w:rPr>
          <w:sz w:val="22"/>
          <w:szCs w:val="22"/>
        </w:rPr>
        <w:t xml:space="preserve">5.2 </w:t>
      </w:r>
      <w:proofErr w:type="spellStart"/>
      <w:r w:rsidRPr="0051698C">
        <w:rPr>
          <w:sz w:val="22"/>
          <w:szCs w:val="22"/>
        </w:rPr>
        <w:t>Modifícase</w:t>
      </w:r>
      <w:proofErr w:type="spellEnd"/>
      <w:r w:rsidRPr="0051698C">
        <w:rPr>
          <w:sz w:val="22"/>
          <w:szCs w:val="22"/>
        </w:rPr>
        <w:t xml:space="preserve"> el</w:t>
      </w:r>
      <w:r w:rsidR="003A70F8" w:rsidRPr="0051698C">
        <w:rPr>
          <w:sz w:val="22"/>
          <w:szCs w:val="22"/>
        </w:rPr>
        <w:t xml:space="preserve"> párrafo 1.2 de la primera disposición complementaria modificatoria de la Resolución de Superintendencia N.° 013-2019/SUNAT y norma modificatoria, en los términos siguientes: </w:t>
      </w:r>
      <w:r w:rsidRPr="0051698C">
        <w:rPr>
          <w:sz w:val="22"/>
          <w:szCs w:val="22"/>
        </w:rPr>
        <w:t xml:space="preserve"> </w:t>
      </w:r>
    </w:p>
    <w:p w:rsidR="003A70F8" w:rsidRPr="0051698C" w:rsidRDefault="003A70F8" w:rsidP="003A70F8">
      <w:pPr>
        <w:pStyle w:val="NormalWeb"/>
        <w:ind w:left="0"/>
        <w:rPr>
          <w:sz w:val="22"/>
          <w:szCs w:val="22"/>
        </w:rPr>
      </w:pPr>
      <w:bookmarkStart w:id="43" w:name="JD_013-2019-SUNAT12"/>
      <w:bookmarkEnd w:id="43"/>
      <w:r w:rsidRPr="0051698C">
        <w:rPr>
          <w:rFonts w:ascii="Arial" w:hAnsi="Arial" w:cs="Arial"/>
          <w:color w:val="000000"/>
          <w:sz w:val="22"/>
          <w:szCs w:val="22"/>
          <w:lang w:val="es-PE"/>
        </w:rPr>
        <w:t>“</w:t>
      </w:r>
      <w:r w:rsidRPr="0051698C">
        <w:rPr>
          <w:rFonts w:ascii="Arial" w:hAnsi="Arial" w:cs="Arial"/>
          <w:color w:val="000000"/>
          <w:sz w:val="22"/>
          <w:szCs w:val="22"/>
        </w:rPr>
        <w:t xml:space="preserve">1.2 </w:t>
      </w:r>
      <w:proofErr w:type="spellStart"/>
      <w:r w:rsidRPr="0051698C">
        <w:rPr>
          <w:rFonts w:ascii="Arial" w:hAnsi="Arial" w:cs="Arial"/>
          <w:color w:val="000000"/>
          <w:sz w:val="22"/>
          <w:szCs w:val="22"/>
        </w:rPr>
        <w:t>Modifícase</w:t>
      </w:r>
      <w:proofErr w:type="spellEnd"/>
      <w:r w:rsidRPr="0051698C">
        <w:rPr>
          <w:rFonts w:ascii="Arial" w:hAnsi="Arial" w:cs="Arial"/>
          <w:color w:val="000000"/>
          <w:sz w:val="22"/>
          <w:szCs w:val="22"/>
        </w:rPr>
        <w:t xml:space="preserve"> el artículo 4-B de la Resolución de Superintendencia N.° 300-2014/SUNAT y normas modificatorias, en los siguientes términos:</w:t>
      </w:r>
    </w:p>
    <w:p w:rsidR="0054265E" w:rsidRPr="0051698C" w:rsidRDefault="00815B08" w:rsidP="0054265E">
      <w:pPr>
        <w:pStyle w:val="NormalWeb"/>
        <w:ind w:left="0"/>
        <w:rPr>
          <w:rFonts w:ascii="Arial" w:hAnsi="Arial" w:cs="Arial"/>
          <w:sz w:val="22"/>
          <w:szCs w:val="22"/>
        </w:rPr>
      </w:pPr>
      <w:r w:rsidRPr="0051698C">
        <w:rPr>
          <w:rFonts w:ascii="Arial" w:hAnsi="Arial" w:cs="Aharoni" w:hint="cs"/>
          <w:color w:val="000000"/>
          <w:sz w:val="22"/>
          <w:szCs w:val="22"/>
        </w:rPr>
        <w:t>'</w:t>
      </w:r>
      <w:r w:rsidR="0054265E" w:rsidRPr="0051698C">
        <w:rPr>
          <w:rFonts w:ascii="Arial" w:hAnsi="Arial" w:cs="Arial"/>
          <w:color w:val="000000"/>
          <w:sz w:val="22"/>
          <w:szCs w:val="22"/>
        </w:rPr>
        <w:t>Artículo 4-B.- CONTINUACIÓN DE LA EMISIÓN DE DOCUMENTOS AUTORIZADOS SEGÚN EL REGLAMENTO DE COMPROBANTES DE PAGO Y CONCURRENCIA DE ESA MODALIDAD Y LA EMISIÓN ELECTRÓNICA</w:t>
      </w:r>
    </w:p>
    <w:p w:rsidR="00D15A07" w:rsidRPr="0051698C" w:rsidRDefault="00D15A07" w:rsidP="003A70F8">
      <w:pPr>
        <w:pStyle w:val="NormalWeb"/>
        <w:ind w:left="0"/>
        <w:rPr>
          <w:rFonts w:ascii="Arial" w:hAnsi="Arial" w:cs="Arial"/>
          <w:sz w:val="22"/>
          <w:szCs w:val="22"/>
        </w:rPr>
      </w:pPr>
      <w:r w:rsidRPr="0051698C">
        <w:rPr>
          <w:rFonts w:ascii="Arial" w:hAnsi="Arial" w:cs="Arial"/>
          <w:sz w:val="22"/>
          <w:szCs w:val="22"/>
        </w:rPr>
        <w:t>El emisor electrónico del documento autorizado electrónico o del recibo electrónico por servicios públicos puede emitir documentos autorizados, notas de crédito o notas de débito, según lo indicado en el inciso f) del numeral 4.1 del artículo 4. Para tal efecto, en los supuestos contemplados en los incisos a) y b) de ese numeral el emisor electrónico puede emitir o no está impedido de emitir, según corresponda, el documento autorizado, la nota de crédito y la nota de débito de conformidad con lo señalado en el Reglamento de Comprobantes de Pago y/u otras resoluciones sobre la materia, según sea el caso.</w:t>
      </w:r>
    </w:p>
    <w:p w:rsidR="003A70F8" w:rsidRPr="0051698C" w:rsidRDefault="003A70F8" w:rsidP="003A70F8">
      <w:pPr>
        <w:pStyle w:val="NormalWeb"/>
        <w:ind w:left="0"/>
        <w:rPr>
          <w:sz w:val="22"/>
          <w:szCs w:val="22"/>
        </w:rPr>
      </w:pPr>
      <w:r w:rsidRPr="0051698C">
        <w:rPr>
          <w:rFonts w:ascii="Arial" w:hAnsi="Arial" w:cs="Arial"/>
          <w:color w:val="000000"/>
          <w:sz w:val="22"/>
          <w:szCs w:val="22"/>
        </w:rPr>
        <w:t>El emisor electrónico por determinación de la SUNAT referido en el inciso f) del numeral 4.1 del artículo 4 debe remitir a la SUNAT una declaración jurada informativa mediante la cual informa los comprobantes de pago, las notas de crédito y/o las notas de débito emitidos sin utilizar el SEE debido a que, por causas no imputables a él, ha estado imposibilitado de emitir los comprobantes de pago electrónicos y/o las notas electrónicas en una fecha determinada.</w:t>
      </w:r>
    </w:p>
    <w:p w:rsidR="003A70F8" w:rsidRPr="0051698C" w:rsidRDefault="003A70F8" w:rsidP="003A70F8">
      <w:pPr>
        <w:pStyle w:val="NormalWeb"/>
        <w:ind w:left="0"/>
        <w:rPr>
          <w:sz w:val="22"/>
          <w:szCs w:val="22"/>
        </w:rPr>
      </w:pPr>
      <w:r w:rsidRPr="0051698C">
        <w:rPr>
          <w:rFonts w:ascii="Arial" w:hAnsi="Arial" w:cs="Arial"/>
          <w:color w:val="000000"/>
          <w:sz w:val="22"/>
          <w:szCs w:val="22"/>
        </w:rPr>
        <w:t>La declaración jurada informativa a que se refiere el párrafo anterior se rige por las siguientes disposiciones:</w:t>
      </w:r>
    </w:p>
    <w:p w:rsidR="003A70F8" w:rsidRPr="0051698C" w:rsidRDefault="003A70F8" w:rsidP="003A70F8">
      <w:pPr>
        <w:pStyle w:val="NormalWeb"/>
        <w:ind w:left="0"/>
        <w:rPr>
          <w:sz w:val="22"/>
          <w:szCs w:val="22"/>
        </w:rPr>
      </w:pPr>
      <w:r w:rsidRPr="0051698C">
        <w:rPr>
          <w:rFonts w:ascii="Arial" w:hAnsi="Arial" w:cs="Arial"/>
          <w:color w:val="000000"/>
          <w:sz w:val="22"/>
          <w:szCs w:val="22"/>
        </w:rPr>
        <w:t xml:space="preserve">a) Tratándose de la póliza de adjudicación a que se refiere el literal g) del inciso 6.1 del numeral 6 del artículo 4 del Reglamento de Comprobantes de Pago y/o la nota de crédito y/o la nota de débito vinculada a aquella emitida en formato impreso y/o importado por imprenta autorizada, la declaración jurada informativa se envía </w:t>
      </w:r>
      <w:r w:rsidRPr="0051698C">
        <w:rPr>
          <w:rFonts w:ascii="Arial" w:hAnsi="Arial" w:cs="Arial"/>
          <w:color w:val="000000"/>
          <w:sz w:val="22"/>
          <w:szCs w:val="22"/>
        </w:rPr>
        <w:lastRenderedPageBreak/>
        <w:t>mediante la selección de la opción respectiva en SUNAT Operaciones en Línea y debe contener el número de RUC del emisor electrónico y la información que obra en dicho documento autorizado y/o nota.</w:t>
      </w:r>
    </w:p>
    <w:p w:rsidR="003A70F8" w:rsidRPr="0051698C" w:rsidRDefault="003A70F8" w:rsidP="003A70F8">
      <w:pPr>
        <w:pStyle w:val="NormalWeb"/>
        <w:ind w:left="0"/>
        <w:rPr>
          <w:sz w:val="22"/>
          <w:szCs w:val="22"/>
        </w:rPr>
      </w:pPr>
      <w:r w:rsidRPr="0051698C">
        <w:rPr>
          <w:rFonts w:ascii="Arial" w:hAnsi="Arial" w:cs="Arial"/>
          <w:color w:val="000000"/>
          <w:sz w:val="22"/>
          <w:szCs w:val="22"/>
        </w:rPr>
        <w:t>b) En el caso de la emisión de los demás documentos autorizados o las notas de crédito y/o las notas de débito vinculadas a aquellos, la declaración jurada informativa se envía mediante el resumen de comprobantes impresos a través del Programa de Envío de Información (PEI), aprobado por la Resolución de Superintendencia N.º 159-2017</w:t>
      </w:r>
      <w:r w:rsidR="003D5350" w:rsidRPr="0051698C">
        <w:rPr>
          <w:rFonts w:ascii="Arial" w:hAnsi="Arial" w:cs="Arial"/>
          <w:color w:val="000000"/>
          <w:sz w:val="22"/>
          <w:szCs w:val="22"/>
        </w:rPr>
        <w:t>/</w:t>
      </w:r>
      <w:r w:rsidRPr="0051698C">
        <w:rPr>
          <w:rFonts w:ascii="Arial" w:hAnsi="Arial" w:cs="Arial"/>
          <w:color w:val="000000"/>
          <w:sz w:val="22"/>
          <w:szCs w:val="22"/>
        </w:rPr>
        <w:t>SUNAT y normas modificatorias.</w:t>
      </w:r>
    </w:p>
    <w:p w:rsidR="003A70F8" w:rsidRPr="0051698C" w:rsidRDefault="003A70F8" w:rsidP="003A70F8">
      <w:pPr>
        <w:pStyle w:val="NormalWeb"/>
        <w:ind w:left="0"/>
        <w:rPr>
          <w:sz w:val="22"/>
          <w:szCs w:val="22"/>
        </w:rPr>
      </w:pPr>
      <w:r w:rsidRPr="0051698C">
        <w:rPr>
          <w:rFonts w:ascii="Arial" w:hAnsi="Arial" w:cs="Arial"/>
          <w:color w:val="000000"/>
          <w:sz w:val="22"/>
          <w:szCs w:val="22"/>
        </w:rPr>
        <w:t>c) El emisor electrónico debe enviarla a la SUNAT el día en que emitió el documento autorizado, la nota de crédito o la nota de débito o, a más tardar, hasta el sétimo día calendario contado desde el día calendario siguiente al de su emisión.</w:t>
      </w:r>
    </w:p>
    <w:p w:rsidR="003A70F8" w:rsidRPr="0051698C" w:rsidRDefault="003A70F8" w:rsidP="003A70F8">
      <w:pPr>
        <w:pStyle w:val="NormalWeb"/>
        <w:ind w:left="0"/>
        <w:rPr>
          <w:sz w:val="22"/>
          <w:szCs w:val="22"/>
        </w:rPr>
      </w:pPr>
      <w:r w:rsidRPr="0051698C">
        <w:rPr>
          <w:rFonts w:ascii="Arial" w:hAnsi="Arial" w:cs="Arial"/>
          <w:color w:val="000000"/>
          <w:sz w:val="22"/>
          <w:szCs w:val="22"/>
        </w:rPr>
        <w:t>En caso el emisor electrónico envíe, dentro del plazo antes indicado y respecto de un mismo documento autorizado o nota, más de una declaración jurada informativa, se considera que la última enviada sustituye a la anterior en su totalidad y será considerada como una declaración jurada sustitutoria.</w:t>
      </w:r>
    </w:p>
    <w:p w:rsidR="00982EC1" w:rsidRPr="0051698C" w:rsidRDefault="003A70F8" w:rsidP="00982EC1">
      <w:pPr>
        <w:pStyle w:val="NormalWeb"/>
        <w:ind w:left="0"/>
        <w:rPr>
          <w:sz w:val="22"/>
          <w:szCs w:val="22"/>
        </w:rPr>
      </w:pPr>
      <w:r w:rsidRPr="0051698C">
        <w:rPr>
          <w:rFonts w:ascii="Arial" w:hAnsi="Arial" w:cs="Arial"/>
          <w:color w:val="000000"/>
          <w:sz w:val="22"/>
          <w:szCs w:val="22"/>
        </w:rPr>
        <w:t xml:space="preserve">Si el emisor electrónico envía, luego del plazo indicado en el primer párrafo y respecto de un mismo documento autorizado o nota, una o más declaraciones juradas informativas, la última enviada reemplaza a la anterior y será considerada como una declaración jurada </w:t>
      </w:r>
      <w:proofErr w:type="spellStart"/>
      <w:r w:rsidRPr="0051698C">
        <w:rPr>
          <w:rFonts w:ascii="Arial" w:hAnsi="Arial" w:cs="Arial"/>
          <w:color w:val="000000"/>
          <w:sz w:val="22"/>
          <w:szCs w:val="22"/>
        </w:rPr>
        <w:t>rectificatoria</w:t>
      </w:r>
      <w:proofErr w:type="spellEnd"/>
      <w:r w:rsidRPr="0051698C">
        <w:rPr>
          <w:rFonts w:ascii="Arial" w:hAnsi="Arial" w:cs="Arial"/>
          <w:color w:val="000000"/>
          <w:sz w:val="22"/>
          <w:szCs w:val="22"/>
        </w:rPr>
        <w:t>.</w:t>
      </w:r>
    </w:p>
    <w:p w:rsidR="003A70F8" w:rsidRPr="0051698C" w:rsidRDefault="003A70F8" w:rsidP="00982EC1">
      <w:pPr>
        <w:pStyle w:val="NormalWeb"/>
        <w:ind w:left="0"/>
        <w:rPr>
          <w:sz w:val="22"/>
          <w:szCs w:val="22"/>
        </w:rPr>
      </w:pPr>
      <w:r w:rsidRPr="0051698C">
        <w:rPr>
          <w:rFonts w:ascii="Arial" w:hAnsi="Arial" w:cs="Arial"/>
          <w:color w:val="000000"/>
          <w:sz w:val="22"/>
          <w:szCs w:val="22"/>
        </w:rPr>
        <w:t>d) Se considera que el emisor electrónico la ha remitido a la SUNAT si al enviarla según lo señalado en los literales a) y b), según corresponda, cumple con lo siguiente:</w:t>
      </w:r>
    </w:p>
    <w:p w:rsidR="003A70F8" w:rsidRPr="0051698C" w:rsidRDefault="003A70F8" w:rsidP="00982EC1">
      <w:pPr>
        <w:pStyle w:val="NormalWeb"/>
        <w:ind w:left="0"/>
        <w:rPr>
          <w:sz w:val="22"/>
          <w:szCs w:val="22"/>
        </w:rPr>
      </w:pPr>
      <w:r w:rsidRPr="0051698C">
        <w:rPr>
          <w:rFonts w:ascii="Arial" w:hAnsi="Arial" w:cs="Arial"/>
          <w:color w:val="000000"/>
          <w:sz w:val="22"/>
          <w:szCs w:val="22"/>
        </w:rPr>
        <w:t>i) Tiene un número de RUC que no se encuentre en estado de baja de inscripción, es emisor electrónico del SEE por determinación de la SUNAT y está afecto en el RUC al impuesto a la renta por rentas de tercera categoría, de generar ese tipo de renta.</w:t>
      </w:r>
    </w:p>
    <w:p w:rsidR="003A70F8" w:rsidRPr="0051698C" w:rsidRDefault="003A70F8" w:rsidP="00982EC1">
      <w:pPr>
        <w:pStyle w:val="NormalWeb"/>
        <w:ind w:left="0"/>
        <w:rPr>
          <w:sz w:val="22"/>
          <w:szCs w:val="22"/>
        </w:rPr>
      </w:pPr>
      <w:proofErr w:type="spellStart"/>
      <w:r w:rsidRPr="0051698C">
        <w:rPr>
          <w:rFonts w:ascii="Arial" w:hAnsi="Arial" w:cs="Arial"/>
          <w:color w:val="000000"/>
          <w:sz w:val="22"/>
          <w:szCs w:val="22"/>
        </w:rPr>
        <w:t>ii</w:t>
      </w:r>
      <w:proofErr w:type="spellEnd"/>
      <w:r w:rsidRPr="0051698C">
        <w:rPr>
          <w:rFonts w:ascii="Arial" w:hAnsi="Arial" w:cs="Arial"/>
          <w:color w:val="000000"/>
          <w:sz w:val="22"/>
          <w:szCs w:val="22"/>
        </w:rPr>
        <w:t>) En el caso indicado en el literal a), emplea el formato digital generado en el SEE - SOL para el tipo de comprobante o nota a informar y, en los casos comprendidos en el literal b), se realiza el envío a través del PEI en la forma y las condiciones señaladas en la Resolución de Sup</w:t>
      </w:r>
      <w:r w:rsidR="003D5350" w:rsidRPr="0051698C">
        <w:rPr>
          <w:rFonts w:ascii="Arial" w:hAnsi="Arial" w:cs="Arial"/>
          <w:color w:val="000000"/>
          <w:sz w:val="22"/>
          <w:szCs w:val="22"/>
        </w:rPr>
        <w:t>erintendencia N.º 159-2017/</w:t>
      </w:r>
      <w:r w:rsidRPr="0051698C">
        <w:rPr>
          <w:rFonts w:ascii="Arial" w:hAnsi="Arial" w:cs="Arial"/>
          <w:color w:val="000000"/>
          <w:sz w:val="22"/>
          <w:szCs w:val="22"/>
        </w:rPr>
        <w:t>SUNAT.</w:t>
      </w:r>
    </w:p>
    <w:p w:rsidR="003A70F8" w:rsidRPr="0051698C" w:rsidRDefault="003A70F8" w:rsidP="004D4B7C">
      <w:pPr>
        <w:pStyle w:val="NormalWeb"/>
        <w:ind w:left="0"/>
      </w:pPr>
      <w:proofErr w:type="spellStart"/>
      <w:r w:rsidRPr="0051698C">
        <w:rPr>
          <w:rFonts w:ascii="Arial" w:hAnsi="Arial" w:cs="Arial"/>
          <w:color w:val="000000"/>
          <w:sz w:val="22"/>
          <w:szCs w:val="22"/>
        </w:rPr>
        <w:t>iii</w:t>
      </w:r>
      <w:proofErr w:type="spellEnd"/>
      <w:r w:rsidRPr="0051698C">
        <w:rPr>
          <w:rFonts w:ascii="Arial" w:hAnsi="Arial" w:cs="Arial"/>
          <w:color w:val="000000"/>
          <w:sz w:val="22"/>
          <w:szCs w:val="22"/>
        </w:rPr>
        <w:t xml:space="preserve">) Obtiene una constancia en el SEE - SOL, de haber enviado la información cuando se termine de ingresarla en el formato digital que ese sistema prevé y se ejerza la </w:t>
      </w:r>
      <w:r w:rsidRPr="0051698C">
        <w:rPr>
          <w:rFonts w:ascii="Arial" w:hAnsi="Arial" w:cs="Arial"/>
          <w:color w:val="000000"/>
          <w:sz w:val="22"/>
          <w:szCs w:val="22"/>
        </w:rPr>
        <w:lastRenderedPageBreak/>
        <w:t>opción que este indique, u obtiene la constancia de recepción por el envío realizado utilizando el PEI.</w:t>
      </w:r>
      <w:r w:rsidR="00815B08" w:rsidRPr="0051698C">
        <w:rPr>
          <w:rFonts w:ascii="Arial" w:hAnsi="Arial" w:cs="Aharoni" w:hint="cs"/>
          <w:color w:val="000000"/>
          <w:sz w:val="22"/>
          <w:szCs w:val="22"/>
        </w:rPr>
        <w:t>'</w:t>
      </w:r>
      <w:r w:rsidRPr="0051698C">
        <w:rPr>
          <w:rFonts w:ascii="Arial" w:hAnsi="Arial" w:cs="Arial"/>
          <w:color w:val="000000"/>
          <w:sz w:val="22"/>
          <w:szCs w:val="22"/>
        </w:rPr>
        <w:t>”</w:t>
      </w:r>
    </w:p>
    <w:p w:rsidR="003A70F8" w:rsidRPr="0051698C" w:rsidRDefault="00C353B0" w:rsidP="004D4B7C">
      <w:pPr>
        <w:pStyle w:val="Default"/>
        <w:jc w:val="both"/>
        <w:rPr>
          <w:bCs/>
          <w:sz w:val="22"/>
          <w:szCs w:val="22"/>
        </w:rPr>
      </w:pPr>
      <w:r w:rsidRPr="0051698C">
        <w:rPr>
          <w:bCs/>
          <w:sz w:val="22"/>
          <w:szCs w:val="22"/>
        </w:rPr>
        <w:t xml:space="preserve">5.3 </w:t>
      </w:r>
      <w:proofErr w:type="spellStart"/>
      <w:r w:rsidRPr="0051698C">
        <w:rPr>
          <w:bCs/>
          <w:sz w:val="22"/>
          <w:szCs w:val="22"/>
        </w:rPr>
        <w:t>Modifícase</w:t>
      </w:r>
      <w:proofErr w:type="spellEnd"/>
      <w:r w:rsidRPr="0051698C">
        <w:rPr>
          <w:bCs/>
          <w:sz w:val="22"/>
          <w:szCs w:val="22"/>
        </w:rPr>
        <w:t xml:space="preserve"> el</w:t>
      </w:r>
      <w:r w:rsidRPr="0051698C">
        <w:rPr>
          <w:sz w:val="22"/>
          <w:szCs w:val="22"/>
        </w:rPr>
        <w:t xml:space="preserve"> párrafo 3.1 de la tercera disposición complementaria modificatoria de la Resolución de Superintendencia N.° </w:t>
      </w:r>
      <w:r w:rsidR="00A76CF2" w:rsidRPr="0051698C">
        <w:rPr>
          <w:sz w:val="22"/>
          <w:szCs w:val="22"/>
        </w:rPr>
        <w:t>0</w:t>
      </w:r>
      <w:r w:rsidRPr="0051698C">
        <w:rPr>
          <w:sz w:val="22"/>
          <w:szCs w:val="22"/>
        </w:rPr>
        <w:t>13-2019/SUNAT y norma modificatoria, en los términos siguientes:</w:t>
      </w:r>
    </w:p>
    <w:p w:rsidR="0054265E" w:rsidRPr="0051698C" w:rsidRDefault="00C353B0" w:rsidP="0054265E">
      <w:pPr>
        <w:pStyle w:val="NormalWeb"/>
        <w:ind w:left="0"/>
        <w:rPr>
          <w:rFonts w:ascii="Arial" w:hAnsi="Arial" w:cs="Arial"/>
          <w:color w:val="000000"/>
          <w:sz w:val="22"/>
          <w:szCs w:val="22"/>
        </w:rPr>
      </w:pPr>
      <w:r w:rsidRPr="0051698C">
        <w:rPr>
          <w:rFonts w:ascii="Arial" w:hAnsi="Arial" w:cs="Arial"/>
          <w:sz w:val="22"/>
          <w:szCs w:val="22"/>
        </w:rPr>
        <w:t>“</w:t>
      </w:r>
      <w:r w:rsidR="0054265E" w:rsidRPr="0051698C">
        <w:rPr>
          <w:rFonts w:ascii="Arial" w:hAnsi="Arial" w:cs="Arial"/>
          <w:sz w:val="22"/>
          <w:szCs w:val="22"/>
        </w:rPr>
        <w:t xml:space="preserve">3.1 </w:t>
      </w:r>
      <w:proofErr w:type="spellStart"/>
      <w:r w:rsidR="0054265E" w:rsidRPr="0051698C">
        <w:rPr>
          <w:rFonts w:ascii="Arial" w:hAnsi="Arial" w:cs="Arial"/>
          <w:sz w:val="22"/>
          <w:szCs w:val="22"/>
        </w:rPr>
        <w:t>Modifícase</w:t>
      </w:r>
      <w:proofErr w:type="spellEnd"/>
      <w:r w:rsidR="0054265E" w:rsidRPr="0051698C">
        <w:rPr>
          <w:rFonts w:ascii="Arial" w:hAnsi="Arial" w:cs="Arial"/>
          <w:sz w:val="22"/>
          <w:szCs w:val="22"/>
        </w:rPr>
        <w:t xml:space="preserve"> el literal b) </w:t>
      </w:r>
      <w:bookmarkStart w:id="44" w:name="_GoBack"/>
      <w:bookmarkEnd w:id="44"/>
      <w:r w:rsidR="004D4B7C" w:rsidRPr="004E371D">
        <w:rPr>
          <w:rFonts w:ascii="Arial" w:hAnsi="Arial" w:cs="Arial"/>
          <w:sz w:val="22"/>
          <w:szCs w:val="22"/>
        </w:rPr>
        <w:t>del numeral 2.13</w:t>
      </w:r>
      <w:r w:rsidR="003B1128" w:rsidRPr="004E371D">
        <w:rPr>
          <w:rFonts w:ascii="Arial" w:hAnsi="Arial" w:cs="Arial"/>
          <w:sz w:val="22"/>
          <w:szCs w:val="22"/>
        </w:rPr>
        <w:t>,</w:t>
      </w:r>
      <w:r w:rsidR="0041760B" w:rsidRPr="004E371D">
        <w:rPr>
          <w:rFonts w:ascii="Arial" w:hAnsi="Arial" w:cs="Arial"/>
          <w:sz w:val="22"/>
          <w:szCs w:val="22"/>
        </w:rPr>
        <w:t xml:space="preserve"> el numeral</w:t>
      </w:r>
      <w:r w:rsidR="0041760B" w:rsidRPr="0051698C">
        <w:rPr>
          <w:rFonts w:ascii="Arial" w:hAnsi="Arial" w:cs="Arial"/>
          <w:sz w:val="22"/>
          <w:szCs w:val="22"/>
        </w:rPr>
        <w:t xml:space="preserve"> 2.38</w:t>
      </w:r>
      <w:r w:rsidR="003B1128">
        <w:rPr>
          <w:rFonts w:ascii="Arial" w:hAnsi="Arial" w:cs="Arial"/>
          <w:sz w:val="22"/>
          <w:szCs w:val="22"/>
        </w:rPr>
        <w:t xml:space="preserve"> </w:t>
      </w:r>
      <w:r w:rsidR="003B1128" w:rsidRPr="007009A9">
        <w:rPr>
          <w:rFonts w:ascii="Arial" w:hAnsi="Arial" w:cs="Arial"/>
          <w:sz w:val="22"/>
          <w:szCs w:val="22"/>
        </w:rPr>
        <w:t>y el numeral 2.43</w:t>
      </w:r>
      <w:r w:rsidR="004D4B7C" w:rsidRPr="007009A9">
        <w:rPr>
          <w:rFonts w:ascii="Arial" w:hAnsi="Arial" w:cs="Arial"/>
          <w:sz w:val="22"/>
          <w:szCs w:val="22"/>
        </w:rPr>
        <w:t xml:space="preserve"> del artículo 2</w:t>
      </w:r>
      <w:r w:rsidR="0054265E" w:rsidRPr="007009A9">
        <w:rPr>
          <w:rFonts w:ascii="Arial" w:hAnsi="Arial" w:cs="Arial"/>
          <w:sz w:val="22"/>
          <w:szCs w:val="22"/>
        </w:rPr>
        <w:t xml:space="preserve"> de la Resolución de Superintendencia N.° 097-20</w:t>
      </w:r>
      <w:r w:rsidR="0054265E" w:rsidRPr="0051698C">
        <w:rPr>
          <w:rFonts w:ascii="Arial" w:hAnsi="Arial" w:cs="Arial"/>
          <w:sz w:val="22"/>
          <w:szCs w:val="22"/>
        </w:rPr>
        <w:t xml:space="preserve">12/SUNAT y normas modificatorias e </w:t>
      </w:r>
      <w:proofErr w:type="spellStart"/>
      <w:r w:rsidR="0054265E" w:rsidRPr="0051698C">
        <w:rPr>
          <w:rFonts w:ascii="Arial" w:hAnsi="Arial" w:cs="Arial"/>
          <w:sz w:val="22"/>
          <w:szCs w:val="22"/>
        </w:rPr>
        <w:t>incorpórase</w:t>
      </w:r>
      <w:proofErr w:type="spellEnd"/>
      <w:r w:rsidR="0054265E" w:rsidRPr="0051698C">
        <w:rPr>
          <w:rFonts w:ascii="Arial" w:hAnsi="Arial" w:cs="Arial"/>
          <w:sz w:val="22"/>
          <w:szCs w:val="22"/>
        </w:rPr>
        <w:t xml:space="preserve"> en dicho artículo los numerales 2.39, 2.40 y 2.41, en los siguientes términos:</w:t>
      </w:r>
    </w:p>
    <w:p w:rsidR="0054265E" w:rsidRPr="0051698C" w:rsidRDefault="0054265E" w:rsidP="0054265E">
      <w:pPr>
        <w:pStyle w:val="NormalWeb"/>
        <w:ind w:left="0"/>
        <w:rPr>
          <w:rFonts w:ascii="Arial" w:hAnsi="Arial" w:cs="Arial"/>
          <w:color w:val="000000"/>
          <w:sz w:val="22"/>
          <w:szCs w:val="22"/>
        </w:rPr>
      </w:pPr>
      <w:r w:rsidRPr="0051698C">
        <w:rPr>
          <w:rFonts w:ascii="Arial" w:hAnsi="Arial" w:cs="Arial"/>
          <w:color w:val="000000"/>
          <w:sz w:val="22"/>
          <w:szCs w:val="22"/>
        </w:rPr>
        <w:t>(…)</w:t>
      </w:r>
    </w:p>
    <w:p w:rsidR="0054265E" w:rsidRPr="0051698C" w:rsidRDefault="00291D06" w:rsidP="0054265E">
      <w:pPr>
        <w:pStyle w:val="Default"/>
        <w:rPr>
          <w:sz w:val="22"/>
          <w:szCs w:val="22"/>
        </w:rPr>
      </w:pPr>
      <w:r w:rsidRPr="0051698C">
        <w:rPr>
          <w:rFonts w:cs="Aharoni" w:hint="cs"/>
          <w:sz w:val="22"/>
          <w:szCs w:val="22"/>
        </w:rPr>
        <w:t>'</w:t>
      </w:r>
      <w:r w:rsidR="0054265E" w:rsidRPr="0051698C">
        <w:rPr>
          <w:sz w:val="22"/>
          <w:szCs w:val="22"/>
        </w:rPr>
        <w:t xml:space="preserve">Artículo 2°.- DEFINICIONES </w:t>
      </w:r>
    </w:p>
    <w:p w:rsidR="0054265E" w:rsidRPr="0051698C" w:rsidRDefault="0054265E" w:rsidP="0054265E">
      <w:pPr>
        <w:pStyle w:val="Default"/>
        <w:rPr>
          <w:sz w:val="22"/>
          <w:szCs w:val="22"/>
        </w:rPr>
      </w:pPr>
    </w:p>
    <w:p w:rsidR="0054265E" w:rsidRPr="0051698C" w:rsidRDefault="0054265E" w:rsidP="0054265E">
      <w:pPr>
        <w:pStyle w:val="Default"/>
        <w:rPr>
          <w:sz w:val="22"/>
          <w:szCs w:val="22"/>
        </w:rPr>
      </w:pPr>
      <w:r w:rsidRPr="0051698C">
        <w:rPr>
          <w:sz w:val="22"/>
          <w:szCs w:val="22"/>
        </w:rPr>
        <w:t>(…)</w:t>
      </w:r>
    </w:p>
    <w:p w:rsidR="0054265E" w:rsidRPr="0051698C" w:rsidRDefault="0054265E" w:rsidP="0054265E">
      <w:pPr>
        <w:pStyle w:val="Default"/>
        <w:rPr>
          <w:sz w:val="22"/>
          <w:szCs w:val="22"/>
        </w:rPr>
      </w:pPr>
      <w:r w:rsidRPr="0051698C">
        <w:rPr>
          <w:sz w:val="22"/>
          <w:szCs w:val="22"/>
        </w:rPr>
        <w:t xml:space="preserve"> </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2742"/>
        <w:gridCol w:w="282"/>
        <w:gridCol w:w="4802"/>
      </w:tblGrid>
      <w:tr w:rsidR="00C353B0" w:rsidRPr="0051698C" w:rsidTr="003B1128">
        <w:tc>
          <w:tcPr>
            <w:tcW w:w="645"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2.13</w:t>
            </w:r>
          </w:p>
        </w:tc>
        <w:tc>
          <w:tcPr>
            <w:tcW w:w="2742"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Formato digital</w:t>
            </w:r>
          </w:p>
        </w:tc>
        <w:tc>
          <w:tcPr>
            <w:tcW w:w="282"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w:t>
            </w:r>
          </w:p>
        </w:tc>
        <w:tc>
          <w:tcPr>
            <w:tcW w:w="4802" w:type="dxa"/>
          </w:tcPr>
          <w:p w:rsidR="004D4B7C" w:rsidRPr="0051698C" w:rsidRDefault="004D4B7C" w:rsidP="004D4B7C">
            <w:pPr>
              <w:autoSpaceDE w:val="0"/>
              <w:autoSpaceDN w:val="0"/>
              <w:adjustRightInd w:val="0"/>
              <w:spacing w:line="220" w:lineRule="atLeast"/>
              <w:jc w:val="both"/>
              <w:rPr>
                <w:rFonts w:ascii="Arial" w:hAnsi="Arial" w:cs="Arial"/>
                <w:bCs/>
              </w:rPr>
            </w:pPr>
            <w:r w:rsidRPr="0051698C">
              <w:rPr>
                <w:rFonts w:ascii="Arial" w:hAnsi="Arial" w:cs="Arial"/>
                <w:bCs/>
              </w:rPr>
              <w:t>(…)</w:t>
            </w:r>
          </w:p>
          <w:p w:rsidR="00125F6F" w:rsidRPr="0051698C" w:rsidRDefault="00125F6F" w:rsidP="004D4B7C">
            <w:pPr>
              <w:autoSpaceDE w:val="0"/>
              <w:autoSpaceDN w:val="0"/>
              <w:adjustRightInd w:val="0"/>
              <w:spacing w:line="220" w:lineRule="atLeast"/>
              <w:jc w:val="both"/>
              <w:rPr>
                <w:rFonts w:ascii="Arial" w:hAnsi="Arial" w:cs="Arial"/>
                <w:bCs/>
              </w:rPr>
            </w:pPr>
          </w:p>
          <w:p w:rsidR="0041760B" w:rsidRPr="0051698C" w:rsidRDefault="00C353B0" w:rsidP="0041760B">
            <w:pPr>
              <w:pStyle w:val="Prrafodelista"/>
              <w:numPr>
                <w:ilvl w:val="0"/>
                <w:numId w:val="15"/>
              </w:numPr>
              <w:autoSpaceDE w:val="0"/>
              <w:autoSpaceDN w:val="0"/>
              <w:adjustRightInd w:val="0"/>
              <w:spacing w:line="220" w:lineRule="atLeast"/>
              <w:ind w:left="317" w:hanging="317"/>
              <w:jc w:val="both"/>
              <w:rPr>
                <w:rFonts w:ascii="Arial" w:hAnsi="Arial" w:cs="Arial"/>
                <w:b/>
                <w:bCs/>
              </w:rPr>
            </w:pPr>
            <w:r w:rsidRPr="0051698C">
              <w:rPr>
                <w:rFonts w:ascii="Arial" w:hAnsi="Arial" w:cs="Arial"/>
                <w:color w:val="000000"/>
              </w:rPr>
              <w:t>Formato XML, en el caso del resumen diario, la comunicación de baja, el recibo electrónico SP, el DAE, el CRE, el CPE, el resumen diario de reversiones del comprobante de retención electrónica y el resumen diario de reversiones del comprobante de percepción electrónica.</w:t>
            </w:r>
          </w:p>
          <w:p w:rsidR="00C353B0" w:rsidRPr="0051698C" w:rsidRDefault="00C353B0" w:rsidP="00DC071F">
            <w:pPr>
              <w:autoSpaceDE w:val="0"/>
              <w:autoSpaceDN w:val="0"/>
              <w:adjustRightInd w:val="0"/>
              <w:spacing w:line="220" w:lineRule="atLeast"/>
              <w:ind w:left="360"/>
              <w:jc w:val="both"/>
              <w:rPr>
                <w:rFonts w:ascii="Arial" w:hAnsi="Arial" w:cs="Arial"/>
              </w:rPr>
            </w:pPr>
          </w:p>
        </w:tc>
      </w:tr>
      <w:tr w:rsidR="0041760B" w:rsidRPr="0051698C" w:rsidTr="003B1128">
        <w:tc>
          <w:tcPr>
            <w:tcW w:w="645" w:type="dxa"/>
          </w:tcPr>
          <w:p w:rsidR="0041760B" w:rsidRPr="0051698C" w:rsidRDefault="0041760B"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w:t>
            </w:r>
          </w:p>
          <w:p w:rsidR="0041760B" w:rsidRPr="0051698C" w:rsidRDefault="0041760B" w:rsidP="00DC071F">
            <w:pPr>
              <w:pStyle w:val="NormalWeb"/>
              <w:spacing w:before="0" w:beforeAutospacing="0" w:after="0" w:afterAutospacing="0" w:line="220" w:lineRule="atLeast"/>
              <w:ind w:left="0"/>
              <w:rPr>
                <w:rFonts w:ascii="Arial" w:hAnsi="Arial" w:cs="Arial"/>
                <w:sz w:val="22"/>
                <w:szCs w:val="22"/>
                <w:lang w:val="es-PE"/>
              </w:rPr>
            </w:pPr>
          </w:p>
        </w:tc>
        <w:tc>
          <w:tcPr>
            <w:tcW w:w="2742" w:type="dxa"/>
          </w:tcPr>
          <w:p w:rsidR="0041760B" w:rsidRPr="0051698C" w:rsidRDefault="0041760B" w:rsidP="00DC071F">
            <w:pPr>
              <w:pStyle w:val="NormalWeb"/>
              <w:spacing w:before="0" w:beforeAutospacing="0" w:after="0" w:afterAutospacing="0" w:line="220" w:lineRule="atLeast"/>
              <w:ind w:left="0"/>
              <w:rPr>
                <w:rFonts w:ascii="Arial" w:hAnsi="Arial" w:cs="Arial"/>
                <w:sz w:val="22"/>
                <w:szCs w:val="22"/>
                <w:lang w:val="es-PE"/>
              </w:rPr>
            </w:pPr>
          </w:p>
        </w:tc>
        <w:tc>
          <w:tcPr>
            <w:tcW w:w="282" w:type="dxa"/>
          </w:tcPr>
          <w:p w:rsidR="0041760B" w:rsidRPr="0051698C" w:rsidRDefault="0041760B" w:rsidP="00DC071F">
            <w:pPr>
              <w:pStyle w:val="NormalWeb"/>
              <w:spacing w:before="0" w:beforeAutospacing="0" w:after="0" w:afterAutospacing="0" w:line="220" w:lineRule="atLeast"/>
              <w:ind w:left="0"/>
              <w:rPr>
                <w:rFonts w:ascii="Arial" w:hAnsi="Arial" w:cs="Arial"/>
                <w:sz w:val="22"/>
                <w:szCs w:val="22"/>
                <w:lang w:val="es-PE"/>
              </w:rPr>
            </w:pPr>
          </w:p>
        </w:tc>
        <w:tc>
          <w:tcPr>
            <w:tcW w:w="4802" w:type="dxa"/>
          </w:tcPr>
          <w:p w:rsidR="0041760B" w:rsidRPr="0051698C" w:rsidRDefault="0041760B" w:rsidP="004D4B7C">
            <w:pPr>
              <w:autoSpaceDE w:val="0"/>
              <w:autoSpaceDN w:val="0"/>
              <w:adjustRightInd w:val="0"/>
              <w:spacing w:line="220" w:lineRule="atLeast"/>
              <w:jc w:val="both"/>
              <w:rPr>
                <w:rFonts w:ascii="Arial" w:hAnsi="Arial" w:cs="Arial"/>
                <w:bCs/>
              </w:rPr>
            </w:pPr>
          </w:p>
        </w:tc>
      </w:tr>
      <w:tr w:rsidR="00C353B0" w:rsidRPr="0051698C" w:rsidTr="003B1128">
        <w:tc>
          <w:tcPr>
            <w:tcW w:w="645" w:type="dxa"/>
          </w:tcPr>
          <w:p w:rsidR="00C353B0" w:rsidRPr="0051698C" w:rsidRDefault="009F4DD8"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2.38</w:t>
            </w:r>
          </w:p>
          <w:p w:rsidR="00DC071F" w:rsidRPr="0051698C" w:rsidRDefault="00DC071F" w:rsidP="00DC071F">
            <w:pPr>
              <w:pStyle w:val="NormalWeb"/>
              <w:spacing w:before="0" w:beforeAutospacing="0" w:after="0" w:afterAutospacing="0" w:line="220" w:lineRule="atLeast"/>
              <w:ind w:left="0"/>
              <w:rPr>
                <w:rFonts w:ascii="Arial" w:hAnsi="Arial" w:cs="Arial"/>
                <w:sz w:val="22"/>
                <w:szCs w:val="22"/>
                <w:lang w:val="es-PE"/>
              </w:rPr>
            </w:pPr>
          </w:p>
        </w:tc>
        <w:tc>
          <w:tcPr>
            <w:tcW w:w="2742" w:type="dxa"/>
          </w:tcPr>
          <w:p w:rsidR="00C353B0" w:rsidRPr="0051698C" w:rsidRDefault="009F4DD8"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Recibo electrónico por servicios públicos (recibo electrónico SP)</w:t>
            </w:r>
          </w:p>
        </w:tc>
        <w:tc>
          <w:tcPr>
            <w:tcW w:w="282"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p>
        </w:tc>
        <w:tc>
          <w:tcPr>
            <w:tcW w:w="4802" w:type="dxa"/>
          </w:tcPr>
          <w:p w:rsidR="00C353B0" w:rsidRPr="0051698C" w:rsidRDefault="009F4DD8" w:rsidP="0041760B">
            <w:pPr>
              <w:autoSpaceDE w:val="0"/>
              <w:autoSpaceDN w:val="0"/>
              <w:adjustRightInd w:val="0"/>
              <w:spacing w:line="220" w:lineRule="atLeast"/>
              <w:jc w:val="both"/>
              <w:rPr>
                <w:rFonts w:ascii="Arial" w:hAnsi="Arial" w:cs="Arial"/>
              </w:rPr>
            </w:pPr>
            <w:r w:rsidRPr="0051698C">
              <w:rPr>
                <w:rFonts w:ascii="Arial" w:hAnsi="Arial" w:cs="Arial"/>
              </w:rPr>
              <w:t xml:space="preserve">Al comprobante de pago electrónico emitido por los servicios a que se refieren los literales d) y o) del inciso 6.1 del numeral 6 del artículo 4 del Reglamento de Comprobantes de Pago, siempre que el documento electrónico que lo soporte cuente con los requisitos mínimos que se indican como tales en los anexos </w:t>
            </w:r>
            <w:proofErr w:type="spellStart"/>
            <w:r w:rsidRPr="0051698C">
              <w:rPr>
                <w:rFonts w:ascii="Arial" w:hAnsi="Arial" w:cs="Arial"/>
              </w:rPr>
              <w:t>N.°</w:t>
            </w:r>
            <w:r w:rsidRPr="0051698C">
              <w:rPr>
                <w:rFonts w:ascii="Arial" w:hAnsi="Arial" w:cs="Arial"/>
                <w:vertAlign w:val="superscript"/>
              </w:rPr>
              <w:t>s</w:t>
            </w:r>
            <w:proofErr w:type="spellEnd"/>
            <w:r w:rsidRPr="0051698C">
              <w:rPr>
                <w:rFonts w:ascii="Arial" w:hAnsi="Arial" w:cs="Arial"/>
              </w:rPr>
              <w:t xml:space="preserve"> 23 y 24, según corresponda.</w:t>
            </w:r>
          </w:p>
          <w:p w:rsidR="009F4DD8" w:rsidRPr="0051698C" w:rsidRDefault="009F4DD8" w:rsidP="00DC071F">
            <w:pPr>
              <w:autoSpaceDE w:val="0"/>
              <w:autoSpaceDN w:val="0"/>
              <w:adjustRightInd w:val="0"/>
              <w:spacing w:line="220" w:lineRule="atLeast"/>
              <w:ind w:left="360"/>
              <w:jc w:val="both"/>
              <w:rPr>
                <w:rFonts w:ascii="Arial" w:hAnsi="Arial" w:cs="Arial"/>
                <w:color w:val="000000"/>
              </w:rPr>
            </w:pPr>
          </w:p>
        </w:tc>
      </w:tr>
      <w:tr w:rsidR="00C353B0" w:rsidRPr="0051698C" w:rsidTr="003B1128">
        <w:tc>
          <w:tcPr>
            <w:tcW w:w="645"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2.39</w:t>
            </w:r>
          </w:p>
        </w:tc>
        <w:tc>
          <w:tcPr>
            <w:tcW w:w="2742"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rPr>
              <w:t>DAE del operador</w:t>
            </w:r>
          </w:p>
        </w:tc>
        <w:tc>
          <w:tcPr>
            <w:tcW w:w="282"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w:t>
            </w:r>
          </w:p>
        </w:tc>
        <w:tc>
          <w:tcPr>
            <w:tcW w:w="4802" w:type="dxa"/>
          </w:tcPr>
          <w:p w:rsidR="00C353B0" w:rsidRPr="0051698C" w:rsidRDefault="00C353B0" w:rsidP="00DC071F">
            <w:pPr>
              <w:autoSpaceDE w:val="0"/>
              <w:autoSpaceDN w:val="0"/>
              <w:adjustRightInd w:val="0"/>
              <w:spacing w:line="220" w:lineRule="atLeast"/>
              <w:jc w:val="both"/>
              <w:rPr>
                <w:rFonts w:ascii="Arial" w:hAnsi="Arial" w:cs="Arial"/>
                <w:b/>
                <w:bCs/>
                <w:color w:val="000000"/>
              </w:rPr>
            </w:pPr>
            <w:r w:rsidRPr="0051698C">
              <w:rPr>
                <w:rFonts w:ascii="Arial" w:hAnsi="Arial" w:cs="Arial"/>
              </w:rPr>
              <w:t xml:space="preserve">Al DAE que se emite en el supuesto señalado </w:t>
            </w:r>
            <w:r w:rsidRPr="0051698C">
              <w:rPr>
                <w:rFonts w:ascii="Arial" w:hAnsi="Arial" w:cs="Arial"/>
              </w:rPr>
              <w:lastRenderedPageBreak/>
              <w:t>en el literal m) del inciso 6.1 del numeral 6 del artículo 4 del Reglamento de Comprobantes de Pago</w:t>
            </w:r>
            <w:r w:rsidRPr="0051698C">
              <w:rPr>
                <w:rFonts w:ascii="Arial" w:hAnsi="Arial" w:cs="Arial"/>
                <w:b/>
                <w:bCs/>
                <w:color w:val="000000"/>
              </w:rPr>
              <w:t>.</w:t>
            </w:r>
          </w:p>
          <w:p w:rsidR="004D4B7C" w:rsidRPr="0051698C" w:rsidRDefault="004D4B7C" w:rsidP="00DC071F">
            <w:pPr>
              <w:autoSpaceDE w:val="0"/>
              <w:autoSpaceDN w:val="0"/>
              <w:adjustRightInd w:val="0"/>
              <w:spacing w:line="220" w:lineRule="atLeast"/>
              <w:jc w:val="both"/>
              <w:rPr>
                <w:rFonts w:ascii="Arial" w:hAnsi="Arial" w:cs="Arial"/>
                <w:color w:val="000000"/>
              </w:rPr>
            </w:pPr>
          </w:p>
        </w:tc>
      </w:tr>
      <w:tr w:rsidR="00C353B0" w:rsidRPr="0051698C" w:rsidTr="003B1128">
        <w:tc>
          <w:tcPr>
            <w:tcW w:w="645"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lastRenderedPageBreak/>
              <w:t>2.40</w:t>
            </w:r>
          </w:p>
        </w:tc>
        <w:tc>
          <w:tcPr>
            <w:tcW w:w="2742"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DAE</w:t>
            </w:r>
            <w:r w:rsidRPr="0051698C">
              <w:rPr>
                <w:rFonts w:ascii="Arial" w:hAnsi="Arial" w:cs="Arial"/>
                <w:sz w:val="22"/>
                <w:szCs w:val="22"/>
              </w:rPr>
              <w:t xml:space="preserve"> del partícipe</w:t>
            </w:r>
          </w:p>
        </w:tc>
        <w:tc>
          <w:tcPr>
            <w:tcW w:w="282" w:type="dxa"/>
          </w:tcPr>
          <w:p w:rsidR="00C353B0" w:rsidRPr="0051698C" w:rsidRDefault="00C353B0" w:rsidP="00DC071F">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w:t>
            </w:r>
          </w:p>
        </w:tc>
        <w:tc>
          <w:tcPr>
            <w:tcW w:w="4802" w:type="dxa"/>
          </w:tcPr>
          <w:p w:rsidR="00C353B0" w:rsidRPr="0051698C" w:rsidRDefault="00C353B0" w:rsidP="00DC071F">
            <w:pPr>
              <w:autoSpaceDE w:val="0"/>
              <w:autoSpaceDN w:val="0"/>
              <w:adjustRightInd w:val="0"/>
              <w:spacing w:line="220" w:lineRule="atLeast"/>
              <w:jc w:val="both"/>
              <w:rPr>
                <w:rFonts w:ascii="Arial" w:hAnsi="Arial" w:cs="Arial"/>
              </w:rPr>
            </w:pPr>
            <w:r w:rsidRPr="0051698C">
              <w:rPr>
                <w:rFonts w:ascii="Arial" w:hAnsi="Arial" w:cs="Arial"/>
              </w:rPr>
              <w:t>Al DAE que se emite en el supuesto señalado en el literal n) del inciso 6.1 del numeral 6 del artículo 4 del Reglamento de Comprobantes de Pago.</w:t>
            </w:r>
          </w:p>
          <w:p w:rsidR="004D4B7C" w:rsidRPr="0051698C" w:rsidRDefault="004D4B7C" w:rsidP="00DC071F">
            <w:pPr>
              <w:autoSpaceDE w:val="0"/>
              <w:autoSpaceDN w:val="0"/>
              <w:adjustRightInd w:val="0"/>
              <w:spacing w:line="220" w:lineRule="atLeast"/>
              <w:jc w:val="both"/>
              <w:rPr>
                <w:rFonts w:ascii="Arial" w:hAnsi="Arial" w:cs="Arial"/>
              </w:rPr>
            </w:pPr>
          </w:p>
        </w:tc>
      </w:tr>
      <w:tr w:rsidR="00C353B0" w:rsidRPr="0051698C" w:rsidTr="003B1128">
        <w:tc>
          <w:tcPr>
            <w:tcW w:w="645" w:type="dxa"/>
          </w:tcPr>
          <w:p w:rsidR="00C353B0" w:rsidRPr="0051698C" w:rsidRDefault="007E456F" w:rsidP="007009A9">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2.41</w:t>
            </w:r>
          </w:p>
        </w:tc>
        <w:tc>
          <w:tcPr>
            <w:tcW w:w="2742" w:type="dxa"/>
          </w:tcPr>
          <w:p w:rsidR="00C353B0" w:rsidRPr="0051698C" w:rsidRDefault="00C353B0" w:rsidP="007009A9">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rPr>
              <w:t>DAE de las empresas que desempeñan el rol adquirente</w:t>
            </w:r>
          </w:p>
        </w:tc>
        <w:tc>
          <w:tcPr>
            <w:tcW w:w="282" w:type="dxa"/>
          </w:tcPr>
          <w:p w:rsidR="00C353B0" w:rsidRPr="0051698C" w:rsidRDefault="00C353B0" w:rsidP="007009A9">
            <w:pPr>
              <w:pStyle w:val="NormalWeb"/>
              <w:spacing w:before="0" w:beforeAutospacing="0" w:after="0" w:afterAutospacing="0" w:line="220" w:lineRule="atLeast"/>
              <w:ind w:left="0"/>
              <w:rPr>
                <w:rFonts w:ascii="Arial" w:hAnsi="Arial" w:cs="Arial"/>
                <w:sz w:val="22"/>
                <w:szCs w:val="22"/>
                <w:lang w:val="es-PE"/>
              </w:rPr>
            </w:pPr>
            <w:r w:rsidRPr="0051698C">
              <w:rPr>
                <w:rFonts w:ascii="Arial" w:hAnsi="Arial" w:cs="Arial"/>
                <w:sz w:val="22"/>
                <w:szCs w:val="22"/>
                <w:lang w:val="es-PE"/>
              </w:rPr>
              <w:t>:</w:t>
            </w:r>
          </w:p>
        </w:tc>
        <w:tc>
          <w:tcPr>
            <w:tcW w:w="4802" w:type="dxa"/>
          </w:tcPr>
          <w:p w:rsidR="003B1128" w:rsidRPr="0051698C" w:rsidRDefault="00C353B0" w:rsidP="007009A9">
            <w:pPr>
              <w:autoSpaceDE w:val="0"/>
              <w:autoSpaceDN w:val="0"/>
              <w:adjustRightInd w:val="0"/>
              <w:spacing w:line="220" w:lineRule="atLeast"/>
              <w:jc w:val="both"/>
              <w:rPr>
                <w:rFonts w:ascii="Arial" w:hAnsi="Arial" w:cs="Arial"/>
              </w:rPr>
            </w:pPr>
            <w:r w:rsidRPr="0051698C">
              <w:rPr>
                <w:rFonts w:ascii="Arial" w:hAnsi="Arial" w:cs="Arial"/>
              </w:rPr>
              <w:t>Al DAE que se emite en los supuestos señalados en los literales j) y q) del inciso 6.1 del numeral 6 del artículo 4 del Reglamento de Comprobantes de Pago.</w:t>
            </w:r>
          </w:p>
        </w:tc>
      </w:tr>
      <w:tr w:rsidR="003B1128" w:rsidRPr="0051698C" w:rsidTr="003B1128">
        <w:tc>
          <w:tcPr>
            <w:tcW w:w="645" w:type="dxa"/>
          </w:tcPr>
          <w:p w:rsidR="003B1128" w:rsidRDefault="003B1128" w:rsidP="007009A9">
            <w:pPr>
              <w:pStyle w:val="NormalWeb"/>
              <w:spacing w:before="0" w:beforeAutospacing="0" w:after="0" w:afterAutospacing="0" w:line="220" w:lineRule="atLeast"/>
              <w:ind w:left="0"/>
              <w:rPr>
                <w:rFonts w:ascii="Arial" w:hAnsi="Arial" w:cs="Arial"/>
                <w:sz w:val="22"/>
                <w:szCs w:val="22"/>
                <w:lang w:val="es-PE"/>
              </w:rPr>
            </w:pPr>
            <w:r>
              <w:rPr>
                <w:rFonts w:ascii="Arial" w:hAnsi="Arial" w:cs="Arial"/>
                <w:sz w:val="22"/>
                <w:szCs w:val="22"/>
                <w:lang w:val="es-PE"/>
              </w:rPr>
              <w:t>(…)</w:t>
            </w:r>
          </w:p>
          <w:p w:rsidR="003B1128" w:rsidRPr="0051698C" w:rsidRDefault="003B1128" w:rsidP="007009A9">
            <w:pPr>
              <w:pStyle w:val="NormalWeb"/>
              <w:spacing w:before="0" w:beforeAutospacing="0" w:after="0" w:afterAutospacing="0" w:line="220" w:lineRule="atLeast"/>
              <w:ind w:left="0"/>
              <w:rPr>
                <w:rFonts w:ascii="Arial" w:hAnsi="Arial" w:cs="Arial"/>
                <w:sz w:val="22"/>
                <w:szCs w:val="22"/>
                <w:lang w:val="es-PE"/>
              </w:rPr>
            </w:pPr>
          </w:p>
        </w:tc>
        <w:tc>
          <w:tcPr>
            <w:tcW w:w="2742" w:type="dxa"/>
          </w:tcPr>
          <w:p w:rsidR="003B1128" w:rsidRPr="0051698C" w:rsidRDefault="003B1128" w:rsidP="007009A9">
            <w:pPr>
              <w:pStyle w:val="NormalWeb"/>
              <w:spacing w:before="0" w:beforeAutospacing="0" w:after="0" w:afterAutospacing="0" w:line="220" w:lineRule="atLeast"/>
              <w:ind w:left="0"/>
              <w:rPr>
                <w:rFonts w:ascii="Arial" w:hAnsi="Arial" w:cs="Arial"/>
                <w:sz w:val="22"/>
                <w:szCs w:val="22"/>
              </w:rPr>
            </w:pPr>
          </w:p>
        </w:tc>
        <w:tc>
          <w:tcPr>
            <w:tcW w:w="282" w:type="dxa"/>
          </w:tcPr>
          <w:p w:rsidR="003B1128" w:rsidRPr="0051698C" w:rsidRDefault="003B1128" w:rsidP="007009A9">
            <w:pPr>
              <w:pStyle w:val="NormalWeb"/>
              <w:spacing w:before="0" w:beforeAutospacing="0" w:after="0" w:afterAutospacing="0" w:line="220" w:lineRule="atLeast"/>
              <w:ind w:left="0"/>
              <w:rPr>
                <w:rFonts w:ascii="Arial" w:hAnsi="Arial" w:cs="Arial"/>
                <w:sz w:val="22"/>
                <w:szCs w:val="22"/>
                <w:lang w:val="es-PE"/>
              </w:rPr>
            </w:pPr>
          </w:p>
        </w:tc>
        <w:tc>
          <w:tcPr>
            <w:tcW w:w="4802" w:type="dxa"/>
          </w:tcPr>
          <w:p w:rsidR="003B1128" w:rsidRPr="0051698C" w:rsidRDefault="003B1128" w:rsidP="007009A9">
            <w:pPr>
              <w:autoSpaceDE w:val="0"/>
              <w:autoSpaceDN w:val="0"/>
              <w:adjustRightInd w:val="0"/>
              <w:spacing w:line="220" w:lineRule="atLeast"/>
              <w:jc w:val="both"/>
              <w:rPr>
                <w:rFonts w:ascii="Arial" w:hAnsi="Arial" w:cs="Arial"/>
              </w:rPr>
            </w:pPr>
          </w:p>
        </w:tc>
      </w:tr>
      <w:tr w:rsidR="003B1128" w:rsidRPr="0051698C" w:rsidTr="003B1128">
        <w:tc>
          <w:tcPr>
            <w:tcW w:w="645" w:type="dxa"/>
          </w:tcPr>
          <w:p w:rsidR="003B1128" w:rsidRPr="007009A9" w:rsidRDefault="003B1128" w:rsidP="007009A9">
            <w:pPr>
              <w:pStyle w:val="NormalWeb"/>
              <w:spacing w:before="0" w:beforeAutospacing="0" w:after="0" w:afterAutospacing="0" w:line="220" w:lineRule="atLeast"/>
              <w:ind w:left="0"/>
              <w:rPr>
                <w:rFonts w:ascii="Arial" w:hAnsi="Arial" w:cs="Arial"/>
                <w:color w:val="000000"/>
                <w:sz w:val="22"/>
                <w:szCs w:val="22"/>
              </w:rPr>
            </w:pPr>
            <w:r w:rsidRPr="007009A9">
              <w:rPr>
                <w:rFonts w:ascii="Arial" w:hAnsi="Arial" w:cs="Arial"/>
                <w:color w:val="000000"/>
                <w:sz w:val="22"/>
                <w:szCs w:val="22"/>
              </w:rPr>
              <w:t>2.43</w:t>
            </w:r>
          </w:p>
        </w:tc>
        <w:tc>
          <w:tcPr>
            <w:tcW w:w="2742" w:type="dxa"/>
          </w:tcPr>
          <w:p w:rsidR="003B1128" w:rsidRPr="007009A9" w:rsidRDefault="003B1128" w:rsidP="007009A9">
            <w:pPr>
              <w:spacing w:line="220" w:lineRule="atLeast"/>
              <w:jc w:val="both"/>
              <w:rPr>
                <w:rFonts w:ascii="Arial" w:eastAsia="Times New Roman" w:hAnsi="Arial" w:cs="Arial"/>
                <w:color w:val="000000"/>
                <w:lang w:eastAsia="es-PE"/>
              </w:rPr>
            </w:pPr>
            <w:r w:rsidRPr="007009A9">
              <w:rPr>
                <w:rFonts w:ascii="Arial" w:eastAsia="Times New Roman" w:hAnsi="Arial" w:cs="Arial"/>
                <w:color w:val="000000"/>
                <w:lang w:eastAsia="es-PE"/>
              </w:rPr>
              <w:t>Representación digital</w:t>
            </w:r>
          </w:p>
        </w:tc>
        <w:tc>
          <w:tcPr>
            <w:tcW w:w="282" w:type="dxa"/>
          </w:tcPr>
          <w:p w:rsidR="003B1128" w:rsidRPr="007009A9" w:rsidRDefault="003B1128" w:rsidP="007009A9">
            <w:pPr>
              <w:spacing w:line="220" w:lineRule="atLeast"/>
              <w:jc w:val="center"/>
              <w:rPr>
                <w:rFonts w:ascii="Arial" w:eastAsia="Times New Roman" w:hAnsi="Arial" w:cs="Arial"/>
                <w:color w:val="000000"/>
                <w:lang w:eastAsia="es-PE"/>
              </w:rPr>
            </w:pPr>
            <w:r w:rsidRPr="007009A9">
              <w:rPr>
                <w:rFonts w:ascii="Arial" w:eastAsia="Times New Roman" w:hAnsi="Arial" w:cs="Arial"/>
                <w:color w:val="000000"/>
                <w:lang w:eastAsia="es-PE"/>
              </w:rPr>
              <w:t>:</w:t>
            </w:r>
          </w:p>
        </w:tc>
        <w:tc>
          <w:tcPr>
            <w:tcW w:w="4802" w:type="dxa"/>
          </w:tcPr>
          <w:p w:rsidR="003B1128" w:rsidRPr="007009A9" w:rsidRDefault="003B1128" w:rsidP="007009A9">
            <w:pPr>
              <w:spacing w:line="220" w:lineRule="atLeast"/>
              <w:jc w:val="both"/>
              <w:rPr>
                <w:rFonts w:ascii="Arial" w:hAnsi="Arial" w:cs="Arial"/>
                <w:color w:val="000000"/>
                <w:lang w:val="es-MX"/>
              </w:rPr>
            </w:pPr>
            <w:r w:rsidRPr="007009A9">
              <w:rPr>
                <w:rFonts w:ascii="Arial" w:hAnsi="Arial" w:cs="Arial"/>
              </w:rPr>
              <w:t xml:space="preserve">Al resumen del recibo electrónico SP o de la nota electrónica en formato digital, al que alude el segundo párrafo del artículo 2 y el último párrafo del artículo 3 del Decreto Ley N.° 25632 y normas modificatorias, que contiene la información mínima que se indica en </w:t>
            </w:r>
            <w:r w:rsidR="00A47835" w:rsidRPr="007009A9">
              <w:rPr>
                <w:rFonts w:ascii="Arial" w:hAnsi="Arial" w:cs="Arial"/>
              </w:rPr>
              <w:t xml:space="preserve">los </w:t>
            </w:r>
            <w:r w:rsidRPr="007009A9">
              <w:rPr>
                <w:rFonts w:ascii="Arial" w:hAnsi="Arial" w:cs="Arial"/>
              </w:rPr>
              <w:t>anexo</w:t>
            </w:r>
            <w:r w:rsidR="00A47835" w:rsidRPr="007009A9">
              <w:rPr>
                <w:rFonts w:ascii="Arial" w:hAnsi="Arial" w:cs="Arial"/>
              </w:rPr>
              <w:t>s</w:t>
            </w:r>
            <w:r w:rsidRPr="007009A9">
              <w:rPr>
                <w:rFonts w:ascii="Arial" w:hAnsi="Arial" w:cs="Arial"/>
              </w:rPr>
              <w:t xml:space="preserve"> </w:t>
            </w:r>
            <w:proofErr w:type="spellStart"/>
            <w:r w:rsidRPr="007009A9">
              <w:rPr>
                <w:rFonts w:ascii="Arial" w:hAnsi="Arial" w:cs="Arial"/>
              </w:rPr>
              <w:t>N.°</w:t>
            </w:r>
            <w:r w:rsidR="00A47835" w:rsidRPr="007009A9">
              <w:rPr>
                <w:rFonts w:ascii="Arial" w:hAnsi="Arial" w:cs="Arial"/>
                <w:vertAlign w:val="superscript"/>
              </w:rPr>
              <w:t>s</w:t>
            </w:r>
            <w:proofErr w:type="spellEnd"/>
            <w:r w:rsidRPr="007009A9">
              <w:rPr>
                <w:rFonts w:ascii="Arial" w:hAnsi="Arial" w:cs="Arial"/>
              </w:rPr>
              <w:t xml:space="preserve"> 23</w:t>
            </w:r>
            <w:r w:rsidR="00A47835" w:rsidRPr="007009A9">
              <w:rPr>
                <w:rFonts w:ascii="Arial" w:hAnsi="Arial" w:cs="Arial"/>
              </w:rPr>
              <w:t xml:space="preserve"> y 24</w:t>
            </w:r>
            <w:r w:rsidRPr="007009A9">
              <w:rPr>
                <w:rFonts w:ascii="Arial" w:hAnsi="Arial" w:cs="Arial"/>
              </w:rPr>
              <w:t>.</w:t>
            </w:r>
            <w:r w:rsidRPr="007009A9">
              <w:rPr>
                <w:rFonts w:ascii="Arial" w:hAnsi="Arial" w:cs="Aharoni" w:hint="cs"/>
              </w:rPr>
              <w:t>'</w:t>
            </w:r>
            <w:r w:rsidRPr="007009A9">
              <w:rPr>
                <w:rFonts w:ascii="Arial" w:hAnsi="Arial" w:cs="Arial"/>
              </w:rPr>
              <w:t>”</w:t>
            </w:r>
          </w:p>
        </w:tc>
      </w:tr>
    </w:tbl>
    <w:p w:rsidR="0041760B" w:rsidRDefault="0041760B" w:rsidP="007009A9">
      <w:pPr>
        <w:pStyle w:val="Default"/>
        <w:spacing w:line="220" w:lineRule="atLeast"/>
        <w:jc w:val="both"/>
        <w:rPr>
          <w:bCs/>
          <w:sz w:val="22"/>
          <w:szCs w:val="22"/>
        </w:rPr>
      </w:pPr>
      <w:bookmarkStart w:id="45" w:name="JD_013-2019-SUNAT32"/>
      <w:bookmarkEnd w:id="45"/>
    </w:p>
    <w:p w:rsidR="003B1128" w:rsidRPr="003B1128" w:rsidRDefault="003B1128" w:rsidP="00DC071F">
      <w:pPr>
        <w:pStyle w:val="Default"/>
        <w:jc w:val="both"/>
        <w:rPr>
          <w:bCs/>
          <w:sz w:val="22"/>
          <w:szCs w:val="22"/>
          <w:lang w:val="es-MX"/>
        </w:rPr>
      </w:pPr>
    </w:p>
    <w:p w:rsidR="007E456F" w:rsidRPr="0051698C" w:rsidRDefault="007E456F" w:rsidP="00DC071F">
      <w:pPr>
        <w:pStyle w:val="Default"/>
        <w:jc w:val="both"/>
        <w:rPr>
          <w:bCs/>
          <w:sz w:val="22"/>
          <w:szCs w:val="22"/>
        </w:rPr>
      </w:pPr>
      <w:r w:rsidRPr="0051698C">
        <w:rPr>
          <w:bCs/>
          <w:sz w:val="22"/>
          <w:szCs w:val="22"/>
        </w:rPr>
        <w:t xml:space="preserve">5.4 </w:t>
      </w:r>
      <w:proofErr w:type="spellStart"/>
      <w:r w:rsidRPr="0051698C">
        <w:rPr>
          <w:bCs/>
          <w:sz w:val="22"/>
          <w:szCs w:val="22"/>
        </w:rPr>
        <w:t>Modifícase</w:t>
      </w:r>
      <w:proofErr w:type="spellEnd"/>
      <w:r w:rsidRPr="0051698C">
        <w:rPr>
          <w:bCs/>
          <w:sz w:val="22"/>
          <w:szCs w:val="22"/>
        </w:rPr>
        <w:t xml:space="preserve"> el</w:t>
      </w:r>
      <w:r w:rsidRPr="0051698C">
        <w:rPr>
          <w:sz w:val="22"/>
          <w:szCs w:val="22"/>
        </w:rPr>
        <w:t xml:space="preserve"> párrafo 3.2 de la tercera disposición complementaria modificatoria de la Resolución de Superintendencia N.° </w:t>
      </w:r>
      <w:r w:rsidR="00A76CF2" w:rsidRPr="0051698C">
        <w:rPr>
          <w:sz w:val="22"/>
          <w:szCs w:val="22"/>
        </w:rPr>
        <w:t>0</w:t>
      </w:r>
      <w:r w:rsidRPr="0051698C">
        <w:rPr>
          <w:sz w:val="22"/>
          <w:szCs w:val="22"/>
        </w:rPr>
        <w:t>13-2019/SUNAT y norma modificatoria, en los términos siguientes:</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 xml:space="preserve">“3.2 </w:t>
      </w:r>
      <w:proofErr w:type="spellStart"/>
      <w:r w:rsidRPr="0051698C">
        <w:rPr>
          <w:rFonts w:ascii="Arial" w:hAnsi="Arial" w:cs="Arial"/>
          <w:color w:val="000000"/>
          <w:sz w:val="22"/>
          <w:szCs w:val="22"/>
        </w:rPr>
        <w:t>Modifícase</w:t>
      </w:r>
      <w:proofErr w:type="spellEnd"/>
      <w:r w:rsidRPr="0051698C">
        <w:rPr>
          <w:rFonts w:ascii="Arial" w:hAnsi="Arial" w:cs="Arial"/>
          <w:color w:val="000000"/>
          <w:sz w:val="22"/>
          <w:szCs w:val="22"/>
        </w:rPr>
        <w:t xml:space="preserve"> el literal a) del numeral 10.5 del artículo 10 de la Resolución de Superintendencia N.° 097-2012/SUNAT y normas modificatorias, en los siguientes términos:</w:t>
      </w:r>
    </w:p>
    <w:p w:rsidR="0054265E" w:rsidRPr="0051698C" w:rsidRDefault="00291D06" w:rsidP="0054265E">
      <w:pPr>
        <w:pStyle w:val="NormalWeb"/>
        <w:ind w:left="0"/>
        <w:rPr>
          <w:rFonts w:ascii="Arial" w:hAnsi="Arial" w:cs="Arial"/>
          <w:sz w:val="22"/>
          <w:szCs w:val="22"/>
        </w:rPr>
      </w:pPr>
      <w:r w:rsidRPr="0051698C">
        <w:rPr>
          <w:rFonts w:ascii="Arial" w:hAnsi="Arial" w:cs="Aharoni" w:hint="cs"/>
          <w:color w:val="000000"/>
          <w:sz w:val="22"/>
          <w:szCs w:val="22"/>
        </w:rPr>
        <w:t>'</w:t>
      </w:r>
      <w:r w:rsidR="0054265E" w:rsidRPr="0051698C">
        <w:rPr>
          <w:rFonts w:ascii="Arial" w:hAnsi="Arial" w:cs="Arial"/>
          <w:color w:val="000000"/>
          <w:sz w:val="22"/>
          <w:szCs w:val="22"/>
        </w:rPr>
        <w:t>Artículo 10.- CONDICIONES PARA EMITIR EL DOCUMENTO ELECTRÓNICO</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10.5 Tratándose de la factura electrónica, el DAE, el recibo electrónico SP o las notas electrónicas vinculadas a aquellos:</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lastRenderedPageBreak/>
        <w:t xml:space="preserve">a) Cuentan con el formato digital y, en consecuencia, existe información en los campos indicados como condiciones de emisión en los anexos </w:t>
      </w:r>
      <w:proofErr w:type="spellStart"/>
      <w:r w:rsidRPr="0051698C">
        <w:rPr>
          <w:rFonts w:ascii="Arial" w:hAnsi="Arial" w:cs="Arial"/>
          <w:color w:val="000000"/>
          <w:sz w:val="22"/>
          <w:szCs w:val="22"/>
        </w:rPr>
        <w:t>N.°</w:t>
      </w:r>
      <w:r w:rsidRPr="0051698C">
        <w:rPr>
          <w:rFonts w:ascii="Arial" w:hAnsi="Arial" w:cs="Arial"/>
          <w:color w:val="000000"/>
          <w:sz w:val="22"/>
          <w:szCs w:val="22"/>
          <w:vertAlign w:val="superscript"/>
        </w:rPr>
        <w:t>s</w:t>
      </w:r>
      <w:proofErr w:type="spellEnd"/>
      <w:r w:rsidRPr="0051698C">
        <w:rPr>
          <w:rFonts w:ascii="Arial" w:hAnsi="Arial" w:cs="Arial"/>
          <w:color w:val="000000"/>
          <w:sz w:val="22"/>
          <w:szCs w:val="22"/>
        </w:rPr>
        <w:t xml:space="preserve"> 1, 3, 4, 23, 24, 25 y 26 y se cumple con las validaciones especificadas en esos anexos.'”</w:t>
      </w:r>
    </w:p>
    <w:p w:rsidR="009160B8" w:rsidRPr="0051698C" w:rsidRDefault="009160B8" w:rsidP="004D4B7C">
      <w:pPr>
        <w:pStyle w:val="Default"/>
        <w:jc w:val="both"/>
        <w:rPr>
          <w:sz w:val="22"/>
          <w:szCs w:val="22"/>
        </w:rPr>
      </w:pPr>
      <w:r w:rsidRPr="0051698C">
        <w:rPr>
          <w:bCs/>
          <w:sz w:val="22"/>
          <w:szCs w:val="22"/>
        </w:rPr>
        <w:t xml:space="preserve">5.5 </w:t>
      </w:r>
      <w:proofErr w:type="spellStart"/>
      <w:r w:rsidRPr="0051698C">
        <w:rPr>
          <w:bCs/>
          <w:sz w:val="22"/>
          <w:szCs w:val="22"/>
        </w:rPr>
        <w:t>Modifícase</w:t>
      </w:r>
      <w:proofErr w:type="spellEnd"/>
      <w:r w:rsidRPr="0051698C">
        <w:rPr>
          <w:bCs/>
          <w:sz w:val="22"/>
          <w:szCs w:val="22"/>
        </w:rPr>
        <w:t xml:space="preserve"> el</w:t>
      </w:r>
      <w:r w:rsidRPr="0051698C">
        <w:rPr>
          <w:sz w:val="22"/>
          <w:szCs w:val="22"/>
        </w:rPr>
        <w:t xml:space="preserve"> párrafo 3.3 de la tercera disposición complementaria modificatoria de la Resolución de Superintendencia N.° </w:t>
      </w:r>
      <w:r w:rsidR="00A76CF2" w:rsidRPr="0051698C">
        <w:rPr>
          <w:sz w:val="22"/>
          <w:szCs w:val="22"/>
        </w:rPr>
        <w:t>0</w:t>
      </w:r>
      <w:r w:rsidRPr="0051698C">
        <w:rPr>
          <w:sz w:val="22"/>
          <w:szCs w:val="22"/>
        </w:rPr>
        <w:t>13-2019/SUNAT y norma modificatoria, en los términos siguientes:</w:t>
      </w:r>
    </w:p>
    <w:p w:rsidR="009160B8" w:rsidRPr="0051698C" w:rsidRDefault="009160B8" w:rsidP="009160B8">
      <w:pPr>
        <w:pStyle w:val="NormalWeb"/>
        <w:ind w:left="0"/>
        <w:rPr>
          <w:sz w:val="22"/>
          <w:szCs w:val="22"/>
        </w:rPr>
      </w:pPr>
      <w:r w:rsidRPr="0051698C">
        <w:rPr>
          <w:rFonts w:ascii="Arial" w:hAnsi="Arial" w:cs="Arial"/>
          <w:color w:val="000000"/>
          <w:sz w:val="22"/>
          <w:szCs w:val="22"/>
        </w:rPr>
        <w:t xml:space="preserve">“3.3 </w:t>
      </w:r>
      <w:proofErr w:type="spellStart"/>
      <w:r w:rsidRPr="0051698C">
        <w:rPr>
          <w:rFonts w:ascii="Arial" w:hAnsi="Arial" w:cs="Arial"/>
          <w:color w:val="000000"/>
          <w:sz w:val="22"/>
          <w:szCs w:val="22"/>
        </w:rPr>
        <w:t>Modifícase</w:t>
      </w:r>
      <w:proofErr w:type="spellEnd"/>
      <w:r w:rsidRPr="0051698C">
        <w:rPr>
          <w:rFonts w:ascii="Arial" w:hAnsi="Arial" w:cs="Arial"/>
          <w:color w:val="000000"/>
          <w:sz w:val="22"/>
          <w:szCs w:val="22"/>
        </w:rPr>
        <w:t xml:space="preserve"> el segundo párrafo del numeral 15.3 del artículo 15 de la Resolución de Superintendencia N.</w:t>
      </w:r>
      <w:r w:rsidR="0016636B" w:rsidRPr="0051698C">
        <w:rPr>
          <w:rFonts w:ascii="Arial" w:hAnsi="Arial" w:cs="Arial"/>
          <w:color w:val="000000"/>
          <w:sz w:val="22"/>
          <w:szCs w:val="22"/>
        </w:rPr>
        <w:t>°</w:t>
      </w:r>
      <w:r w:rsidRPr="0051698C">
        <w:rPr>
          <w:rFonts w:ascii="Arial" w:hAnsi="Arial" w:cs="Arial"/>
          <w:color w:val="000000"/>
          <w:sz w:val="22"/>
          <w:szCs w:val="22"/>
        </w:rPr>
        <w:t xml:space="preserve"> 097-2012</w:t>
      </w:r>
      <w:r w:rsidR="003D5350" w:rsidRPr="0051698C">
        <w:rPr>
          <w:rFonts w:ascii="Arial" w:hAnsi="Arial" w:cs="Arial"/>
          <w:color w:val="000000"/>
          <w:sz w:val="22"/>
          <w:szCs w:val="22"/>
        </w:rPr>
        <w:t>/</w:t>
      </w:r>
      <w:r w:rsidRPr="0051698C">
        <w:rPr>
          <w:rFonts w:ascii="Arial" w:hAnsi="Arial" w:cs="Arial"/>
          <w:color w:val="000000"/>
          <w:sz w:val="22"/>
          <w:szCs w:val="22"/>
        </w:rPr>
        <w:t>SUNAT y normas modificatorias, en los siguientes términos:</w:t>
      </w:r>
    </w:p>
    <w:p w:rsidR="009160B8" w:rsidRPr="0051698C" w:rsidRDefault="009160B8" w:rsidP="009160B8">
      <w:pPr>
        <w:pStyle w:val="NormalWeb"/>
        <w:ind w:left="0"/>
        <w:rPr>
          <w:sz w:val="22"/>
          <w:szCs w:val="22"/>
        </w:rPr>
      </w:pPr>
      <w:r w:rsidRPr="0051698C">
        <w:rPr>
          <w:rFonts w:ascii="Arial" w:hAnsi="Arial" w:cs="Aharoni" w:hint="cs"/>
          <w:color w:val="000000"/>
          <w:sz w:val="22"/>
          <w:szCs w:val="22"/>
        </w:rPr>
        <w:t>'</w:t>
      </w:r>
      <w:r w:rsidRPr="0051698C">
        <w:rPr>
          <w:rFonts w:ascii="Arial" w:hAnsi="Arial" w:cs="Arial"/>
          <w:color w:val="000000"/>
          <w:sz w:val="22"/>
          <w:szCs w:val="22"/>
        </w:rPr>
        <w:t>Artículo 15.- OTORGAMIENTO</w:t>
      </w:r>
    </w:p>
    <w:p w:rsidR="009160B8" w:rsidRPr="0051698C" w:rsidRDefault="009160B8" w:rsidP="009160B8">
      <w:pPr>
        <w:pStyle w:val="NormalWeb"/>
        <w:ind w:left="0"/>
        <w:rPr>
          <w:sz w:val="22"/>
          <w:szCs w:val="22"/>
        </w:rPr>
      </w:pPr>
      <w:r w:rsidRPr="0051698C">
        <w:rPr>
          <w:rFonts w:ascii="Arial" w:hAnsi="Arial" w:cs="Arial"/>
          <w:color w:val="000000"/>
          <w:sz w:val="22"/>
          <w:szCs w:val="22"/>
        </w:rPr>
        <w:t>(...)</w:t>
      </w:r>
    </w:p>
    <w:p w:rsidR="009160B8" w:rsidRPr="0051698C" w:rsidRDefault="009160B8" w:rsidP="009160B8">
      <w:pPr>
        <w:pStyle w:val="NormalWeb"/>
        <w:ind w:left="0"/>
        <w:rPr>
          <w:sz w:val="22"/>
          <w:szCs w:val="22"/>
        </w:rPr>
      </w:pPr>
      <w:r w:rsidRPr="0051698C">
        <w:rPr>
          <w:rFonts w:ascii="Arial" w:hAnsi="Arial" w:cs="Arial"/>
          <w:color w:val="000000"/>
          <w:sz w:val="22"/>
          <w:szCs w:val="22"/>
        </w:rPr>
        <w:t>15.3 Tratándose del DAE y las notas electrónicas vinculadas a aquel, si:</w:t>
      </w:r>
    </w:p>
    <w:p w:rsidR="009160B8" w:rsidRPr="0051698C" w:rsidRDefault="009160B8" w:rsidP="009160B8">
      <w:pPr>
        <w:pStyle w:val="NormalWeb"/>
        <w:ind w:left="0"/>
        <w:rPr>
          <w:sz w:val="22"/>
          <w:szCs w:val="22"/>
        </w:rPr>
      </w:pPr>
      <w:r w:rsidRPr="0051698C">
        <w:rPr>
          <w:rFonts w:ascii="Arial" w:hAnsi="Arial" w:cs="Arial"/>
          <w:color w:val="000000"/>
          <w:sz w:val="22"/>
          <w:szCs w:val="22"/>
        </w:rPr>
        <w:t>(...)</w:t>
      </w:r>
    </w:p>
    <w:p w:rsidR="009160B8" w:rsidRPr="0051698C" w:rsidRDefault="009160B8" w:rsidP="009160B8">
      <w:pPr>
        <w:pStyle w:val="NormalWeb"/>
        <w:ind w:left="0"/>
        <w:rPr>
          <w:sz w:val="22"/>
          <w:szCs w:val="22"/>
        </w:rPr>
      </w:pPr>
      <w:r w:rsidRPr="0051698C">
        <w:rPr>
          <w:rFonts w:ascii="Arial" w:hAnsi="Arial" w:cs="Arial"/>
          <w:color w:val="000000"/>
          <w:sz w:val="22"/>
          <w:szCs w:val="22"/>
        </w:rPr>
        <w:t>En los casos señalados en el inciso a) y en el segundo párrafo del inciso b), el emisor electrónico puede proporcionar al adquirente o usuario una representación impresa del DAE o la nota electrónica vinculada a aquel, caso en el cual debe tener en cuenta lo señalado en el segundo párrafo de este artículo.</w:t>
      </w:r>
      <w:r w:rsidRPr="0051698C">
        <w:rPr>
          <w:rFonts w:ascii="Arial" w:hAnsi="Arial" w:cs="Aharoni" w:hint="cs"/>
          <w:color w:val="000000"/>
          <w:sz w:val="22"/>
          <w:szCs w:val="22"/>
        </w:rPr>
        <w:t>'</w:t>
      </w:r>
      <w:r w:rsidRPr="0051698C">
        <w:rPr>
          <w:rFonts w:ascii="Arial" w:hAnsi="Arial" w:cs="Arial"/>
          <w:color w:val="000000"/>
          <w:sz w:val="22"/>
          <w:szCs w:val="22"/>
        </w:rPr>
        <w:t>”</w:t>
      </w:r>
    </w:p>
    <w:p w:rsidR="007E456F" w:rsidRPr="0051698C" w:rsidRDefault="007E456F" w:rsidP="004D4B7C">
      <w:pPr>
        <w:pStyle w:val="Default"/>
        <w:jc w:val="both"/>
        <w:rPr>
          <w:bCs/>
          <w:sz w:val="22"/>
          <w:szCs w:val="22"/>
        </w:rPr>
      </w:pPr>
      <w:r w:rsidRPr="0051698C">
        <w:rPr>
          <w:bCs/>
          <w:sz w:val="22"/>
          <w:szCs w:val="22"/>
        </w:rPr>
        <w:t>5.</w:t>
      </w:r>
      <w:r w:rsidR="009160B8" w:rsidRPr="0051698C">
        <w:rPr>
          <w:bCs/>
          <w:sz w:val="22"/>
          <w:szCs w:val="22"/>
        </w:rPr>
        <w:t>6</w:t>
      </w:r>
      <w:r w:rsidRPr="0051698C">
        <w:rPr>
          <w:bCs/>
          <w:sz w:val="22"/>
          <w:szCs w:val="22"/>
        </w:rPr>
        <w:t xml:space="preserve"> </w:t>
      </w:r>
      <w:proofErr w:type="spellStart"/>
      <w:r w:rsidRPr="0051698C">
        <w:rPr>
          <w:bCs/>
          <w:sz w:val="22"/>
          <w:szCs w:val="22"/>
        </w:rPr>
        <w:t>Modifícase</w:t>
      </w:r>
      <w:proofErr w:type="spellEnd"/>
      <w:r w:rsidRPr="0051698C">
        <w:rPr>
          <w:bCs/>
          <w:sz w:val="22"/>
          <w:szCs w:val="22"/>
        </w:rPr>
        <w:t xml:space="preserve"> el</w:t>
      </w:r>
      <w:r w:rsidRPr="0051698C">
        <w:rPr>
          <w:sz w:val="22"/>
          <w:szCs w:val="22"/>
        </w:rPr>
        <w:t xml:space="preserve"> párrafo 3.4 de la tercera disposición complementaria modificatoria de la Resolución de Superintendencia N.° </w:t>
      </w:r>
      <w:r w:rsidR="00A76CF2" w:rsidRPr="0051698C">
        <w:rPr>
          <w:sz w:val="22"/>
          <w:szCs w:val="22"/>
        </w:rPr>
        <w:t>0</w:t>
      </w:r>
      <w:r w:rsidRPr="0051698C">
        <w:rPr>
          <w:sz w:val="22"/>
          <w:szCs w:val="22"/>
        </w:rPr>
        <w:t>13-2019/SUNAT y norma modificatoria, en los términos siguientes:</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 xml:space="preserve">“3.4 </w:t>
      </w:r>
      <w:proofErr w:type="spellStart"/>
      <w:r w:rsidRPr="0051698C">
        <w:rPr>
          <w:rFonts w:ascii="Arial" w:hAnsi="Arial" w:cs="Arial"/>
          <w:color w:val="000000"/>
          <w:sz w:val="22"/>
          <w:szCs w:val="22"/>
        </w:rPr>
        <w:t>Modifícase</w:t>
      </w:r>
      <w:proofErr w:type="spellEnd"/>
      <w:r w:rsidRPr="0051698C">
        <w:rPr>
          <w:rFonts w:ascii="Arial" w:hAnsi="Arial" w:cs="Arial"/>
          <w:color w:val="000000"/>
          <w:sz w:val="22"/>
          <w:szCs w:val="22"/>
        </w:rPr>
        <w:t xml:space="preserve"> el</w:t>
      </w:r>
      <w:r w:rsidR="004472C1" w:rsidRPr="0051698C">
        <w:rPr>
          <w:rFonts w:ascii="Arial" w:hAnsi="Arial" w:cs="Arial"/>
          <w:color w:val="000000"/>
          <w:sz w:val="22"/>
          <w:szCs w:val="22"/>
        </w:rPr>
        <w:t xml:space="preserve"> primer párrafo del literal d) y el</w:t>
      </w:r>
      <w:r w:rsidRPr="0051698C">
        <w:rPr>
          <w:rFonts w:ascii="Arial" w:hAnsi="Arial" w:cs="Arial"/>
          <w:color w:val="000000"/>
          <w:sz w:val="22"/>
          <w:szCs w:val="22"/>
        </w:rPr>
        <w:t xml:space="preserve"> literal f) del inciso 24.1 y</w:t>
      </w:r>
      <w:r w:rsidR="004472C1" w:rsidRPr="0051698C">
        <w:rPr>
          <w:rFonts w:ascii="Arial" w:hAnsi="Arial" w:cs="Arial"/>
          <w:color w:val="000000"/>
          <w:sz w:val="22"/>
          <w:szCs w:val="22"/>
        </w:rPr>
        <w:t xml:space="preserve"> </w:t>
      </w:r>
      <w:r w:rsidRPr="0051698C">
        <w:rPr>
          <w:rFonts w:ascii="Arial" w:hAnsi="Arial" w:cs="Arial"/>
          <w:color w:val="000000"/>
          <w:sz w:val="22"/>
          <w:szCs w:val="22"/>
        </w:rPr>
        <w:t>los literales c) y d) del inciso 24.2</w:t>
      </w:r>
      <w:r w:rsidR="000326EF" w:rsidRPr="0051698C">
        <w:rPr>
          <w:rFonts w:ascii="Arial" w:hAnsi="Arial" w:cs="Arial"/>
          <w:color w:val="000000"/>
          <w:sz w:val="22"/>
          <w:szCs w:val="22"/>
        </w:rPr>
        <w:t xml:space="preserve"> </w:t>
      </w:r>
      <w:r w:rsidRPr="0051698C">
        <w:rPr>
          <w:rFonts w:ascii="Arial" w:hAnsi="Arial" w:cs="Arial"/>
          <w:color w:val="000000"/>
          <w:sz w:val="22"/>
          <w:szCs w:val="22"/>
        </w:rPr>
        <w:t>del artículo 24 de la Resolución de Superintendencia N.° 097-2012/SUNAT y normas modificatorias,</w:t>
      </w:r>
      <w:r w:rsidR="000326EF" w:rsidRPr="0051698C">
        <w:rPr>
          <w:rFonts w:ascii="Arial" w:hAnsi="Arial" w:cs="Arial"/>
          <w:color w:val="000000"/>
          <w:sz w:val="22"/>
          <w:szCs w:val="22"/>
        </w:rPr>
        <w:t xml:space="preserve"> e </w:t>
      </w:r>
      <w:proofErr w:type="spellStart"/>
      <w:r w:rsidR="000326EF" w:rsidRPr="0051698C">
        <w:rPr>
          <w:rFonts w:ascii="Arial" w:hAnsi="Arial" w:cs="Arial"/>
          <w:color w:val="000000"/>
          <w:sz w:val="22"/>
          <w:szCs w:val="22"/>
        </w:rPr>
        <w:t>incorpórase</w:t>
      </w:r>
      <w:proofErr w:type="spellEnd"/>
      <w:r w:rsidR="000326EF" w:rsidRPr="0051698C">
        <w:rPr>
          <w:rFonts w:ascii="Arial" w:hAnsi="Arial" w:cs="Arial"/>
          <w:color w:val="000000"/>
          <w:sz w:val="22"/>
          <w:szCs w:val="22"/>
        </w:rPr>
        <w:t xml:space="preserve"> en este último inciso el literal </w:t>
      </w:r>
      <w:r w:rsidR="0051698C" w:rsidRPr="0051698C">
        <w:rPr>
          <w:rFonts w:ascii="Arial" w:hAnsi="Arial" w:cs="Arial"/>
          <w:color w:val="000000"/>
          <w:sz w:val="22"/>
          <w:szCs w:val="22"/>
        </w:rPr>
        <w:t>e</w:t>
      </w:r>
      <w:r w:rsidR="000326EF" w:rsidRPr="0051698C">
        <w:rPr>
          <w:rFonts w:ascii="Arial" w:hAnsi="Arial" w:cs="Arial"/>
          <w:color w:val="000000"/>
          <w:sz w:val="22"/>
          <w:szCs w:val="22"/>
        </w:rPr>
        <w:t>),</w:t>
      </w:r>
      <w:r w:rsidRPr="0051698C">
        <w:rPr>
          <w:rFonts w:ascii="Arial" w:hAnsi="Arial" w:cs="Arial"/>
          <w:color w:val="000000"/>
          <w:sz w:val="22"/>
          <w:szCs w:val="22"/>
        </w:rPr>
        <w:t xml:space="preserve"> en los siguientes términos:</w:t>
      </w:r>
    </w:p>
    <w:p w:rsidR="0054265E" w:rsidRPr="0051698C" w:rsidRDefault="0054265E" w:rsidP="0054265E">
      <w:pPr>
        <w:pStyle w:val="NormalWeb"/>
        <w:ind w:left="0"/>
        <w:rPr>
          <w:rFonts w:ascii="Arial" w:hAnsi="Arial" w:cs="Arial"/>
          <w:color w:val="000000"/>
          <w:sz w:val="22"/>
          <w:szCs w:val="22"/>
        </w:rPr>
      </w:pPr>
      <w:r w:rsidRPr="0051698C">
        <w:rPr>
          <w:rFonts w:ascii="Arial" w:hAnsi="Arial" w:cs="Arial"/>
          <w:color w:val="000000"/>
          <w:sz w:val="22"/>
          <w:szCs w:val="22"/>
        </w:rPr>
        <w:t>'Artículo 24.- NOTAS ELECTRÓNICAS EMITIDAS RESPECTO DE COMPROBANTES DE PAGO NO EMITIDOS EN EL SISTEMA</w:t>
      </w:r>
    </w:p>
    <w:p w:rsidR="004D4B7C" w:rsidRPr="0051698C" w:rsidRDefault="004D4B7C" w:rsidP="004D4B7C">
      <w:pPr>
        <w:pStyle w:val="NormalWeb"/>
        <w:spacing w:before="0" w:beforeAutospacing="0" w:after="0" w:afterAutospacing="0" w:line="220" w:lineRule="atLeast"/>
        <w:ind w:left="0"/>
        <w:rPr>
          <w:sz w:val="22"/>
          <w:szCs w:val="22"/>
        </w:rPr>
      </w:pPr>
      <w:r w:rsidRPr="0051698C">
        <w:rPr>
          <w:rFonts w:ascii="Arial" w:hAnsi="Arial" w:cs="Arial"/>
          <w:sz w:val="22"/>
          <w:szCs w:val="22"/>
        </w:rPr>
        <w:t>24.1. Nota de crédito electrónica</w:t>
      </w:r>
    </w:p>
    <w:p w:rsidR="004D4B7C" w:rsidRPr="0051698C" w:rsidRDefault="004D4B7C" w:rsidP="004D4B7C">
      <w:pPr>
        <w:pStyle w:val="NormalWeb"/>
        <w:spacing w:before="0" w:beforeAutospacing="0" w:after="0" w:afterAutospacing="0" w:line="220" w:lineRule="atLeast"/>
        <w:ind w:left="0"/>
        <w:rPr>
          <w:rFonts w:ascii="Arial" w:hAnsi="Arial" w:cs="Arial"/>
          <w:sz w:val="22"/>
          <w:szCs w:val="22"/>
        </w:rPr>
      </w:pPr>
    </w:p>
    <w:p w:rsidR="004D4B7C" w:rsidRPr="0051698C" w:rsidRDefault="004D4B7C" w:rsidP="004D4B7C">
      <w:pPr>
        <w:pStyle w:val="NormalWeb"/>
        <w:spacing w:before="0" w:beforeAutospacing="0" w:after="0" w:afterAutospacing="0" w:line="220" w:lineRule="atLeast"/>
        <w:ind w:left="0"/>
        <w:rPr>
          <w:sz w:val="22"/>
          <w:szCs w:val="22"/>
        </w:rPr>
      </w:pPr>
      <w:r w:rsidRPr="0051698C">
        <w:rPr>
          <w:rFonts w:ascii="Arial" w:hAnsi="Arial" w:cs="Arial"/>
          <w:sz w:val="22"/>
          <w:szCs w:val="22"/>
        </w:rPr>
        <w:lastRenderedPageBreak/>
        <w:t>El emisor electrónico puede optar por emitir una nota de crédito electrónica respecto de:</w:t>
      </w:r>
    </w:p>
    <w:p w:rsidR="0054265E" w:rsidRPr="0051698C" w:rsidRDefault="0054265E" w:rsidP="0054265E">
      <w:pPr>
        <w:pStyle w:val="NormalWeb"/>
        <w:ind w:left="0"/>
        <w:rPr>
          <w:rFonts w:ascii="Arial" w:hAnsi="Arial" w:cs="Arial"/>
          <w:color w:val="000000"/>
          <w:sz w:val="22"/>
          <w:szCs w:val="22"/>
        </w:rPr>
      </w:pPr>
      <w:r w:rsidRPr="0051698C">
        <w:rPr>
          <w:rFonts w:ascii="Arial" w:hAnsi="Arial" w:cs="Arial"/>
          <w:color w:val="000000"/>
          <w:sz w:val="22"/>
          <w:szCs w:val="22"/>
        </w:rPr>
        <w:t>(…)</w:t>
      </w:r>
    </w:p>
    <w:p w:rsidR="008F343A" w:rsidRPr="0051698C" w:rsidRDefault="008F343A" w:rsidP="008F343A">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 xml:space="preserve">d) Los recibos electrónicos SP que hubieran sido emitidos a través del SEE – Empresas Supervisadas </w:t>
      </w:r>
      <w:r w:rsidRPr="0051698C">
        <w:rPr>
          <w:rFonts w:ascii="Arial" w:hAnsi="Arial" w:cs="Arial"/>
          <w:color w:val="000000"/>
          <w:sz w:val="22"/>
          <w:szCs w:val="22"/>
        </w:rPr>
        <w:t xml:space="preserve">o los documentos autorizados </w:t>
      </w:r>
      <w:r w:rsidRPr="0051698C">
        <w:rPr>
          <w:rFonts w:ascii="Arial" w:hAnsi="Arial" w:cs="Arial"/>
          <w:sz w:val="22"/>
          <w:szCs w:val="22"/>
        </w:rPr>
        <w:t>que emitió por los servicios a que se refieren los literales d) y o) del inciso 6.1 del numeral 6 del artículo 4 del Reglamento de Comprobantes de Pago</w:t>
      </w:r>
      <w:r w:rsidR="0051698C" w:rsidRPr="0051698C">
        <w:rPr>
          <w:rFonts w:ascii="Arial" w:hAnsi="Arial" w:cs="Arial"/>
          <w:sz w:val="22"/>
          <w:szCs w:val="22"/>
        </w:rPr>
        <w:t>,</w:t>
      </w:r>
      <w:r w:rsidRPr="0051698C">
        <w:rPr>
          <w:rFonts w:ascii="Arial" w:hAnsi="Arial" w:cs="Arial"/>
          <w:sz w:val="22"/>
          <w:szCs w:val="22"/>
        </w:rPr>
        <w:t xml:space="preserve"> según el citado reglamento</w:t>
      </w:r>
      <w:r w:rsidR="0051698C" w:rsidRPr="0051698C">
        <w:rPr>
          <w:rFonts w:ascii="Arial" w:hAnsi="Arial" w:cs="Arial"/>
          <w:sz w:val="22"/>
          <w:szCs w:val="22"/>
        </w:rPr>
        <w:t xml:space="preserve">, </w:t>
      </w:r>
      <w:r w:rsidRPr="0051698C">
        <w:rPr>
          <w:rFonts w:ascii="Arial" w:hAnsi="Arial" w:cs="Arial"/>
          <w:sz w:val="22"/>
          <w:szCs w:val="22"/>
        </w:rPr>
        <w:t xml:space="preserve">o que emita conforme a lo dispuesto por el artículo 4-B de la Resolución de Superintendencia N.° 300-2014/SUNAT y normas modificatorias. </w:t>
      </w:r>
    </w:p>
    <w:p w:rsidR="008F343A" w:rsidRPr="0051698C" w:rsidRDefault="008F343A" w:rsidP="0054265E">
      <w:pPr>
        <w:pStyle w:val="NormalWeb"/>
        <w:ind w:left="0"/>
        <w:rPr>
          <w:rFonts w:ascii="Arial" w:hAnsi="Arial" w:cs="Arial"/>
          <w:sz w:val="22"/>
          <w:szCs w:val="22"/>
        </w:rPr>
      </w:pPr>
      <w:r w:rsidRPr="0051698C">
        <w:rPr>
          <w:rFonts w:ascii="Arial" w:hAnsi="Arial" w:cs="Arial"/>
          <w:sz w:val="22"/>
          <w:szCs w:val="22"/>
        </w:rPr>
        <w:t>(…)</w:t>
      </w:r>
    </w:p>
    <w:p w:rsidR="00291D06" w:rsidRPr="0051698C" w:rsidRDefault="00291D06" w:rsidP="0054265E">
      <w:pPr>
        <w:pStyle w:val="NormalWeb"/>
        <w:ind w:left="0"/>
        <w:rPr>
          <w:rFonts w:ascii="Arial" w:hAnsi="Arial" w:cs="Arial"/>
          <w:color w:val="000000"/>
          <w:sz w:val="22"/>
          <w:szCs w:val="22"/>
        </w:rPr>
      </w:pPr>
      <w:r w:rsidRPr="0051698C">
        <w:rPr>
          <w:rFonts w:ascii="Arial" w:hAnsi="Arial" w:cs="Arial"/>
          <w:color w:val="000000"/>
          <w:sz w:val="22"/>
          <w:szCs w:val="22"/>
        </w:rPr>
        <w:t>f) Los documentos autorizados contemplados en los literales c), f), j), ll), m), n), p) y q) del inciso 6.1, el literal h) del inciso 6.2 y el literal b) del inciso 6.3 del numeral 6 del artículo 4 del Reglamento de Comprobantes de Pago, siempre que hayan sido emitidos en los casos en que, conforme a la presente resolución, se puede emitir una factura electrónica, una boleta de venta electrónica o un DAE, salvo que una norma disponga expresamente algo distinto. Además, un ejemplar de la nota de crédito electrónica se debe remitir a la SUNAT según el artículo 12. A esa nota se le aplican las demás disposiciones referidas a las notas de crédito electrónicas vinculadas a la factura electrónica o al DAE que prevé esta resolución, según el tipo de comprobante de pago electrónico que correspondía emitir, salvo que se disponga expresamente algo distinto.</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24.2. Nota de débito electrónica</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El emisor electrónico puede optar por emitir una nota de débito electrónica respecto de:</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 xml:space="preserve">c) Los documentos autorizados contemplados en </w:t>
      </w:r>
      <w:r w:rsidR="000326EF" w:rsidRPr="0051698C">
        <w:rPr>
          <w:rFonts w:ascii="Arial" w:hAnsi="Arial" w:cs="Arial"/>
          <w:color w:val="000000"/>
          <w:sz w:val="22"/>
          <w:szCs w:val="22"/>
        </w:rPr>
        <w:t>el literal</w:t>
      </w:r>
      <w:r w:rsidR="008F343A" w:rsidRPr="0051698C">
        <w:rPr>
          <w:rFonts w:ascii="Arial" w:hAnsi="Arial" w:cs="Arial"/>
          <w:color w:val="000000"/>
          <w:sz w:val="22"/>
          <w:szCs w:val="22"/>
        </w:rPr>
        <w:t xml:space="preserve"> </w:t>
      </w:r>
      <w:r w:rsidRPr="0051698C">
        <w:rPr>
          <w:rFonts w:ascii="Arial" w:hAnsi="Arial" w:cs="Arial"/>
          <w:color w:val="000000"/>
          <w:sz w:val="22"/>
          <w:szCs w:val="22"/>
        </w:rPr>
        <w:t>l)</w:t>
      </w:r>
      <w:r w:rsidR="008F343A" w:rsidRPr="0051698C">
        <w:rPr>
          <w:rFonts w:ascii="Arial" w:hAnsi="Arial" w:cs="Arial"/>
          <w:color w:val="000000"/>
          <w:sz w:val="22"/>
          <w:szCs w:val="22"/>
        </w:rPr>
        <w:t xml:space="preserve"> </w:t>
      </w:r>
      <w:r w:rsidRPr="0051698C">
        <w:rPr>
          <w:rFonts w:ascii="Arial" w:hAnsi="Arial" w:cs="Arial"/>
          <w:color w:val="000000"/>
          <w:sz w:val="22"/>
          <w:szCs w:val="22"/>
        </w:rPr>
        <w:t>del inciso 6.1 y en el acápite d.2) del literal d) del inciso 6.2 del numeral 6 del artículo 4 del Reglamento de Comprobantes de Pago</w:t>
      </w:r>
      <w:r w:rsidR="008F343A" w:rsidRPr="0051698C">
        <w:rPr>
          <w:rFonts w:ascii="Arial" w:hAnsi="Arial" w:cs="Arial"/>
          <w:color w:val="000000"/>
          <w:sz w:val="22"/>
          <w:szCs w:val="22"/>
        </w:rPr>
        <w:t>, emitidos según ese reglamento</w:t>
      </w:r>
      <w:r w:rsidR="000326EF" w:rsidRPr="0051698C">
        <w:rPr>
          <w:rFonts w:ascii="Arial" w:hAnsi="Arial" w:cs="Arial"/>
          <w:color w:val="000000"/>
          <w:sz w:val="22"/>
          <w:szCs w:val="22"/>
        </w:rPr>
        <w:t>.</w:t>
      </w:r>
    </w:p>
    <w:p w:rsidR="000326EF" w:rsidRPr="0051698C" w:rsidRDefault="00291D06" w:rsidP="00291D06">
      <w:pPr>
        <w:pStyle w:val="NormalWeb"/>
        <w:ind w:left="0"/>
        <w:rPr>
          <w:rFonts w:ascii="Arial" w:hAnsi="Arial" w:cs="Arial"/>
          <w:color w:val="000000"/>
          <w:sz w:val="22"/>
          <w:szCs w:val="22"/>
        </w:rPr>
      </w:pPr>
      <w:r w:rsidRPr="0051698C">
        <w:rPr>
          <w:rFonts w:ascii="Arial" w:hAnsi="Arial" w:cs="Arial"/>
          <w:color w:val="000000"/>
          <w:sz w:val="22"/>
          <w:szCs w:val="22"/>
        </w:rPr>
        <w:t xml:space="preserve">d) Los documentos autorizados contemplados en los literales c), f), j), ll), m), n), p) y q) del inciso 6.1; el acápite d.2) del literal d) y el literal h) del inciso 6.2 y el literal b) </w:t>
      </w:r>
      <w:r w:rsidRPr="0051698C">
        <w:rPr>
          <w:rFonts w:ascii="Arial" w:hAnsi="Arial" w:cs="Arial"/>
          <w:color w:val="000000"/>
          <w:sz w:val="22"/>
          <w:szCs w:val="22"/>
        </w:rPr>
        <w:lastRenderedPageBreak/>
        <w:t>del inciso 6.3 del numeral 6 del artículo 4 del Reglamento de Comprobantes de Pago. Además, un ejemplar de la nota de débito electrónica se debe remitir a la SUNAT según el artículo 12. A esa nota se le aplican las demás disposiciones referidas a las notas de débito electrónicas vinculadas a la factura electrónica o al DAE que prevé esta resolución, según el tipo de comprobante electrónico que correspondía emitir, salvo que se disponga expresamente algo distinto.</w:t>
      </w:r>
    </w:p>
    <w:p w:rsidR="00291D06" w:rsidRPr="0051698C" w:rsidRDefault="000326EF" w:rsidP="00291D06">
      <w:pPr>
        <w:pStyle w:val="NormalWeb"/>
        <w:ind w:left="0"/>
        <w:rPr>
          <w:rFonts w:ascii="Arial" w:hAnsi="Arial" w:cs="Arial"/>
          <w:color w:val="000000"/>
          <w:sz w:val="22"/>
          <w:szCs w:val="22"/>
        </w:rPr>
      </w:pPr>
      <w:r w:rsidRPr="0051698C">
        <w:rPr>
          <w:rFonts w:ascii="Arial" w:hAnsi="Arial" w:cs="Arial"/>
          <w:color w:val="000000"/>
          <w:sz w:val="22"/>
          <w:szCs w:val="22"/>
        </w:rPr>
        <w:t xml:space="preserve">e) </w:t>
      </w:r>
      <w:r w:rsidRPr="0051698C">
        <w:rPr>
          <w:rFonts w:ascii="Arial" w:hAnsi="Arial" w:cs="Arial"/>
          <w:sz w:val="22"/>
          <w:szCs w:val="22"/>
        </w:rPr>
        <w:t xml:space="preserve">Los recibos electrónicos SP que hubieran sido emitidos a través del SEE – Empresas Supervisadas </w:t>
      </w:r>
      <w:r w:rsidRPr="0051698C">
        <w:rPr>
          <w:rFonts w:ascii="Arial" w:hAnsi="Arial" w:cs="Arial"/>
          <w:color w:val="000000"/>
          <w:sz w:val="22"/>
          <w:szCs w:val="22"/>
        </w:rPr>
        <w:t xml:space="preserve">o los documentos autorizados </w:t>
      </w:r>
      <w:r w:rsidRPr="0051698C">
        <w:rPr>
          <w:rFonts w:ascii="Arial" w:hAnsi="Arial" w:cs="Arial"/>
          <w:sz w:val="22"/>
          <w:szCs w:val="22"/>
        </w:rPr>
        <w:t>que emitió por los servicios a que se refieren los literales d) y o) del inciso 6.1 del numeral 6 del artículo 4 del Reglamento de Comprobantes de Pago</w:t>
      </w:r>
      <w:r w:rsidR="0051698C" w:rsidRPr="0051698C">
        <w:rPr>
          <w:rFonts w:ascii="Arial" w:hAnsi="Arial" w:cs="Arial"/>
          <w:sz w:val="22"/>
          <w:szCs w:val="22"/>
        </w:rPr>
        <w:t>,</w:t>
      </w:r>
      <w:r w:rsidRPr="0051698C">
        <w:rPr>
          <w:rFonts w:ascii="Arial" w:hAnsi="Arial" w:cs="Arial"/>
          <w:sz w:val="22"/>
          <w:szCs w:val="22"/>
        </w:rPr>
        <w:t xml:space="preserve"> según el citado reglamento</w:t>
      </w:r>
      <w:r w:rsidR="0051698C" w:rsidRPr="0051698C">
        <w:rPr>
          <w:rFonts w:ascii="Arial" w:hAnsi="Arial" w:cs="Arial"/>
          <w:sz w:val="22"/>
          <w:szCs w:val="22"/>
        </w:rPr>
        <w:t>,</w:t>
      </w:r>
      <w:r w:rsidRPr="0051698C">
        <w:rPr>
          <w:rFonts w:ascii="Arial" w:hAnsi="Arial" w:cs="Arial"/>
          <w:sz w:val="22"/>
          <w:szCs w:val="22"/>
        </w:rPr>
        <w:t xml:space="preserve"> o que emita conforme a lo dispuesto por el artículo 4-B de la Resolución de Superintendencia N.° 300-2014/SUNAT y normas modificatorias.</w:t>
      </w:r>
      <w:r w:rsidR="00815B08" w:rsidRPr="0051698C">
        <w:rPr>
          <w:rFonts w:ascii="Arial" w:hAnsi="Arial" w:cs="Aharoni" w:hint="cs"/>
          <w:sz w:val="22"/>
          <w:szCs w:val="22"/>
        </w:rPr>
        <w:t>'</w:t>
      </w:r>
      <w:r w:rsidR="00291D06" w:rsidRPr="0051698C">
        <w:rPr>
          <w:rFonts w:ascii="Arial" w:hAnsi="Arial" w:cs="Arial"/>
          <w:color w:val="000000"/>
          <w:sz w:val="22"/>
          <w:szCs w:val="22"/>
        </w:rPr>
        <w:t>”</w:t>
      </w:r>
    </w:p>
    <w:p w:rsidR="00E82816" w:rsidRPr="0051698C" w:rsidRDefault="00E82816" w:rsidP="00E82816">
      <w:pPr>
        <w:pStyle w:val="NormalWeb"/>
        <w:ind w:left="0"/>
        <w:rPr>
          <w:rFonts w:ascii="Arial" w:hAnsi="Arial" w:cs="Arial"/>
          <w:sz w:val="22"/>
          <w:szCs w:val="22"/>
        </w:rPr>
      </w:pPr>
      <w:r w:rsidRPr="0051698C">
        <w:rPr>
          <w:rFonts w:ascii="Arial" w:hAnsi="Arial" w:cs="Arial"/>
          <w:color w:val="000000"/>
          <w:sz w:val="22"/>
          <w:szCs w:val="22"/>
        </w:rPr>
        <w:t xml:space="preserve">5.7 </w:t>
      </w:r>
      <w:proofErr w:type="spellStart"/>
      <w:r w:rsidRPr="0051698C">
        <w:rPr>
          <w:rFonts w:ascii="Arial" w:hAnsi="Arial" w:cs="Arial"/>
          <w:color w:val="000000"/>
          <w:sz w:val="22"/>
          <w:szCs w:val="22"/>
        </w:rPr>
        <w:t>Modifícase</w:t>
      </w:r>
      <w:proofErr w:type="spellEnd"/>
      <w:r w:rsidRPr="0051698C">
        <w:rPr>
          <w:rFonts w:ascii="Arial" w:hAnsi="Arial" w:cs="Arial"/>
          <w:color w:val="000000"/>
          <w:sz w:val="22"/>
          <w:szCs w:val="22"/>
        </w:rPr>
        <w:t xml:space="preserve"> el anexo V de la Resolución de Superintendencia N.° 013-2019/SUNAT y norma modificatoria, en lo referido a la modificación del</w:t>
      </w:r>
      <w:r w:rsidRPr="0051698C">
        <w:rPr>
          <w:rFonts w:ascii="Arial" w:hAnsi="Arial" w:cs="Arial"/>
          <w:sz w:val="22"/>
          <w:szCs w:val="22"/>
        </w:rPr>
        <w:t xml:space="preserve"> literal g) del anexo N.° 9 de la Resolución de Superintendencia N.° 097-2012/SUNAT, según el anexo X de esta resolución.</w:t>
      </w:r>
    </w:p>
    <w:p w:rsidR="009160B8" w:rsidRPr="0051698C" w:rsidRDefault="009160B8" w:rsidP="00E82816">
      <w:pPr>
        <w:pStyle w:val="NormalWeb"/>
        <w:ind w:left="0"/>
        <w:rPr>
          <w:rFonts w:ascii="Arial" w:hAnsi="Arial" w:cs="Arial"/>
          <w:bCs/>
          <w:sz w:val="22"/>
          <w:szCs w:val="22"/>
        </w:rPr>
      </w:pPr>
      <w:r w:rsidRPr="0051698C">
        <w:rPr>
          <w:rFonts w:ascii="Arial" w:hAnsi="Arial" w:cs="Arial"/>
          <w:sz w:val="22"/>
          <w:szCs w:val="22"/>
        </w:rPr>
        <w:t>5.</w:t>
      </w:r>
      <w:r w:rsidR="00E82816" w:rsidRPr="0051698C">
        <w:rPr>
          <w:rFonts w:ascii="Arial" w:hAnsi="Arial" w:cs="Arial"/>
          <w:sz w:val="22"/>
          <w:szCs w:val="22"/>
        </w:rPr>
        <w:t>8</w:t>
      </w:r>
      <w:r w:rsidRPr="0051698C">
        <w:rPr>
          <w:rFonts w:ascii="Arial" w:hAnsi="Arial" w:cs="Arial"/>
          <w:sz w:val="22"/>
          <w:szCs w:val="22"/>
        </w:rPr>
        <w:t xml:space="preserve"> </w:t>
      </w:r>
      <w:proofErr w:type="spellStart"/>
      <w:r w:rsidRPr="0051698C">
        <w:rPr>
          <w:rFonts w:ascii="Arial" w:hAnsi="Arial" w:cs="Arial"/>
          <w:bCs/>
          <w:sz w:val="22"/>
          <w:szCs w:val="22"/>
        </w:rPr>
        <w:t>Modifícase</w:t>
      </w:r>
      <w:proofErr w:type="spellEnd"/>
      <w:r w:rsidRPr="0051698C">
        <w:rPr>
          <w:rFonts w:ascii="Arial" w:hAnsi="Arial" w:cs="Arial"/>
          <w:bCs/>
          <w:sz w:val="22"/>
          <w:szCs w:val="22"/>
        </w:rPr>
        <w:t xml:space="preserve"> el</w:t>
      </w:r>
      <w:r w:rsidRPr="0051698C">
        <w:rPr>
          <w:rFonts w:ascii="Arial" w:hAnsi="Arial" w:cs="Arial"/>
          <w:sz w:val="22"/>
          <w:szCs w:val="22"/>
        </w:rPr>
        <w:t xml:space="preserve"> párrafo 4.1 de la cuarta disposición complementaria modificatoria de la Resolución de Superintendencia N.° </w:t>
      </w:r>
      <w:r w:rsidR="00A76CF2" w:rsidRPr="0051698C">
        <w:rPr>
          <w:rFonts w:ascii="Arial" w:hAnsi="Arial" w:cs="Arial"/>
          <w:sz w:val="22"/>
          <w:szCs w:val="22"/>
        </w:rPr>
        <w:t>0</w:t>
      </w:r>
      <w:r w:rsidRPr="0051698C">
        <w:rPr>
          <w:rFonts w:ascii="Arial" w:hAnsi="Arial" w:cs="Arial"/>
          <w:sz w:val="22"/>
          <w:szCs w:val="22"/>
        </w:rPr>
        <w:t>13-2019/SUNAT y norma modificatoria, en los términos siguientes:</w:t>
      </w:r>
    </w:p>
    <w:p w:rsidR="009160B8" w:rsidRPr="0051698C" w:rsidRDefault="009160B8" w:rsidP="009160B8">
      <w:pPr>
        <w:pStyle w:val="NormalWeb"/>
        <w:ind w:left="0"/>
        <w:rPr>
          <w:rFonts w:ascii="Arial" w:hAnsi="Arial" w:cs="Arial"/>
          <w:sz w:val="22"/>
          <w:szCs w:val="22"/>
        </w:rPr>
      </w:pPr>
      <w:r w:rsidRPr="0051698C">
        <w:rPr>
          <w:rFonts w:ascii="Arial" w:hAnsi="Arial" w:cs="Arial"/>
          <w:sz w:val="22"/>
          <w:szCs w:val="22"/>
          <w:lang w:val="es-PE"/>
        </w:rPr>
        <w:t>“</w:t>
      </w:r>
      <w:r w:rsidR="00DC071F" w:rsidRPr="0051698C">
        <w:rPr>
          <w:rFonts w:ascii="Arial" w:hAnsi="Arial" w:cs="Arial"/>
          <w:sz w:val="22"/>
          <w:szCs w:val="22"/>
          <w:lang w:val="es-PE"/>
        </w:rPr>
        <w:t xml:space="preserve">4.1 </w:t>
      </w:r>
      <w:proofErr w:type="spellStart"/>
      <w:r w:rsidRPr="0051698C">
        <w:rPr>
          <w:rFonts w:ascii="Arial" w:hAnsi="Arial" w:cs="Arial"/>
          <w:color w:val="000000"/>
          <w:sz w:val="22"/>
          <w:szCs w:val="22"/>
        </w:rPr>
        <w:t>Modifícase</w:t>
      </w:r>
      <w:proofErr w:type="spellEnd"/>
      <w:r w:rsidRPr="0051698C">
        <w:rPr>
          <w:rFonts w:ascii="Arial" w:hAnsi="Arial" w:cs="Arial"/>
          <w:color w:val="000000"/>
          <w:sz w:val="22"/>
          <w:szCs w:val="22"/>
        </w:rPr>
        <w:t xml:space="preserve"> el literal b) del inciso 1.18 del primer párrafo del artículo 1 de la Resolución de Superintendencia N.</w:t>
      </w:r>
      <w:r w:rsidR="009864D2" w:rsidRPr="0051698C">
        <w:rPr>
          <w:rFonts w:ascii="Arial" w:hAnsi="Arial" w:cs="Arial"/>
          <w:color w:val="000000"/>
          <w:sz w:val="22"/>
          <w:szCs w:val="22"/>
        </w:rPr>
        <w:t>°</w:t>
      </w:r>
      <w:r w:rsidRPr="0051698C">
        <w:rPr>
          <w:rFonts w:ascii="Arial" w:hAnsi="Arial" w:cs="Arial"/>
          <w:color w:val="000000"/>
          <w:sz w:val="22"/>
          <w:szCs w:val="22"/>
        </w:rPr>
        <w:t xml:space="preserve"> 117-2017</w:t>
      </w:r>
      <w:r w:rsidR="00DC071F" w:rsidRPr="0051698C">
        <w:rPr>
          <w:rFonts w:ascii="Arial" w:hAnsi="Arial" w:cs="Arial"/>
          <w:color w:val="000000"/>
          <w:sz w:val="22"/>
          <w:szCs w:val="22"/>
        </w:rPr>
        <w:t>/</w:t>
      </w:r>
      <w:r w:rsidRPr="0051698C">
        <w:rPr>
          <w:rFonts w:ascii="Arial" w:hAnsi="Arial" w:cs="Arial"/>
          <w:color w:val="000000"/>
          <w:sz w:val="22"/>
          <w:szCs w:val="22"/>
        </w:rPr>
        <w:t xml:space="preserve">SUNAT y normas modificatorias e </w:t>
      </w:r>
      <w:proofErr w:type="spellStart"/>
      <w:r w:rsidRPr="0051698C">
        <w:rPr>
          <w:rFonts w:ascii="Arial" w:hAnsi="Arial" w:cs="Arial"/>
          <w:color w:val="000000"/>
          <w:sz w:val="22"/>
          <w:szCs w:val="22"/>
        </w:rPr>
        <w:t>incorpórase</w:t>
      </w:r>
      <w:proofErr w:type="spellEnd"/>
      <w:r w:rsidRPr="0051698C">
        <w:rPr>
          <w:rFonts w:ascii="Arial" w:hAnsi="Arial" w:cs="Arial"/>
          <w:color w:val="000000"/>
          <w:sz w:val="22"/>
          <w:szCs w:val="22"/>
        </w:rPr>
        <w:t xml:space="preserve"> en dicho artículo los incisos 1.42, 1.43 y 1.44, en los siguientes términos:</w:t>
      </w:r>
    </w:p>
    <w:p w:rsidR="009160B8" w:rsidRPr="0051698C" w:rsidRDefault="009160B8" w:rsidP="009160B8">
      <w:pPr>
        <w:pStyle w:val="NormalWeb"/>
        <w:ind w:left="0"/>
        <w:rPr>
          <w:rFonts w:ascii="Arial" w:hAnsi="Arial" w:cs="Arial"/>
          <w:sz w:val="22"/>
          <w:szCs w:val="22"/>
        </w:rPr>
      </w:pPr>
      <w:r w:rsidRPr="0051698C">
        <w:rPr>
          <w:rFonts w:ascii="Arial" w:hAnsi="Arial" w:cs="Arial"/>
          <w:color w:val="000000"/>
          <w:sz w:val="22"/>
          <w:szCs w:val="22"/>
        </w:rPr>
        <w:t>'Artículo 1. Definiciones</w:t>
      </w:r>
    </w:p>
    <w:p w:rsidR="009160B8" w:rsidRPr="0051698C" w:rsidRDefault="009160B8" w:rsidP="009160B8">
      <w:pPr>
        <w:pStyle w:val="NormalWeb"/>
        <w:ind w:left="0"/>
        <w:rPr>
          <w:rFonts w:ascii="Arial" w:hAnsi="Arial" w:cs="Arial"/>
          <w:color w:val="000000"/>
          <w:sz w:val="22"/>
          <w:szCs w:val="22"/>
        </w:rPr>
      </w:pPr>
      <w:r w:rsidRPr="0051698C">
        <w:rPr>
          <w:rFonts w:ascii="Arial" w:hAnsi="Arial" w:cs="Arial"/>
          <w:color w:val="000000"/>
          <w:sz w:val="22"/>
          <w:szCs w:val="22"/>
        </w:rPr>
        <w:t>(...)</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5"/>
        <w:gridCol w:w="1984"/>
        <w:gridCol w:w="284"/>
        <w:gridCol w:w="5451"/>
      </w:tblGrid>
      <w:tr w:rsidR="001D525E" w:rsidRPr="0051698C" w:rsidTr="00CE0ADE">
        <w:tc>
          <w:tcPr>
            <w:tcW w:w="645"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1.18</w:t>
            </w:r>
          </w:p>
        </w:tc>
        <w:tc>
          <w:tcPr>
            <w:tcW w:w="19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Formato digital</w:t>
            </w:r>
          </w:p>
        </w:tc>
        <w:tc>
          <w:tcPr>
            <w:tcW w:w="2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w:t>
            </w:r>
          </w:p>
        </w:tc>
        <w:tc>
          <w:tcPr>
            <w:tcW w:w="5451"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w:t>
            </w:r>
          </w:p>
          <w:p w:rsidR="004D4B7C" w:rsidRPr="0051698C" w:rsidRDefault="004D4B7C" w:rsidP="001D525E">
            <w:pPr>
              <w:pStyle w:val="NormalWeb"/>
              <w:spacing w:before="0" w:beforeAutospacing="0" w:after="0" w:afterAutospacing="0" w:line="220" w:lineRule="atLeast"/>
              <w:ind w:left="0"/>
              <w:rPr>
                <w:rFonts w:ascii="Arial" w:hAnsi="Arial" w:cs="Arial"/>
                <w:sz w:val="22"/>
                <w:szCs w:val="22"/>
              </w:rPr>
            </w:pPr>
          </w:p>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b) Formato XML, en el caso del resumen diario de boletas de venta, la comunicación de baja, el DAE, el CRE, el CPE, el resumen diario de reversiones del comprobante de retención electrónica y el resumen diario de reversiones del comprobante de percepción electrónica.</w:t>
            </w:r>
          </w:p>
        </w:tc>
      </w:tr>
      <w:tr w:rsidR="001D525E" w:rsidRPr="0051698C" w:rsidTr="00CE0ADE">
        <w:tc>
          <w:tcPr>
            <w:tcW w:w="645"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w:t>
            </w:r>
          </w:p>
          <w:p w:rsidR="00DC071F" w:rsidRPr="0051698C" w:rsidRDefault="00DC071F" w:rsidP="001D525E">
            <w:pPr>
              <w:pStyle w:val="NormalWeb"/>
              <w:spacing w:before="0" w:beforeAutospacing="0" w:after="0" w:afterAutospacing="0" w:line="220" w:lineRule="atLeast"/>
              <w:ind w:left="0"/>
              <w:rPr>
                <w:rFonts w:ascii="Arial" w:hAnsi="Arial" w:cs="Arial"/>
                <w:sz w:val="22"/>
                <w:szCs w:val="22"/>
              </w:rPr>
            </w:pPr>
          </w:p>
        </w:tc>
        <w:tc>
          <w:tcPr>
            <w:tcW w:w="19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p>
        </w:tc>
        <w:tc>
          <w:tcPr>
            <w:tcW w:w="2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p>
        </w:tc>
        <w:tc>
          <w:tcPr>
            <w:tcW w:w="5451"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p>
        </w:tc>
      </w:tr>
      <w:tr w:rsidR="001D525E" w:rsidRPr="0051698C" w:rsidTr="00CE0ADE">
        <w:tc>
          <w:tcPr>
            <w:tcW w:w="645"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1.42</w:t>
            </w:r>
          </w:p>
        </w:tc>
        <w:tc>
          <w:tcPr>
            <w:tcW w:w="19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DAE del operador</w:t>
            </w:r>
          </w:p>
        </w:tc>
        <w:tc>
          <w:tcPr>
            <w:tcW w:w="2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w:t>
            </w:r>
          </w:p>
        </w:tc>
        <w:tc>
          <w:tcPr>
            <w:tcW w:w="5451"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Al DAE que se emite en el supuesto señalado en el literal m) del inciso 6.1 del numeral 6 del artículo 4 del RCP.</w:t>
            </w:r>
          </w:p>
          <w:p w:rsidR="000860FB" w:rsidRPr="0051698C" w:rsidRDefault="000860FB" w:rsidP="001D525E">
            <w:pPr>
              <w:pStyle w:val="NormalWeb"/>
              <w:spacing w:before="0" w:beforeAutospacing="0" w:after="0" w:afterAutospacing="0" w:line="220" w:lineRule="atLeast"/>
              <w:ind w:left="0"/>
              <w:rPr>
                <w:rFonts w:ascii="Arial" w:hAnsi="Arial" w:cs="Arial"/>
                <w:sz w:val="22"/>
                <w:szCs w:val="22"/>
              </w:rPr>
            </w:pPr>
          </w:p>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p>
        </w:tc>
      </w:tr>
      <w:tr w:rsidR="001D525E" w:rsidRPr="0051698C" w:rsidTr="00CE0ADE">
        <w:tc>
          <w:tcPr>
            <w:tcW w:w="645"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1.43</w:t>
            </w:r>
          </w:p>
        </w:tc>
        <w:tc>
          <w:tcPr>
            <w:tcW w:w="19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DAE del partícipe</w:t>
            </w:r>
          </w:p>
        </w:tc>
        <w:tc>
          <w:tcPr>
            <w:tcW w:w="2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w:t>
            </w:r>
          </w:p>
        </w:tc>
        <w:tc>
          <w:tcPr>
            <w:tcW w:w="5451"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Al DAE que se emite en el supuesto señalado en el literal n) del inciso 6.1 del numeral 6 del artículo 4 del RCP.</w:t>
            </w:r>
          </w:p>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p>
        </w:tc>
      </w:tr>
      <w:tr w:rsidR="001D525E" w:rsidRPr="0051698C" w:rsidTr="00CE0ADE">
        <w:tc>
          <w:tcPr>
            <w:tcW w:w="645"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1.44</w:t>
            </w:r>
          </w:p>
        </w:tc>
        <w:tc>
          <w:tcPr>
            <w:tcW w:w="19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DAE de las empresas que desempeñan el rol adquirente</w:t>
            </w:r>
          </w:p>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p>
        </w:tc>
        <w:tc>
          <w:tcPr>
            <w:tcW w:w="284"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w:t>
            </w:r>
          </w:p>
        </w:tc>
        <w:tc>
          <w:tcPr>
            <w:tcW w:w="5451" w:type="dxa"/>
          </w:tcPr>
          <w:p w:rsidR="001D525E" w:rsidRPr="0051698C" w:rsidRDefault="001D525E" w:rsidP="001D525E">
            <w:pPr>
              <w:pStyle w:val="NormalWeb"/>
              <w:spacing w:before="0" w:beforeAutospacing="0" w:after="0" w:afterAutospacing="0" w:line="220" w:lineRule="atLeast"/>
              <w:ind w:left="0"/>
              <w:rPr>
                <w:rFonts w:ascii="Arial" w:hAnsi="Arial" w:cs="Arial"/>
                <w:sz w:val="22"/>
                <w:szCs w:val="22"/>
              </w:rPr>
            </w:pPr>
            <w:r w:rsidRPr="0051698C">
              <w:rPr>
                <w:rFonts w:ascii="Arial" w:hAnsi="Arial" w:cs="Arial"/>
                <w:sz w:val="22"/>
                <w:szCs w:val="22"/>
              </w:rPr>
              <w:t>Al DAE que se emite en los supuestos señalados en los literales j) y q) del inciso 6.1 del numeral 6 del artículo 4 del RCP.</w:t>
            </w:r>
            <w:r w:rsidRPr="0051698C">
              <w:rPr>
                <w:rFonts w:ascii="Arial" w:hAnsi="Arial" w:cs="Aharoni" w:hint="cs"/>
                <w:sz w:val="22"/>
                <w:szCs w:val="22"/>
              </w:rPr>
              <w:t>'</w:t>
            </w:r>
            <w:r w:rsidRPr="0051698C">
              <w:rPr>
                <w:rFonts w:ascii="Arial" w:hAnsi="Arial" w:cs="Arial"/>
                <w:sz w:val="22"/>
                <w:szCs w:val="22"/>
              </w:rPr>
              <w:t>”</w:t>
            </w:r>
          </w:p>
        </w:tc>
      </w:tr>
    </w:tbl>
    <w:p w:rsidR="009160B8" w:rsidRPr="0051698C" w:rsidRDefault="009160B8" w:rsidP="001D525E">
      <w:pPr>
        <w:pStyle w:val="NormalWeb"/>
        <w:spacing w:before="0" w:beforeAutospacing="0" w:after="0" w:afterAutospacing="0" w:line="220" w:lineRule="atLeast"/>
        <w:ind w:left="0"/>
        <w:rPr>
          <w:rFonts w:ascii="Arial" w:hAnsi="Arial" w:cs="Arial"/>
          <w:sz w:val="22"/>
          <w:szCs w:val="22"/>
        </w:rPr>
      </w:pPr>
    </w:p>
    <w:p w:rsidR="001D525E" w:rsidRPr="0051698C" w:rsidRDefault="001D525E" w:rsidP="00125F6F">
      <w:pPr>
        <w:pStyle w:val="Default"/>
        <w:jc w:val="both"/>
        <w:rPr>
          <w:bCs/>
          <w:sz w:val="22"/>
          <w:szCs w:val="22"/>
        </w:rPr>
      </w:pPr>
      <w:r w:rsidRPr="0051698C">
        <w:rPr>
          <w:sz w:val="22"/>
          <w:szCs w:val="22"/>
        </w:rPr>
        <w:t>5.</w:t>
      </w:r>
      <w:r w:rsidR="00E82816" w:rsidRPr="0051698C">
        <w:rPr>
          <w:sz w:val="22"/>
          <w:szCs w:val="22"/>
        </w:rPr>
        <w:t>9</w:t>
      </w:r>
      <w:r w:rsidRPr="0051698C">
        <w:rPr>
          <w:sz w:val="22"/>
          <w:szCs w:val="22"/>
        </w:rPr>
        <w:t xml:space="preserve"> </w:t>
      </w:r>
      <w:proofErr w:type="spellStart"/>
      <w:r w:rsidRPr="0051698C">
        <w:rPr>
          <w:bCs/>
          <w:sz w:val="22"/>
          <w:szCs w:val="22"/>
        </w:rPr>
        <w:t>Modifícase</w:t>
      </w:r>
      <w:proofErr w:type="spellEnd"/>
      <w:r w:rsidRPr="0051698C">
        <w:rPr>
          <w:bCs/>
          <w:sz w:val="22"/>
          <w:szCs w:val="22"/>
        </w:rPr>
        <w:t xml:space="preserve"> el</w:t>
      </w:r>
      <w:r w:rsidRPr="0051698C">
        <w:rPr>
          <w:sz w:val="22"/>
          <w:szCs w:val="22"/>
        </w:rPr>
        <w:t xml:space="preserve"> párrafo 4.2 de la cuarta disposición complementaria modificatoria de la Resolución de Superintendencia N.° </w:t>
      </w:r>
      <w:r w:rsidR="00A76CF2" w:rsidRPr="0051698C">
        <w:rPr>
          <w:sz w:val="22"/>
          <w:szCs w:val="22"/>
        </w:rPr>
        <w:t>0</w:t>
      </w:r>
      <w:r w:rsidRPr="0051698C">
        <w:rPr>
          <w:sz w:val="22"/>
          <w:szCs w:val="22"/>
        </w:rPr>
        <w:t>13-2019/SUNAT y norma modificatoria, en los términos siguientes:</w:t>
      </w:r>
    </w:p>
    <w:p w:rsidR="001D525E" w:rsidRPr="0051698C" w:rsidRDefault="001D525E" w:rsidP="0054265E">
      <w:pPr>
        <w:autoSpaceDE w:val="0"/>
        <w:autoSpaceDN w:val="0"/>
        <w:adjustRightInd w:val="0"/>
        <w:jc w:val="both"/>
        <w:rPr>
          <w:rFonts w:ascii="Arial" w:hAnsi="Arial" w:cs="Arial"/>
          <w:color w:val="000000"/>
          <w:lang w:eastAsia="es-PE"/>
        </w:rPr>
      </w:pPr>
    </w:p>
    <w:p w:rsidR="0054265E" w:rsidRPr="0051698C" w:rsidRDefault="001D525E" w:rsidP="0054265E">
      <w:pPr>
        <w:autoSpaceDE w:val="0"/>
        <w:autoSpaceDN w:val="0"/>
        <w:adjustRightInd w:val="0"/>
        <w:jc w:val="both"/>
        <w:rPr>
          <w:rFonts w:ascii="Arial" w:hAnsi="Arial" w:cs="Arial"/>
          <w:color w:val="000000"/>
          <w:lang w:eastAsia="es-PE"/>
        </w:rPr>
      </w:pPr>
      <w:r w:rsidRPr="0051698C">
        <w:rPr>
          <w:rFonts w:ascii="Arial" w:hAnsi="Arial" w:cs="Arial"/>
          <w:color w:val="000000"/>
          <w:lang w:eastAsia="es-PE"/>
        </w:rPr>
        <w:t>“</w:t>
      </w:r>
      <w:r w:rsidR="0054265E" w:rsidRPr="0051698C">
        <w:rPr>
          <w:rFonts w:ascii="Arial" w:hAnsi="Arial" w:cs="Arial"/>
          <w:color w:val="000000"/>
          <w:lang w:eastAsia="es-PE"/>
        </w:rPr>
        <w:t xml:space="preserve">4.2 </w:t>
      </w:r>
      <w:proofErr w:type="spellStart"/>
      <w:r w:rsidR="0054265E" w:rsidRPr="0051698C">
        <w:rPr>
          <w:rFonts w:ascii="Arial" w:hAnsi="Arial" w:cs="Arial"/>
          <w:color w:val="000000"/>
          <w:lang w:eastAsia="es-PE"/>
        </w:rPr>
        <w:t>Modifícase</w:t>
      </w:r>
      <w:proofErr w:type="spellEnd"/>
      <w:r w:rsidR="0054265E" w:rsidRPr="0051698C">
        <w:rPr>
          <w:rFonts w:ascii="Arial" w:hAnsi="Arial" w:cs="Arial"/>
          <w:color w:val="000000"/>
          <w:lang w:eastAsia="es-PE"/>
        </w:rPr>
        <w:t xml:space="preserve"> el inciso g) del párrafo 13.1 del artículo 13 de la Resolución de Superintendencia N.° 117-2017/SUNAT y normas modificatorias, en los siguientes términos: </w:t>
      </w:r>
    </w:p>
    <w:p w:rsidR="0054265E" w:rsidRPr="0051698C" w:rsidRDefault="0054265E" w:rsidP="0054265E">
      <w:pPr>
        <w:autoSpaceDE w:val="0"/>
        <w:autoSpaceDN w:val="0"/>
        <w:adjustRightInd w:val="0"/>
        <w:jc w:val="both"/>
        <w:rPr>
          <w:rFonts w:ascii="Arial" w:hAnsi="Arial" w:cs="Arial"/>
          <w:color w:val="000000"/>
          <w:lang w:eastAsia="es-PE"/>
        </w:rPr>
      </w:pPr>
    </w:p>
    <w:p w:rsidR="0054265E" w:rsidRPr="0051698C" w:rsidRDefault="001D525E" w:rsidP="0054265E">
      <w:pPr>
        <w:autoSpaceDE w:val="0"/>
        <w:autoSpaceDN w:val="0"/>
        <w:adjustRightInd w:val="0"/>
        <w:jc w:val="both"/>
        <w:rPr>
          <w:rFonts w:ascii="Arial" w:hAnsi="Arial" w:cs="Arial"/>
          <w:color w:val="000000"/>
          <w:lang w:eastAsia="es-PE"/>
        </w:rPr>
      </w:pPr>
      <w:r w:rsidRPr="0051698C">
        <w:rPr>
          <w:rFonts w:ascii="Arial" w:hAnsi="Arial" w:cs="Aharoni" w:hint="cs"/>
          <w:color w:val="000000"/>
          <w:lang w:eastAsia="es-PE"/>
        </w:rPr>
        <w:t>'</w:t>
      </w:r>
      <w:r w:rsidR="0054265E" w:rsidRPr="0051698C">
        <w:rPr>
          <w:rFonts w:ascii="Arial" w:hAnsi="Arial" w:cs="Arial"/>
          <w:color w:val="000000"/>
          <w:lang w:eastAsia="es-PE"/>
        </w:rPr>
        <w:t xml:space="preserve">Artículo 13. Condiciones para emitir el documento electrónico </w:t>
      </w:r>
    </w:p>
    <w:p w:rsidR="0054265E" w:rsidRPr="0051698C" w:rsidRDefault="0054265E" w:rsidP="0054265E">
      <w:pPr>
        <w:autoSpaceDE w:val="0"/>
        <w:autoSpaceDN w:val="0"/>
        <w:adjustRightInd w:val="0"/>
        <w:jc w:val="both"/>
        <w:rPr>
          <w:rFonts w:ascii="Arial" w:hAnsi="Arial" w:cs="Arial"/>
          <w:color w:val="000000"/>
          <w:lang w:eastAsia="es-PE"/>
        </w:rPr>
      </w:pPr>
    </w:p>
    <w:p w:rsidR="0054265E" w:rsidRPr="0051698C" w:rsidRDefault="0054265E" w:rsidP="0054265E">
      <w:pPr>
        <w:autoSpaceDE w:val="0"/>
        <w:autoSpaceDN w:val="0"/>
        <w:adjustRightInd w:val="0"/>
        <w:jc w:val="both"/>
        <w:rPr>
          <w:rFonts w:ascii="Arial" w:hAnsi="Arial" w:cs="Arial"/>
          <w:color w:val="000000"/>
          <w:lang w:eastAsia="es-PE"/>
        </w:rPr>
      </w:pPr>
      <w:r w:rsidRPr="0051698C">
        <w:rPr>
          <w:rFonts w:ascii="Arial" w:hAnsi="Arial" w:cs="Arial"/>
          <w:color w:val="000000"/>
          <w:lang w:eastAsia="es-PE"/>
        </w:rPr>
        <w:t xml:space="preserve">13.1 El emisor electrónico emite un documento electrónico si cumple con lo siguiente: </w:t>
      </w:r>
    </w:p>
    <w:p w:rsidR="0054265E" w:rsidRPr="0051698C" w:rsidRDefault="0054265E" w:rsidP="0054265E">
      <w:pPr>
        <w:autoSpaceDE w:val="0"/>
        <w:autoSpaceDN w:val="0"/>
        <w:adjustRightInd w:val="0"/>
        <w:jc w:val="both"/>
        <w:rPr>
          <w:rFonts w:ascii="Arial" w:hAnsi="Arial" w:cs="Arial"/>
          <w:color w:val="000000"/>
          <w:lang w:eastAsia="es-PE"/>
        </w:rPr>
      </w:pPr>
    </w:p>
    <w:p w:rsidR="0054265E" w:rsidRPr="0051698C" w:rsidRDefault="0054265E" w:rsidP="0054265E">
      <w:pPr>
        <w:autoSpaceDE w:val="0"/>
        <w:autoSpaceDN w:val="0"/>
        <w:adjustRightInd w:val="0"/>
        <w:jc w:val="both"/>
        <w:rPr>
          <w:rFonts w:ascii="Arial" w:hAnsi="Arial" w:cs="Arial"/>
          <w:color w:val="000000"/>
          <w:lang w:eastAsia="es-PE"/>
        </w:rPr>
      </w:pPr>
      <w:r w:rsidRPr="0051698C">
        <w:rPr>
          <w:rFonts w:ascii="Arial" w:hAnsi="Arial" w:cs="Arial"/>
          <w:color w:val="000000"/>
          <w:lang w:eastAsia="es-PE"/>
        </w:rPr>
        <w:t xml:space="preserve">(…) </w:t>
      </w:r>
    </w:p>
    <w:p w:rsidR="0054265E" w:rsidRPr="0051698C" w:rsidRDefault="0054265E" w:rsidP="0054265E">
      <w:pPr>
        <w:autoSpaceDE w:val="0"/>
        <w:autoSpaceDN w:val="0"/>
        <w:adjustRightInd w:val="0"/>
        <w:jc w:val="both"/>
        <w:rPr>
          <w:rFonts w:ascii="Arial" w:hAnsi="Arial" w:cs="Arial"/>
          <w:color w:val="000000"/>
          <w:lang w:eastAsia="es-PE"/>
        </w:rPr>
      </w:pPr>
    </w:p>
    <w:p w:rsidR="0054265E" w:rsidRPr="0051698C" w:rsidRDefault="0054265E" w:rsidP="0054265E">
      <w:pPr>
        <w:autoSpaceDE w:val="0"/>
        <w:autoSpaceDN w:val="0"/>
        <w:adjustRightInd w:val="0"/>
        <w:jc w:val="both"/>
        <w:rPr>
          <w:rFonts w:ascii="Arial" w:hAnsi="Arial" w:cs="Arial"/>
          <w:color w:val="000000"/>
          <w:lang w:eastAsia="es-PE"/>
        </w:rPr>
      </w:pPr>
      <w:r w:rsidRPr="0051698C">
        <w:rPr>
          <w:rFonts w:ascii="Arial" w:hAnsi="Arial" w:cs="Arial"/>
          <w:color w:val="000000"/>
          <w:lang w:eastAsia="es-PE"/>
        </w:rPr>
        <w:t xml:space="preserve">g) La factura electrónica, el DAE, la nota electrónica vinculada a aquellos y la GRE deben contar con el formato digital. En consecuencia, tiene que existir información en los campos indicados como condiciones de emisión en los anexos </w:t>
      </w:r>
      <w:proofErr w:type="spellStart"/>
      <w:r w:rsidRPr="0051698C">
        <w:rPr>
          <w:rFonts w:ascii="Arial" w:hAnsi="Arial" w:cs="Arial"/>
          <w:color w:val="000000"/>
          <w:lang w:eastAsia="es-PE"/>
        </w:rPr>
        <w:t>N.°</w:t>
      </w:r>
      <w:r w:rsidRPr="0051698C">
        <w:rPr>
          <w:rFonts w:ascii="Arial" w:hAnsi="Arial" w:cs="Arial"/>
          <w:color w:val="000000"/>
          <w:vertAlign w:val="superscript"/>
          <w:lang w:eastAsia="es-PE"/>
        </w:rPr>
        <w:t>s</w:t>
      </w:r>
      <w:proofErr w:type="spellEnd"/>
      <w:r w:rsidRPr="0051698C">
        <w:rPr>
          <w:rFonts w:ascii="Arial" w:hAnsi="Arial" w:cs="Arial"/>
          <w:color w:val="000000"/>
          <w:lang w:eastAsia="es-PE"/>
        </w:rPr>
        <w:t xml:space="preserve"> 1, 3, 4, 12, 25 y 26, según corresponda, y se debe cumplir las validaciones especificadas en esos anexos.</w:t>
      </w:r>
      <w:r w:rsidR="001D525E" w:rsidRPr="0051698C">
        <w:rPr>
          <w:rFonts w:ascii="Arial" w:hAnsi="Arial" w:cs="Aharoni" w:hint="cs"/>
          <w:color w:val="000000"/>
          <w:lang w:eastAsia="es-PE"/>
        </w:rPr>
        <w:t>'</w:t>
      </w:r>
      <w:r w:rsidRPr="0051698C">
        <w:rPr>
          <w:rFonts w:ascii="Arial" w:hAnsi="Arial" w:cs="Arial"/>
          <w:color w:val="000000"/>
          <w:lang w:eastAsia="es-PE"/>
        </w:rPr>
        <w:t>”</w:t>
      </w:r>
    </w:p>
    <w:p w:rsidR="001D525E" w:rsidRPr="0051698C" w:rsidRDefault="001D525E" w:rsidP="001D525E">
      <w:pPr>
        <w:pStyle w:val="Default"/>
        <w:rPr>
          <w:sz w:val="22"/>
          <w:szCs w:val="22"/>
        </w:rPr>
      </w:pPr>
      <w:bookmarkStart w:id="46" w:name="JD_013-2019-SUNAT43"/>
      <w:bookmarkEnd w:id="46"/>
    </w:p>
    <w:p w:rsidR="001D525E" w:rsidRPr="0051698C" w:rsidRDefault="001D525E" w:rsidP="00125F6F">
      <w:pPr>
        <w:pStyle w:val="Default"/>
        <w:jc w:val="both"/>
        <w:rPr>
          <w:bCs/>
          <w:sz w:val="22"/>
          <w:szCs w:val="22"/>
        </w:rPr>
      </w:pPr>
      <w:r w:rsidRPr="0051698C">
        <w:rPr>
          <w:sz w:val="22"/>
          <w:szCs w:val="22"/>
        </w:rPr>
        <w:t>5.</w:t>
      </w:r>
      <w:r w:rsidR="00E82816" w:rsidRPr="0051698C">
        <w:rPr>
          <w:sz w:val="22"/>
          <w:szCs w:val="22"/>
        </w:rPr>
        <w:t>10</w:t>
      </w:r>
      <w:r w:rsidRPr="0051698C">
        <w:rPr>
          <w:sz w:val="22"/>
          <w:szCs w:val="22"/>
        </w:rPr>
        <w:t xml:space="preserve"> </w:t>
      </w:r>
      <w:proofErr w:type="spellStart"/>
      <w:r w:rsidRPr="0051698C">
        <w:rPr>
          <w:bCs/>
          <w:sz w:val="22"/>
          <w:szCs w:val="22"/>
        </w:rPr>
        <w:t>Modifícase</w:t>
      </w:r>
      <w:proofErr w:type="spellEnd"/>
      <w:r w:rsidRPr="0051698C">
        <w:rPr>
          <w:bCs/>
          <w:sz w:val="22"/>
          <w:szCs w:val="22"/>
        </w:rPr>
        <w:t xml:space="preserve"> el</w:t>
      </w:r>
      <w:r w:rsidRPr="0051698C">
        <w:rPr>
          <w:sz w:val="22"/>
          <w:szCs w:val="22"/>
        </w:rPr>
        <w:t xml:space="preserve"> párrafo 4.3 de la cuarta disposición complementaria modificatoria de la Resolución de Superintendencia N.° </w:t>
      </w:r>
      <w:r w:rsidR="00A76CF2" w:rsidRPr="0051698C">
        <w:rPr>
          <w:sz w:val="22"/>
          <w:szCs w:val="22"/>
        </w:rPr>
        <w:t>0</w:t>
      </w:r>
      <w:r w:rsidRPr="0051698C">
        <w:rPr>
          <w:sz w:val="22"/>
          <w:szCs w:val="22"/>
        </w:rPr>
        <w:t>13-2019/SUNAT y norma modificatoria, en los términos siguientes:</w:t>
      </w:r>
    </w:p>
    <w:p w:rsidR="000860FB" w:rsidRPr="0051698C" w:rsidRDefault="001D525E" w:rsidP="0054265E">
      <w:pPr>
        <w:pStyle w:val="NormalWeb"/>
        <w:ind w:left="0"/>
        <w:rPr>
          <w:rFonts w:ascii="Arial" w:hAnsi="Arial" w:cs="Arial"/>
          <w:color w:val="000000"/>
          <w:sz w:val="22"/>
          <w:szCs w:val="22"/>
        </w:rPr>
      </w:pPr>
      <w:r w:rsidRPr="0051698C">
        <w:rPr>
          <w:rFonts w:ascii="Arial" w:hAnsi="Arial" w:cs="Arial"/>
          <w:color w:val="000000"/>
          <w:sz w:val="22"/>
          <w:szCs w:val="22"/>
          <w:lang w:val="es-PE"/>
        </w:rPr>
        <w:lastRenderedPageBreak/>
        <w:t>“</w:t>
      </w:r>
      <w:r w:rsidR="0054265E" w:rsidRPr="0051698C">
        <w:rPr>
          <w:rFonts w:ascii="Arial" w:hAnsi="Arial" w:cs="Arial"/>
          <w:color w:val="000000"/>
          <w:sz w:val="22"/>
          <w:szCs w:val="22"/>
        </w:rPr>
        <w:t xml:space="preserve">4.3 </w:t>
      </w:r>
      <w:proofErr w:type="spellStart"/>
      <w:r w:rsidR="0054265E" w:rsidRPr="0051698C">
        <w:rPr>
          <w:rFonts w:ascii="Arial" w:hAnsi="Arial" w:cs="Arial"/>
          <w:color w:val="000000"/>
          <w:sz w:val="22"/>
          <w:szCs w:val="22"/>
        </w:rPr>
        <w:t>Modifícase</w:t>
      </w:r>
      <w:proofErr w:type="spellEnd"/>
      <w:r w:rsidR="0054265E" w:rsidRPr="0051698C">
        <w:rPr>
          <w:rFonts w:ascii="Arial" w:hAnsi="Arial" w:cs="Arial"/>
          <w:color w:val="000000"/>
          <w:sz w:val="22"/>
          <w:szCs w:val="22"/>
        </w:rPr>
        <w:t xml:space="preserve"> el literal a) del inciso 18.1.3 y el inciso 18.1.4 párrafo 18.1 del artículo 18 de la Resolución de Superintendencia N.° 117-2017/SUNAT y normas modificatorias, en los siguientes términos:</w:t>
      </w:r>
    </w:p>
    <w:p w:rsidR="0054265E" w:rsidRPr="0051698C" w:rsidRDefault="001D525E" w:rsidP="0054265E">
      <w:pPr>
        <w:pStyle w:val="NormalWeb"/>
        <w:ind w:left="0"/>
        <w:rPr>
          <w:rFonts w:ascii="Arial" w:hAnsi="Arial" w:cs="Arial"/>
          <w:sz w:val="22"/>
          <w:szCs w:val="22"/>
        </w:rPr>
      </w:pPr>
      <w:r w:rsidRPr="0051698C">
        <w:rPr>
          <w:rFonts w:ascii="Arial" w:hAnsi="Arial" w:cs="Aharoni" w:hint="cs"/>
          <w:color w:val="000000"/>
          <w:sz w:val="22"/>
          <w:szCs w:val="22"/>
        </w:rPr>
        <w:t>'</w:t>
      </w:r>
      <w:r w:rsidR="0054265E" w:rsidRPr="0051698C">
        <w:rPr>
          <w:rFonts w:ascii="Arial" w:hAnsi="Arial" w:cs="Arial"/>
          <w:color w:val="000000"/>
          <w:sz w:val="22"/>
          <w:szCs w:val="22"/>
        </w:rPr>
        <w:t>Artículo 18. Otorgamiento</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18.1 El comprobante de pago electrónico y la nota electrónica se consideran otorgados:</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18.1.3 Tratándose del DAE y la nota electrónica vinculada a aquel, si:</w:t>
      </w:r>
    </w:p>
    <w:p w:rsidR="0054265E" w:rsidRPr="0051698C" w:rsidRDefault="0054265E" w:rsidP="0054265E">
      <w:pPr>
        <w:pStyle w:val="NormalWeb"/>
        <w:ind w:left="0"/>
        <w:rPr>
          <w:rFonts w:ascii="Arial" w:hAnsi="Arial" w:cs="Arial"/>
          <w:sz w:val="22"/>
          <w:szCs w:val="22"/>
        </w:rPr>
      </w:pPr>
      <w:r w:rsidRPr="0051698C">
        <w:rPr>
          <w:rFonts w:ascii="Arial" w:hAnsi="Arial" w:cs="Arial"/>
          <w:color w:val="000000"/>
          <w:sz w:val="22"/>
          <w:szCs w:val="22"/>
        </w:rPr>
        <w:t xml:space="preserve">a) El adquirente o usuario proporciona su número de RUC, al ser entregados o puestos a disposición de este mediante medios electrónicos. </w:t>
      </w:r>
    </w:p>
    <w:p w:rsidR="0054265E" w:rsidRPr="0051698C" w:rsidRDefault="0054265E" w:rsidP="0054265E">
      <w:pPr>
        <w:pStyle w:val="NormalWeb"/>
        <w:ind w:left="0"/>
        <w:rPr>
          <w:rFonts w:ascii="Arial" w:hAnsi="Arial" w:cs="Arial"/>
          <w:color w:val="000000"/>
          <w:sz w:val="22"/>
          <w:szCs w:val="22"/>
        </w:rPr>
      </w:pPr>
      <w:r w:rsidRPr="0051698C">
        <w:rPr>
          <w:rFonts w:ascii="Arial" w:hAnsi="Arial" w:cs="Arial"/>
          <w:color w:val="000000"/>
          <w:sz w:val="22"/>
          <w:szCs w:val="22"/>
        </w:rPr>
        <w:t>(...)</w:t>
      </w:r>
    </w:p>
    <w:p w:rsidR="001D525E" w:rsidRPr="0051698C" w:rsidRDefault="001D525E" w:rsidP="001D525E">
      <w:pPr>
        <w:pStyle w:val="NormalWeb"/>
        <w:ind w:left="0"/>
        <w:rPr>
          <w:sz w:val="22"/>
          <w:szCs w:val="22"/>
        </w:rPr>
      </w:pPr>
      <w:r w:rsidRPr="0051698C">
        <w:rPr>
          <w:rFonts w:ascii="Arial" w:hAnsi="Arial" w:cs="Arial"/>
          <w:color w:val="000000"/>
          <w:sz w:val="22"/>
          <w:szCs w:val="22"/>
        </w:rPr>
        <w:t>18.1.4 Tratándose de la nota electrónica que modifique los documentos autorizados contemplados en los literales c), f), j), ll), m), n), p) y q) del inciso 6.1, el literal h) del inciso 6.2 y el literal b) del inciso 6.3 del numeral 6 del artículo 4 del RCP y de la nota de débito electrónica que modifique los documentos autorizados contemplados en el literal l) del inciso 6.1 y el acápite d.2) del literal d) del inciso 6.2 del numeral 6 del artículo 4 del RCP, cuando sea entregada o puesta a disposición del adquirente o usuario mediante medios electrónicos.</w:t>
      </w:r>
      <w:r w:rsidRPr="0051698C">
        <w:rPr>
          <w:rFonts w:ascii="Arial" w:hAnsi="Arial" w:cs="Aharoni" w:hint="cs"/>
          <w:color w:val="000000"/>
          <w:sz w:val="22"/>
          <w:szCs w:val="22"/>
        </w:rPr>
        <w:t>'</w:t>
      </w:r>
      <w:r w:rsidRPr="0051698C">
        <w:rPr>
          <w:rFonts w:ascii="Arial" w:hAnsi="Arial" w:cs="Arial"/>
          <w:color w:val="000000"/>
          <w:sz w:val="22"/>
          <w:szCs w:val="22"/>
        </w:rPr>
        <w:t>”</w:t>
      </w:r>
    </w:p>
    <w:p w:rsidR="00DC67B6" w:rsidRPr="0051698C" w:rsidRDefault="00DC67B6" w:rsidP="00DC67B6">
      <w:pPr>
        <w:pStyle w:val="Default"/>
        <w:jc w:val="both"/>
        <w:rPr>
          <w:bCs/>
          <w:sz w:val="22"/>
          <w:szCs w:val="22"/>
        </w:rPr>
      </w:pPr>
      <w:r w:rsidRPr="0051698C">
        <w:rPr>
          <w:sz w:val="22"/>
          <w:szCs w:val="22"/>
        </w:rPr>
        <w:t>5.1</w:t>
      </w:r>
      <w:r w:rsidR="00E82816" w:rsidRPr="0051698C">
        <w:rPr>
          <w:sz w:val="22"/>
          <w:szCs w:val="22"/>
        </w:rPr>
        <w:t>1</w:t>
      </w:r>
      <w:r w:rsidRPr="0051698C">
        <w:rPr>
          <w:sz w:val="22"/>
          <w:szCs w:val="22"/>
        </w:rPr>
        <w:t xml:space="preserve"> </w:t>
      </w:r>
      <w:proofErr w:type="spellStart"/>
      <w:r w:rsidRPr="0051698C">
        <w:rPr>
          <w:bCs/>
          <w:sz w:val="22"/>
          <w:szCs w:val="22"/>
        </w:rPr>
        <w:t>Modifícase</w:t>
      </w:r>
      <w:proofErr w:type="spellEnd"/>
      <w:r w:rsidRPr="0051698C">
        <w:rPr>
          <w:bCs/>
          <w:sz w:val="22"/>
          <w:szCs w:val="22"/>
        </w:rPr>
        <w:t xml:space="preserve"> el</w:t>
      </w:r>
      <w:r w:rsidRPr="0051698C">
        <w:rPr>
          <w:sz w:val="22"/>
          <w:szCs w:val="22"/>
        </w:rPr>
        <w:t xml:space="preserve"> párrafo 4.6 de la cuarta disposición complementaria modificatoria de la Resolución de Superintendencia N.° </w:t>
      </w:r>
      <w:r w:rsidR="00A76CF2" w:rsidRPr="0051698C">
        <w:rPr>
          <w:sz w:val="22"/>
          <w:szCs w:val="22"/>
        </w:rPr>
        <w:t>0</w:t>
      </w:r>
      <w:r w:rsidRPr="0051698C">
        <w:rPr>
          <w:sz w:val="22"/>
          <w:szCs w:val="22"/>
        </w:rPr>
        <w:t>13-2019/SUNAT y norma modificatoria, en los términos siguientes:</w:t>
      </w:r>
    </w:p>
    <w:p w:rsidR="00012303" w:rsidRPr="0051698C" w:rsidRDefault="00012303" w:rsidP="00012303">
      <w:pPr>
        <w:pStyle w:val="NormalWeb"/>
        <w:ind w:left="0"/>
        <w:rPr>
          <w:rFonts w:ascii="Arial" w:hAnsi="Arial" w:cs="Arial"/>
          <w:sz w:val="22"/>
          <w:szCs w:val="22"/>
        </w:rPr>
      </w:pPr>
      <w:r w:rsidRPr="0051698C">
        <w:rPr>
          <w:rFonts w:ascii="Arial" w:hAnsi="Arial" w:cs="Arial"/>
          <w:color w:val="000000"/>
          <w:sz w:val="22"/>
          <w:szCs w:val="22"/>
        </w:rPr>
        <w:t>“</w:t>
      </w:r>
      <w:r w:rsidR="00A76CF2" w:rsidRPr="0051698C">
        <w:rPr>
          <w:rFonts w:ascii="Arial" w:hAnsi="Arial" w:cs="Arial"/>
          <w:color w:val="000000"/>
          <w:sz w:val="22"/>
          <w:szCs w:val="22"/>
        </w:rPr>
        <w:t xml:space="preserve">4.6 </w:t>
      </w:r>
      <w:proofErr w:type="spellStart"/>
      <w:r w:rsidRPr="0051698C">
        <w:rPr>
          <w:rFonts w:ascii="Arial" w:hAnsi="Arial" w:cs="Arial"/>
          <w:color w:val="000000"/>
          <w:sz w:val="22"/>
          <w:szCs w:val="22"/>
        </w:rPr>
        <w:t>Modifícase</w:t>
      </w:r>
      <w:proofErr w:type="spellEnd"/>
      <w:r w:rsidRPr="0051698C">
        <w:rPr>
          <w:rFonts w:ascii="Arial" w:hAnsi="Arial" w:cs="Arial"/>
          <w:color w:val="000000"/>
          <w:sz w:val="22"/>
          <w:szCs w:val="22"/>
        </w:rPr>
        <w:t xml:space="preserve"> el literal f) del inciso 28.2.1 del párrafo 28.2 y el inciso 28.3.4 del párrafo 28.3 del artículo 28 de la Resolución de Superintendencia N.</w:t>
      </w:r>
      <w:r w:rsidR="00815B08" w:rsidRPr="0051698C">
        <w:rPr>
          <w:rFonts w:ascii="Arial" w:hAnsi="Arial" w:cs="Arial"/>
          <w:color w:val="000000"/>
          <w:sz w:val="22"/>
          <w:szCs w:val="22"/>
        </w:rPr>
        <w:t>°</w:t>
      </w:r>
      <w:r w:rsidRPr="0051698C">
        <w:rPr>
          <w:rFonts w:ascii="Arial" w:hAnsi="Arial" w:cs="Arial"/>
          <w:color w:val="000000"/>
          <w:sz w:val="22"/>
          <w:szCs w:val="22"/>
        </w:rPr>
        <w:t xml:space="preserve"> 117-2017/SUNAT y normas modificatorias, en los siguientes términos:</w:t>
      </w:r>
    </w:p>
    <w:p w:rsidR="00012303" w:rsidRPr="0051698C" w:rsidRDefault="00012303" w:rsidP="00012303">
      <w:pPr>
        <w:pStyle w:val="NormalWeb"/>
        <w:ind w:left="0"/>
        <w:rPr>
          <w:sz w:val="22"/>
          <w:szCs w:val="22"/>
        </w:rPr>
      </w:pPr>
      <w:r w:rsidRPr="0051698C">
        <w:rPr>
          <w:rFonts w:ascii="Arial" w:hAnsi="Arial" w:cs="Aharoni" w:hint="cs"/>
          <w:color w:val="000000"/>
          <w:sz w:val="22"/>
          <w:szCs w:val="22"/>
        </w:rPr>
        <w:t>'</w:t>
      </w:r>
      <w:r w:rsidRPr="0051698C">
        <w:rPr>
          <w:rFonts w:ascii="Arial" w:hAnsi="Arial" w:cs="Aharoni"/>
          <w:color w:val="000000"/>
          <w:sz w:val="22"/>
          <w:szCs w:val="22"/>
        </w:rPr>
        <w:t>A</w:t>
      </w:r>
      <w:r w:rsidRPr="0051698C">
        <w:rPr>
          <w:rFonts w:ascii="Arial" w:hAnsi="Arial" w:cs="Arial"/>
          <w:color w:val="000000"/>
          <w:sz w:val="22"/>
          <w:szCs w:val="22"/>
        </w:rPr>
        <w:t>rtículo 28. Notas electrónicas emitidas respecto de comprobantes de pago no emitidos en el SEE - OSE</w:t>
      </w:r>
    </w:p>
    <w:p w:rsidR="00012303" w:rsidRPr="0051698C" w:rsidRDefault="00012303" w:rsidP="00012303">
      <w:pPr>
        <w:pStyle w:val="NormalWeb"/>
        <w:ind w:left="0"/>
        <w:rPr>
          <w:sz w:val="22"/>
          <w:szCs w:val="22"/>
        </w:rPr>
      </w:pPr>
      <w:r w:rsidRPr="0051698C">
        <w:rPr>
          <w:rFonts w:ascii="Arial" w:hAnsi="Arial" w:cs="Arial"/>
          <w:color w:val="000000"/>
          <w:sz w:val="22"/>
          <w:szCs w:val="22"/>
        </w:rPr>
        <w:t>(...)</w:t>
      </w:r>
    </w:p>
    <w:p w:rsidR="00012303" w:rsidRPr="0051698C" w:rsidRDefault="00012303" w:rsidP="00012303">
      <w:pPr>
        <w:pStyle w:val="NormalWeb"/>
        <w:ind w:left="0"/>
        <w:rPr>
          <w:sz w:val="22"/>
          <w:szCs w:val="22"/>
        </w:rPr>
      </w:pPr>
      <w:r w:rsidRPr="0051698C">
        <w:rPr>
          <w:rFonts w:ascii="Arial" w:hAnsi="Arial" w:cs="Arial"/>
          <w:color w:val="000000"/>
          <w:sz w:val="22"/>
          <w:szCs w:val="22"/>
        </w:rPr>
        <w:lastRenderedPageBreak/>
        <w:t>28.2 Nota de crédito electrónica</w:t>
      </w:r>
    </w:p>
    <w:p w:rsidR="00012303" w:rsidRPr="0051698C" w:rsidRDefault="00012303" w:rsidP="00012303">
      <w:pPr>
        <w:pStyle w:val="NormalWeb"/>
        <w:ind w:left="0"/>
        <w:rPr>
          <w:sz w:val="22"/>
          <w:szCs w:val="22"/>
        </w:rPr>
      </w:pPr>
      <w:r w:rsidRPr="0051698C">
        <w:rPr>
          <w:rFonts w:ascii="Arial" w:hAnsi="Arial" w:cs="Arial"/>
          <w:color w:val="000000"/>
          <w:sz w:val="22"/>
          <w:szCs w:val="22"/>
        </w:rPr>
        <w:t>28.2.1 El emisor electrónico puede optar por emitir una nota de crédito electrónica respecto de:</w:t>
      </w:r>
    </w:p>
    <w:p w:rsidR="00012303" w:rsidRPr="0051698C" w:rsidRDefault="00012303" w:rsidP="00012303">
      <w:pPr>
        <w:pStyle w:val="NormalWeb"/>
        <w:ind w:left="0"/>
        <w:rPr>
          <w:sz w:val="22"/>
          <w:szCs w:val="22"/>
        </w:rPr>
      </w:pPr>
      <w:r w:rsidRPr="0051698C">
        <w:rPr>
          <w:rFonts w:ascii="Arial" w:hAnsi="Arial" w:cs="Arial"/>
          <w:color w:val="000000"/>
          <w:sz w:val="22"/>
          <w:szCs w:val="22"/>
        </w:rPr>
        <w:t>(...)</w:t>
      </w:r>
    </w:p>
    <w:p w:rsidR="00012303" w:rsidRPr="0051698C" w:rsidRDefault="00012303" w:rsidP="00012303">
      <w:pPr>
        <w:pStyle w:val="NormalWeb"/>
        <w:ind w:left="0"/>
        <w:rPr>
          <w:sz w:val="22"/>
          <w:szCs w:val="22"/>
        </w:rPr>
      </w:pPr>
      <w:r w:rsidRPr="0051698C">
        <w:rPr>
          <w:rFonts w:ascii="Arial" w:hAnsi="Arial" w:cs="Arial"/>
          <w:color w:val="000000"/>
          <w:sz w:val="22"/>
          <w:szCs w:val="22"/>
        </w:rPr>
        <w:t>f) Los documentos autorizados contemplados en los literales c), f), j), ll), m), n), p) y q) del inciso 6.1, el literal h) del inciso 6.2 y el literal b) del inciso 6.3 del numeral 6 del artículo 4 del RCP, siempre que hayan sido emitidos en los casos en que, conforme a la presente resolución, se puede emitir una boleta de venta electrónica, una factura electrónica o un DAE, salvo que una norma disponga expresamente algo distinto. Además, un ejemplar de la nota de crédito electrónica se debe remitir a la SUNAT según lo señalado en el acápite i) del literal c) de este inciso.</w:t>
      </w:r>
    </w:p>
    <w:p w:rsidR="00012303" w:rsidRPr="0051698C" w:rsidRDefault="00012303" w:rsidP="00012303">
      <w:pPr>
        <w:pStyle w:val="NormalWeb"/>
        <w:ind w:left="0"/>
        <w:rPr>
          <w:sz w:val="22"/>
          <w:szCs w:val="22"/>
        </w:rPr>
      </w:pPr>
      <w:r w:rsidRPr="0051698C">
        <w:rPr>
          <w:rFonts w:ascii="Arial" w:hAnsi="Arial" w:cs="Arial"/>
          <w:color w:val="000000"/>
          <w:sz w:val="22"/>
          <w:szCs w:val="22"/>
        </w:rPr>
        <w:t>28.3 Nota de débito electrónica</w:t>
      </w:r>
    </w:p>
    <w:p w:rsidR="00012303" w:rsidRPr="0051698C" w:rsidRDefault="00012303" w:rsidP="00012303">
      <w:pPr>
        <w:pStyle w:val="NormalWeb"/>
        <w:ind w:left="0"/>
        <w:rPr>
          <w:sz w:val="22"/>
          <w:szCs w:val="22"/>
        </w:rPr>
      </w:pPr>
      <w:r w:rsidRPr="0051698C">
        <w:rPr>
          <w:rFonts w:ascii="Arial" w:hAnsi="Arial" w:cs="Arial"/>
          <w:color w:val="000000"/>
          <w:sz w:val="22"/>
          <w:szCs w:val="22"/>
        </w:rPr>
        <w:t>El emisor electrónico puede optar por emitir una nota de débito electrónica respecto de:</w:t>
      </w:r>
    </w:p>
    <w:p w:rsidR="00012303" w:rsidRPr="0051698C" w:rsidRDefault="00012303" w:rsidP="00012303">
      <w:pPr>
        <w:pStyle w:val="NormalWeb"/>
        <w:ind w:left="0"/>
        <w:rPr>
          <w:sz w:val="22"/>
          <w:szCs w:val="22"/>
        </w:rPr>
      </w:pPr>
      <w:r w:rsidRPr="0051698C">
        <w:rPr>
          <w:rFonts w:ascii="Arial" w:hAnsi="Arial" w:cs="Arial"/>
          <w:color w:val="000000"/>
          <w:sz w:val="22"/>
          <w:szCs w:val="22"/>
        </w:rPr>
        <w:t>(...)</w:t>
      </w:r>
    </w:p>
    <w:p w:rsidR="00012303" w:rsidRPr="0051698C" w:rsidRDefault="00012303" w:rsidP="00012303">
      <w:pPr>
        <w:pStyle w:val="NormalWeb"/>
        <w:ind w:left="0"/>
      </w:pPr>
      <w:r w:rsidRPr="0051698C">
        <w:rPr>
          <w:rFonts w:ascii="Arial" w:hAnsi="Arial" w:cs="Arial"/>
          <w:color w:val="000000"/>
          <w:sz w:val="22"/>
          <w:szCs w:val="22"/>
        </w:rPr>
        <w:t>28.3.4 Los documentos autorizados contemplados en los literales c), f), j), ll), m), n), p) y q) del inciso 6.1; el acápite d.2) del literal d) y el literal h) del inciso 6.2 y el literal b) del inciso 6.3 del numeral 6 del artículo 4 del RCP. Además, un ejemplar de la nota de débito electrónica se debe remitir al OSE según el párrafo 15.1 del artículo 15. A esa nota se le aplican las demás disposiciones referidas a las notas de débito electrónicas vinculadas a la factura electrónica o al DAE que prevé esta resolución, según el tipo de comprobante electrónico que correspondía emitir, salvo que se disponga expresamente algo distinto.</w:t>
      </w:r>
      <w:r w:rsidRPr="0051698C">
        <w:rPr>
          <w:rFonts w:ascii="Arial" w:hAnsi="Arial" w:cs="Aharoni" w:hint="cs"/>
          <w:color w:val="000000"/>
          <w:sz w:val="22"/>
          <w:szCs w:val="22"/>
        </w:rPr>
        <w:t>'</w:t>
      </w:r>
      <w:r w:rsidRPr="0051698C">
        <w:rPr>
          <w:rFonts w:ascii="Arial" w:hAnsi="Arial" w:cs="Arial"/>
          <w:color w:val="000000"/>
          <w:sz w:val="22"/>
          <w:szCs w:val="22"/>
        </w:rPr>
        <w:t>”</w:t>
      </w:r>
    </w:p>
    <w:p w:rsidR="00125F6F" w:rsidRPr="0051698C" w:rsidRDefault="00125F6F" w:rsidP="00125F6F">
      <w:pPr>
        <w:pStyle w:val="Default"/>
        <w:jc w:val="both"/>
        <w:rPr>
          <w:sz w:val="22"/>
          <w:szCs w:val="22"/>
        </w:rPr>
      </w:pPr>
      <w:r w:rsidRPr="0051698C">
        <w:rPr>
          <w:sz w:val="22"/>
          <w:szCs w:val="22"/>
        </w:rPr>
        <w:t>5.1</w:t>
      </w:r>
      <w:r w:rsidR="00E82816" w:rsidRPr="0051698C">
        <w:rPr>
          <w:sz w:val="22"/>
          <w:szCs w:val="22"/>
        </w:rPr>
        <w:t>2</w:t>
      </w:r>
      <w:r w:rsidRPr="0051698C">
        <w:rPr>
          <w:sz w:val="22"/>
          <w:szCs w:val="22"/>
        </w:rPr>
        <w:t xml:space="preserve"> </w:t>
      </w:r>
      <w:proofErr w:type="spellStart"/>
      <w:r w:rsidRPr="0051698C">
        <w:rPr>
          <w:sz w:val="22"/>
          <w:szCs w:val="22"/>
        </w:rPr>
        <w:t>Modifícase</w:t>
      </w:r>
      <w:proofErr w:type="spellEnd"/>
      <w:r w:rsidRPr="0051698C">
        <w:rPr>
          <w:sz w:val="22"/>
          <w:szCs w:val="22"/>
        </w:rPr>
        <w:t xml:space="preserve"> el anexo I de la Resolución de Superintendencia N.° 013-2019/SUNAT y norma modificatoria, en lo referido a la aprobación del anexo N.° 24, según el </w:t>
      </w:r>
      <w:r w:rsidR="005510D3" w:rsidRPr="0051698C">
        <w:rPr>
          <w:sz w:val="22"/>
          <w:szCs w:val="22"/>
        </w:rPr>
        <w:t xml:space="preserve">anexo </w:t>
      </w:r>
      <w:r w:rsidR="003C6988" w:rsidRPr="0051698C">
        <w:rPr>
          <w:sz w:val="22"/>
          <w:szCs w:val="22"/>
        </w:rPr>
        <w:t>X</w:t>
      </w:r>
      <w:r w:rsidR="00E82816" w:rsidRPr="0051698C">
        <w:rPr>
          <w:sz w:val="22"/>
          <w:szCs w:val="22"/>
        </w:rPr>
        <w:t>I</w:t>
      </w:r>
      <w:r w:rsidR="005510D3" w:rsidRPr="0051698C">
        <w:rPr>
          <w:sz w:val="22"/>
          <w:szCs w:val="22"/>
        </w:rPr>
        <w:t xml:space="preserve"> de esta resolución.</w:t>
      </w:r>
    </w:p>
    <w:p w:rsidR="0054265E" w:rsidRPr="0051698C" w:rsidRDefault="0054265E" w:rsidP="0054265E">
      <w:pPr>
        <w:pStyle w:val="NormalWeb"/>
        <w:ind w:left="0"/>
        <w:rPr>
          <w:rFonts w:ascii="Arial" w:hAnsi="Arial" w:cs="Arial"/>
          <w:b/>
          <w:sz w:val="22"/>
          <w:szCs w:val="22"/>
        </w:rPr>
      </w:pPr>
      <w:r w:rsidRPr="0051698C">
        <w:rPr>
          <w:rFonts w:ascii="Arial" w:hAnsi="Arial" w:cs="Arial"/>
          <w:b/>
          <w:sz w:val="22"/>
          <w:szCs w:val="22"/>
        </w:rPr>
        <w:t>SEXTA. De la Resolución de Superintendencia N.° 114-2019/SUNAT</w:t>
      </w:r>
    </w:p>
    <w:p w:rsidR="00A76CF2" w:rsidRPr="0051698C" w:rsidRDefault="00A76CF2" w:rsidP="00A76CF2">
      <w:pPr>
        <w:pStyle w:val="Default"/>
        <w:jc w:val="both"/>
        <w:rPr>
          <w:bCs/>
          <w:color w:val="auto"/>
          <w:sz w:val="22"/>
          <w:szCs w:val="22"/>
        </w:rPr>
      </w:pPr>
      <w:r w:rsidRPr="0051698C">
        <w:rPr>
          <w:sz w:val="22"/>
          <w:szCs w:val="22"/>
        </w:rPr>
        <w:t xml:space="preserve">6.1 </w:t>
      </w:r>
      <w:r w:rsidRPr="0051698C">
        <w:rPr>
          <w:color w:val="auto"/>
          <w:sz w:val="22"/>
          <w:szCs w:val="22"/>
        </w:rPr>
        <w:t xml:space="preserve"> </w:t>
      </w:r>
      <w:proofErr w:type="spellStart"/>
      <w:r w:rsidRPr="0051698C">
        <w:rPr>
          <w:bCs/>
          <w:color w:val="auto"/>
          <w:sz w:val="22"/>
          <w:szCs w:val="22"/>
        </w:rPr>
        <w:t>Modifícase</w:t>
      </w:r>
      <w:proofErr w:type="spellEnd"/>
      <w:r w:rsidRPr="0051698C">
        <w:rPr>
          <w:bCs/>
          <w:color w:val="auto"/>
          <w:sz w:val="22"/>
          <w:szCs w:val="22"/>
        </w:rPr>
        <w:t xml:space="preserve"> el</w:t>
      </w:r>
      <w:r w:rsidRPr="0051698C">
        <w:rPr>
          <w:color w:val="auto"/>
          <w:sz w:val="22"/>
          <w:szCs w:val="22"/>
        </w:rPr>
        <w:t xml:space="preserve"> párrafo 2.3 del artículo 2 de la Resolución de Superintendencia N.° 114-2019/SUNAT, en los términos siguientes:</w:t>
      </w:r>
    </w:p>
    <w:p w:rsidR="00A76CF2" w:rsidRPr="0051698C" w:rsidRDefault="00A76CF2" w:rsidP="00A76CF2">
      <w:pPr>
        <w:pStyle w:val="NormalWeb"/>
        <w:ind w:left="0"/>
        <w:rPr>
          <w:sz w:val="22"/>
          <w:szCs w:val="22"/>
        </w:rPr>
      </w:pPr>
      <w:r w:rsidRPr="0051698C">
        <w:rPr>
          <w:rFonts w:ascii="Arial" w:hAnsi="Arial" w:cs="Arial"/>
          <w:sz w:val="22"/>
          <w:szCs w:val="22"/>
        </w:rPr>
        <w:lastRenderedPageBreak/>
        <w:t xml:space="preserve">“2.3 </w:t>
      </w:r>
      <w:proofErr w:type="spellStart"/>
      <w:r w:rsidRPr="0051698C">
        <w:rPr>
          <w:rFonts w:ascii="Arial" w:hAnsi="Arial" w:cs="Arial"/>
          <w:sz w:val="22"/>
          <w:szCs w:val="22"/>
        </w:rPr>
        <w:t>Modifícase</w:t>
      </w:r>
      <w:proofErr w:type="spellEnd"/>
      <w:r w:rsidRPr="0051698C">
        <w:rPr>
          <w:rFonts w:ascii="Arial" w:hAnsi="Arial" w:cs="Arial"/>
          <w:sz w:val="22"/>
          <w:szCs w:val="22"/>
        </w:rPr>
        <w:t xml:space="preserve"> el artículo 12 de la Resolución de Superintendencia N.° 097-2012/SUNAT y normas modificatorias, en los términos siguientes:</w:t>
      </w:r>
    </w:p>
    <w:p w:rsidR="0054265E" w:rsidRPr="0051698C" w:rsidRDefault="0054265E" w:rsidP="0054265E">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t>'Artículo 12. ENVÍO A LA SUNAT DE LA FACTURA ELECTRÓNICA, EL DAE, LA BOLETA DE VENTA ELECTRÓNICA, EL RECIBO ELECTRÓNICO SP Y LA NOTA ELECTRÓNICA VINCULADA A AQUELLOS</w:t>
      </w:r>
    </w:p>
    <w:p w:rsidR="0054265E" w:rsidRPr="0051698C" w:rsidRDefault="0054265E" w:rsidP="0054265E">
      <w:pPr>
        <w:pStyle w:val="NormalWeb"/>
        <w:spacing w:before="0" w:beforeAutospacing="0" w:after="0" w:afterAutospacing="0"/>
        <w:ind w:left="0"/>
        <w:rPr>
          <w:rFonts w:ascii="Arial" w:hAnsi="Arial" w:cs="Arial"/>
          <w:sz w:val="22"/>
          <w:szCs w:val="22"/>
        </w:rPr>
      </w:pPr>
    </w:p>
    <w:p w:rsidR="0054265E" w:rsidRPr="0051698C" w:rsidRDefault="0054265E" w:rsidP="0054265E">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t>El emisor electrónico debe remitir a la SUNAT un ejemplar de la factura electrónica, del DAE</w:t>
      </w:r>
      <w:r w:rsidR="00A76CF2" w:rsidRPr="0051698C">
        <w:rPr>
          <w:rFonts w:ascii="Arial" w:hAnsi="Arial" w:cs="Arial"/>
          <w:sz w:val="22"/>
          <w:szCs w:val="22"/>
        </w:rPr>
        <w:t>, el recibo electrónico SP</w:t>
      </w:r>
      <w:r w:rsidRPr="0051698C">
        <w:rPr>
          <w:rFonts w:ascii="Arial" w:hAnsi="Arial" w:cs="Arial"/>
          <w:sz w:val="22"/>
          <w:szCs w:val="22"/>
        </w:rPr>
        <w:t xml:space="preserve"> y la nota electrónica vinculada a aquellos en la fecha de emisión consignada en dichos documentos o incluso hasta en un plazo máximo de siete días calendario contado desde el día calendario siguiente a esa fecha. Lo remitido a la SUNAT transcurrido ese plazo no tendrá la calidad de factura electrónica, DAE, recibo electrónico SP o nota electrónica aun cuando hubiera sido entregado al adquirente o usuario. </w:t>
      </w:r>
    </w:p>
    <w:p w:rsidR="0054265E" w:rsidRPr="0051698C" w:rsidRDefault="0054265E" w:rsidP="0054265E">
      <w:pPr>
        <w:pStyle w:val="NormalWeb"/>
        <w:spacing w:before="0" w:beforeAutospacing="0" w:after="0" w:afterAutospacing="0"/>
        <w:ind w:left="0"/>
        <w:rPr>
          <w:rFonts w:ascii="Arial" w:hAnsi="Arial" w:cs="Arial"/>
          <w:sz w:val="22"/>
          <w:szCs w:val="22"/>
        </w:rPr>
      </w:pPr>
    </w:p>
    <w:p w:rsidR="0054265E" w:rsidRPr="0051698C" w:rsidRDefault="0054265E" w:rsidP="0054265E">
      <w:pPr>
        <w:pStyle w:val="NormalWeb"/>
        <w:spacing w:before="0" w:beforeAutospacing="0" w:after="0" w:afterAutospacing="0"/>
        <w:ind w:left="0"/>
        <w:rPr>
          <w:rFonts w:ascii="Arial" w:hAnsi="Arial" w:cs="Arial"/>
          <w:sz w:val="22"/>
          <w:szCs w:val="22"/>
        </w:rPr>
      </w:pPr>
      <w:r w:rsidRPr="0051698C">
        <w:rPr>
          <w:rFonts w:ascii="Arial" w:hAnsi="Arial" w:cs="Arial"/>
          <w:sz w:val="22"/>
          <w:szCs w:val="22"/>
        </w:rPr>
        <w:t>En caso el emisor electrónico opte por enviar a la SUNAT un ejemplar de la boleta de venta electrónica y/o de las notas electrónicas vinculadas a aquella, de acuerdo con lo establecido en el numeral 7.3. del artículo 7, debe hacerlo en la fecha de emisión consignada en dichos documentos o incluso hasta en un plazo máximo de cinco días calendario contado desde el día calendario siguiente a esa fecha y en la forma establecida en el numeral 6.1. del anexo N.° 6. Transcurrido ese plazo, solo puede enviar el resumen diario, en la forma y plazo establecidos en el artículo 21.</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La fecha de emisión consignada en la factura electrónica, el DAE, el recibo electrónico SP y la boleta de venta electrónica podrá ser anterior a aquella en que se debe emitir según el primer párrafo del artículo 5 del Reglamento de Comprobantes de Pago, si el emisor electrónico desea anticipar la emisión de acuerdo con el segundo párrafo de ese artículo.'”</w:t>
      </w:r>
    </w:p>
    <w:p w:rsidR="00A76CF2" w:rsidRPr="0051698C" w:rsidRDefault="00A76CF2" w:rsidP="0054265E">
      <w:pPr>
        <w:pStyle w:val="NormalWeb"/>
        <w:ind w:left="0"/>
        <w:rPr>
          <w:rFonts w:ascii="Arial" w:hAnsi="Arial" w:cs="Arial"/>
          <w:sz w:val="22"/>
          <w:szCs w:val="22"/>
        </w:rPr>
      </w:pPr>
      <w:bookmarkStart w:id="47" w:name="JD_114-2019-SUNAT2.4"/>
      <w:bookmarkEnd w:id="47"/>
      <w:r w:rsidRPr="0051698C">
        <w:rPr>
          <w:rFonts w:ascii="Arial" w:hAnsi="Arial" w:cs="Arial"/>
          <w:sz w:val="22"/>
          <w:szCs w:val="22"/>
        </w:rPr>
        <w:t xml:space="preserve">6.2 </w:t>
      </w:r>
      <w:proofErr w:type="spellStart"/>
      <w:r w:rsidRPr="0051698C">
        <w:rPr>
          <w:rFonts w:ascii="Arial" w:hAnsi="Arial" w:cs="Arial"/>
          <w:bCs/>
          <w:sz w:val="22"/>
          <w:szCs w:val="22"/>
        </w:rPr>
        <w:t>Modifícase</w:t>
      </w:r>
      <w:proofErr w:type="spellEnd"/>
      <w:r w:rsidRPr="0051698C">
        <w:rPr>
          <w:rFonts w:ascii="Arial" w:hAnsi="Arial" w:cs="Arial"/>
          <w:bCs/>
          <w:sz w:val="22"/>
          <w:szCs w:val="22"/>
        </w:rPr>
        <w:t xml:space="preserve"> el</w:t>
      </w:r>
      <w:r w:rsidRPr="0051698C">
        <w:rPr>
          <w:rFonts w:ascii="Arial" w:hAnsi="Arial" w:cs="Arial"/>
          <w:sz w:val="22"/>
          <w:szCs w:val="22"/>
        </w:rPr>
        <w:t xml:space="preserve"> párrafo 2.4 del artículo 2 de la Resolución de Superintendencia N.° 114-2019/SUNAT, en los términos siguientes:</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 xml:space="preserve">“2.4 </w:t>
      </w:r>
      <w:proofErr w:type="spellStart"/>
      <w:r w:rsidRPr="0051698C">
        <w:rPr>
          <w:rFonts w:ascii="Arial" w:hAnsi="Arial" w:cs="Arial"/>
          <w:sz w:val="22"/>
          <w:szCs w:val="22"/>
        </w:rPr>
        <w:t>Modifícase</w:t>
      </w:r>
      <w:proofErr w:type="spellEnd"/>
      <w:r w:rsidRPr="0051698C">
        <w:rPr>
          <w:rFonts w:ascii="Arial" w:hAnsi="Arial" w:cs="Arial"/>
          <w:sz w:val="22"/>
          <w:szCs w:val="22"/>
        </w:rPr>
        <w:t xml:space="preserve"> el artículo 13 de la Resolución de Superintendencia N.° 097-2012/SUNAT y normas modificatorias, en los términos siguientes:</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'Artículo 13. CONSTANCIA DE RECEPCIÓN (CDR)</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La CDR respectiva será remitida por la SUNAT al emisor electrónico si:</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lastRenderedPageBreak/>
        <w:t>a) La factura electrónica, el DAE, el recibo electrónico SP o la nota electrónica vinculada a aquellos es enviada(o) a la SUNAT según el inciso b) del numeral 10.5. del artículo 10. En este caso, la CDR tendrá alguno de los siguientes estados:</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i) Aceptada, si lo recibido cumple con las condiciones señaladas en el artículo 10.</w:t>
      </w:r>
    </w:p>
    <w:p w:rsidR="0054265E" w:rsidRPr="0051698C" w:rsidRDefault="0054265E" w:rsidP="0054265E">
      <w:pPr>
        <w:pStyle w:val="NormalWeb"/>
        <w:ind w:left="0"/>
        <w:rPr>
          <w:rFonts w:ascii="Arial" w:hAnsi="Arial" w:cs="Arial"/>
          <w:sz w:val="22"/>
          <w:szCs w:val="22"/>
        </w:rPr>
      </w:pPr>
      <w:proofErr w:type="spellStart"/>
      <w:r w:rsidRPr="0051698C">
        <w:rPr>
          <w:rFonts w:ascii="Arial" w:hAnsi="Arial" w:cs="Arial"/>
          <w:sz w:val="22"/>
          <w:szCs w:val="22"/>
        </w:rPr>
        <w:t>ii</w:t>
      </w:r>
      <w:proofErr w:type="spellEnd"/>
      <w:r w:rsidRPr="0051698C">
        <w:rPr>
          <w:rFonts w:ascii="Arial" w:hAnsi="Arial" w:cs="Arial"/>
          <w:sz w:val="22"/>
          <w:szCs w:val="22"/>
        </w:rPr>
        <w:t>) Rechazada, si lo recibido no cumple con alguna de las condiciones indicadas en el artículo 10, excepto las señaladas en el inciso b) del numeral 10.5. de ese artículo. En este caso también se comunica al adquirente o usuario, a través del buzón electrónico a que se refiere el inciso d) del artículo 1 de la Resolución de Superintendencia N.</w:t>
      </w:r>
      <w:r w:rsidRPr="0051698C">
        <w:rPr>
          <w:rFonts w:ascii="Arial" w:hAnsi="Arial" w:cs="Arial"/>
          <w:b/>
          <w:sz w:val="22"/>
          <w:szCs w:val="22"/>
        </w:rPr>
        <w:t>°</w:t>
      </w:r>
      <w:r w:rsidRPr="0051698C">
        <w:rPr>
          <w:rFonts w:ascii="Arial" w:hAnsi="Arial" w:cs="Arial"/>
          <w:sz w:val="22"/>
          <w:szCs w:val="22"/>
        </w:rPr>
        <w:t xml:space="preserve"> 014-2008/SUNAT y normas modificatorias, que se ha emitido la CDR correspondiente con ese estado respecto de un documento en el que aparece como adquirente o usuario, salvo que sea no domiciliado, se haya consignado un número de RUC no válido o sea un sujeto que no cuente con clave SOL.</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b) La boleta de venta electrónica o la nota electrónica vinculada a aquella es enviada a la SUNAT en el plazo indicado en el segundo párrafo del artículo 12 y en la forma señalada en el numeral 6.1. del anexo N.° 6.</w:t>
      </w:r>
    </w:p>
    <w:p w:rsidR="0054265E" w:rsidRPr="0051698C" w:rsidRDefault="0054265E" w:rsidP="0054265E">
      <w:pPr>
        <w:pStyle w:val="NormalWeb"/>
        <w:ind w:left="0"/>
        <w:rPr>
          <w:rFonts w:ascii="Arial" w:hAnsi="Arial" w:cs="Arial"/>
          <w:sz w:val="22"/>
          <w:szCs w:val="22"/>
        </w:rPr>
      </w:pPr>
      <w:r w:rsidRPr="0051698C">
        <w:rPr>
          <w:rFonts w:ascii="Arial" w:hAnsi="Arial" w:cs="Arial"/>
          <w:sz w:val="22"/>
          <w:szCs w:val="22"/>
        </w:rPr>
        <w:t xml:space="preserve">La CDR respectiva debe contar por lo menos con la numeración del documento a que se refiere, la firma digital de la SUNAT y la hora en que se recibió el aludido documento. En el caso de la factura electrónica, el DAE, el recibo electrónico SP o la nota electrónica vinculada a aquellos, además de lo antes indicado, la CDR debe incluir el estado y el motivo de rechazo.'” </w:t>
      </w:r>
    </w:p>
    <w:p w:rsidR="00D14DA5" w:rsidRDefault="00D14DA5" w:rsidP="0054265E">
      <w:pPr>
        <w:jc w:val="center"/>
        <w:rPr>
          <w:rFonts w:ascii="Arial" w:hAnsi="Arial" w:cs="Arial"/>
          <w:b/>
          <w:color w:val="000000"/>
          <w:lang w:val="es-MX"/>
        </w:rPr>
      </w:pPr>
    </w:p>
    <w:p w:rsidR="0054265E" w:rsidRPr="0051698C" w:rsidRDefault="0054265E" w:rsidP="0054265E">
      <w:pPr>
        <w:jc w:val="center"/>
        <w:rPr>
          <w:rFonts w:ascii="Arial" w:hAnsi="Arial" w:cs="Arial"/>
          <w:b/>
          <w:color w:val="000000"/>
          <w:lang w:val="es-MX"/>
        </w:rPr>
      </w:pPr>
      <w:r w:rsidRPr="0051698C">
        <w:rPr>
          <w:rFonts w:ascii="Arial" w:hAnsi="Arial" w:cs="Arial"/>
          <w:b/>
          <w:color w:val="000000"/>
          <w:lang w:val="es-MX"/>
        </w:rPr>
        <w:t>DISPOSICI</w:t>
      </w:r>
      <w:r w:rsidR="00566DAC" w:rsidRPr="0051698C">
        <w:rPr>
          <w:rFonts w:ascii="Arial" w:hAnsi="Arial" w:cs="Arial"/>
          <w:b/>
          <w:color w:val="000000"/>
          <w:lang w:val="es-MX"/>
        </w:rPr>
        <w:t>Ó</w:t>
      </w:r>
      <w:r w:rsidRPr="0051698C">
        <w:rPr>
          <w:rFonts w:ascii="Arial" w:hAnsi="Arial" w:cs="Arial"/>
          <w:b/>
          <w:color w:val="000000"/>
          <w:lang w:val="es-MX"/>
        </w:rPr>
        <w:t>N</w:t>
      </w:r>
      <w:r w:rsidR="00566DAC" w:rsidRPr="0051698C">
        <w:rPr>
          <w:rFonts w:ascii="Arial" w:hAnsi="Arial" w:cs="Arial"/>
          <w:b/>
          <w:color w:val="000000"/>
          <w:lang w:val="es-MX"/>
        </w:rPr>
        <w:t xml:space="preserve"> COMPLEMENTARIA</w:t>
      </w:r>
      <w:r w:rsidRPr="0051698C">
        <w:rPr>
          <w:rFonts w:ascii="Arial" w:hAnsi="Arial" w:cs="Arial"/>
          <w:b/>
          <w:color w:val="000000"/>
          <w:lang w:val="es-MX"/>
        </w:rPr>
        <w:t xml:space="preserve"> DEROGATORIA</w:t>
      </w:r>
    </w:p>
    <w:p w:rsidR="0054265E" w:rsidRPr="0051698C" w:rsidRDefault="0054265E" w:rsidP="0054265E">
      <w:pPr>
        <w:jc w:val="center"/>
        <w:rPr>
          <w:rFonts w:ascii="Arial" w:hAnsi="Arial" w:cs="Arial"/>
        </w:rPr>
      </w:pPr>
    </w:p>
    <w:p w:rsidR="0054265E" w:rsidRPr="0051698C" w:rsidRDefault="00566DAC" w:rsidP="0054265E">
      <w:pPr>
        <w:pStyle w:val="Default"/>
        <w:jc w:val="both"/>
        <w:rPr>
          <w:b/>
          <w:sz w:val="22"/>
          <w:szCs w:val="22"/>
        </w:rPr>
      </w:pPr>
      <w:r w:rsidRPr="0051698C">
        <w:rPr>
          <w:b/>
          <w:sz w:val="22"/>
          <w:szCs w:val="22"/>
        </w:rPr>
        <w:t>ÚNICA</w:t>
      </w:r>
      <w:r w:rsidR="0054265E" w:rsidRPr="0051698C">
        <w:rPr>
          <w:b/>
          <w:sz w:val="22"/>
          <w:szCs w:val="22"/>
        </w:rPr>
        <w:t xml:space="preserve">. </w:t>
      </w:r>
      <w:r w:rsidRPr="0051698C">
        <w:rPr>
          <w:b/>
          <w:sz w:val="22"/>
          <w:szCs w:val="22"/>
        </w:rPr>
        <w:t xml:space="preserve">Disposiciones que se derogan en las Resoluciones de Superintendencia </w:t>
      </w:r>
      <w:proofErr w:type="spellStart"/>
      <w:r w:rsidRPr="0051698C">
        <w:rPr>
          <w:b/>
          <w:sz w:val="22"/>
          <w:szCs w:val="22"/>
        </w:rPr>
        <w:t>N.°</w:t>
      </w:r>
      <w:r w:rsidR="00DC071F" w:rsidRPr="0051698C">
        <w:rPr>
          <w:b/>
          <w:sz w:val="22"/>
          <w:szCs w:val="22"/>
          <w:vertAlign w:val="superscript"/>
        </w:rPr>
        <w:t>s</w:t>
      </w:r>
      <w:proofErr w:type="spellEnd"/>
      <w:r w:rsidRPr="0051698C">
        <w:rPr>
          <w:b/>
          <w:sz w:val="22"/>
          <w:szCs w:val="22"/>
        </w:rPr>
        <w:t xml:space="preserve"> 097-2012/SUNAT</w:t>
      </w:r>
      <w:r w:rsidR="00DE3FB1" w:rsidRPr="0051698C">
        <w:rPr>
          <w:b/>
          <w:sz w:val="22"/>
          <w:szCs w:val="22"/>
        </w:rPr>
        <w:t>, 117-2017/SUNAT y 013-2019/SUNAT</w:t>
      </w:r>
    </w:p>
    <w:p w:rsidR="0054265E" w:rsidRPr="0051698C" w:rsidRDefault="0054265E" w:rsidP="0054265E">
      <w:pPr>
        <w:pStyle w:val="Default"/>
        <w:jc w:val="both"/>
        <w:rPr>
          <w:sz w:val="22"/>
          <w:szCs w:val="22"/>
        </w:rPr>
      </w:pPr>
    </w:p>
    <w:p w:rsidR="00DE3FB1" w:rsidRPr="0051698C" w:rsidRDefault="00DE3FB1" w:rsidP="00DE3FB1">
      <w:pPr>
        <w:pStyle w:val="Default"/>
        <w:numPr>
          <w:ilvl w:val="1"/>
          <w:numId w:val="14"/>
        </w:numPr>
        <w:jc w:val="both"/>
        <w:rPr>
          <w:sz w:val="22"/>
          <w:szCs w:val="22"/>
        </w:rPr>
      </w:pPr>
      <w:r w:rsidRPr="0051698C">
        <w:rPr>
          <w:sz w:val="22"/>
          <w:szCs w:val="22"/>
        </w:rPr>
        <w:t>El inciso 4 del artículo 29-A</w:t>
      </w:r>
      <w:r w:rsidR="00C711F4" w:rsidRPr="0051698C">
        <w:rPr>
          <w:sz w:val="22"/>
          <w:szCs w:val="22"/>
        </w:rPr>
        <w:t xml:space="preserve"> y el artículo 29-B </w:t>
      </w:r>
      <w:r w:rsidRPr="0051698C">
        <w:rPr>
          <w:sz w:val="22"/>
          <w:szCs w:val="22"/>
        </w:rPr>
        <w:t>de la Resolución de Superintendencia N.° 097-2012/SUNAT y normas modificatorias.</w:t>
      </w:r>
    </w:p>
    <w:p w:rsidR="00DE3FB1" w:rsidRPr="0051698C" w:rsidRDefault="00DE3FB1" w:rsidP="00DE3FB1">
      <w:pPr>
        <w:pStyle w:val="Default"/>
        <w:numPr>
          <w:ilvl w:val="1"/>
          <w:numId w:val="14"/>
        </w:numPr>
        <w:jc w:val="both"/>
        <w:rPr>
          <w:sz w:val="22"/>
          <w:szCs w:val="22"/>
        </w:rPr>
      </w:pPr>
      <w:r w:rsidRPr="0051698C">
        <w:rPr>
          <w:sz w:val="22"/>
          <w:szCs w:val="22"/>
        </w:rPr>
        <w:t>El inciso 1.27 del artículo 1, los artículos 24 y 25, el literal d) del inciso 28.2</w:t>
      </w:r>
      <w:r w:rsidR="004D4B7C" w:rsidRPr="0051698C">
        <w:rPr>
          <w:sz w:val="22"/>
          <w:szCs w:val="22"/>
        </w:rPr>
        <w:t>.1</w:t>
      </w:r>
      <w:r w:rsidRPr="0051698C">
        <w:rPr>
          <w:sz w:val="22"/>
          <w:szCs w:val="22"/>
        </w:rPr>
        <w:t xml:space="preserve"> del párrafo 28</w:t>
      </w:r>
      <w:r w:rsidR="004D4B7C" w:rsidRPr="0051698C">
        <w:rPr>
          <w:sz w:val="22"/>
          <w:szCs w:val="22"/>
        </w:rPr>
        <w:t>.2 del artículo 28</w:t>
      </w:r>
      <w:r w:rsidRPr="0051698C">
        <w:rPr>
          <w:sz w:val="22"/>
          <w:szCs w:val="22"/>
        </w:rPr>
        <w:t xml:space="preserve"> y el inciso p) del párrafo 39.1 del artículo 39 de la Resolución de Superintendencia N.° 117-2017/SUNAT y normas modificatorias.</w:t>
      </w:r>
    </w:p>
    <w:p w:rsidR="0054265E" w:rsidRPr="0051698C" w:rsidRDefault="00DE3FB1" w:rsidP="00DE3FB1">
      <w:pPr>
        <w:pStyle w:val="Default"/>
        <w:numPr>
          <w:ilvl w:val="1"/>
          <w:numId w:val="14"/>
        </w:numPr>
        <w:jc w:val="both"/>
        <w:rPr>
          <w:sz w:val="22"/>
          <w:szCs w:val="22"/>
        </w:rPr>
      </w:pPr>
      <w:r w:rsidRPr="0051698C">
        <w:rPr>
          <w:sz w:val="22"/>
          <w:szCs w:val="22"/>
        </w:rPr>
        <w:t xml:space="preserve">Los párrafos 4.4 y 4.5 de la cuarta disposición complementaria </w:t>
      </w:r>
      <w:r w:rsidR="004D4B7C" w:rsidRPr="0051698C">
        <w:rPr>
          <w:sz w:val="22"/>
          <w:szCs w:val="22"/>
        </w:rPr>
        <w:t>modificatoria</w:t>
      </w:r>
      <w:r w:rsidRPr="0051698C">
        <w:rPr>
          <w:sz w:val="22"/>
          <w:szCs w:val="22"/>
        </w:rPr>
        <w:t xml:space="preserve"> de la Resolución de Superintendencia N.° 013-2019/SUNAT y norma modificatoria.</w:t>
      </w:r>
    </w:p>
    <w:p w:rsidR="00B80298" w:rsidRPr="0051698C" w:rsidRDefault="00B80298" w:rsidP="0054265E">
      <w:pPr>
        <w:ind w:left="851" w:hanging="851"/>
        <w:rPr>
          <w:rFonts w:ascii="Arial" w:hAnsi="Arial" w:cs="Arial"/>
        </w:rPr>
      </w:pPr>
    </w:p>
    <w:p w:rsidR="0054265E" w:rsidRPr="0051698C" w:rsidRDefault="0054265E" w:rsidP="0054265E">
      <w:pPr>
        <w:ind w:left="851" w:hanging="851"/>
        <w:rPr>
          <w:rFonts w:ascii="Arial" w:hAnsi="Arial" w:cs="Arial"/>
          <w:lang w:val="es-ES"/>
        </w:rPr>
      </w:pPr>
      <w:r w:rsidRPr="0051698C">
        <w:rPr>
          <w:rFonts w:ascii="Arial" w:hAnsi="Arial" w:cs="Arial"/>
        </w:rPr>
        <w:t>Regístrese, comuníquese y publíquese.</w:t>
      </w:r>
    </w:p>
    <w:p w:rsidR="00860FF6" w:rsidRPr="0051698C" w:rsidRDefault="00860FF6" w:rsidP="00860FF6">
      <w:pPr>
        <w:pStyle w:val="Default"/>
        <w:numPr>
          <w:ilvl w:val="0"/>
          <w:numId w:val="11"/>
        </w:numPr>
        <w:rPr>
          <w:sz w:val="22"/>
          <w:szCs w:val="22"/>
        </w:rPr>
      </w:pPr>
    </w:p>
    <w:sectPr w:rsidR="00860FF6" w:rsidRPr="0051698C" w:rsidSect="00D77E7E">
      <w:pgSz w:w="11907" w:h="16839" w:code="9"/>
      <w:pgMar w:top="4820" w:right="1701" w:bottom="1701"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068" w:rsidRDefault="00F54068" w:rsidP="00B726E2">
      <w:r>
        <w:separator/>
      </w:r>
    </w:p>
  </w:endnote>
  <w:endnote w:type="continuationSeparator" w:id="0">
    <w:p w:rsidR="00F54068" w:rsidRDefault="00F54068" w:rsidP="00B7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haroni">
    <w:charset w:val="B1"/>
    <w:family w:val="auto"/>
    <w:pitch w:val="variable"/>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068" w:rsidRDefault="00F54068" w:rsidP="00B726E2">
      <w:r>
        <w:separator/>
      </w:r>
    </w:p>
  </w:footnote>
  <w:footnote w:type="continuationSeparator" w:id="0">
    <w:p w:rsidR="00F54068" w:rsidRDefault="00F54068" w:rsidP="00B726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D163C29"/>
    <w:multiLevelType w:val="hybridMultilevel"/>
    <w:tmpl w:val="089424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20B5F"/>
    <w:multiLevelType w:val="hybridMultilevel"/>
    <w:tmpl w:val="E1C28D4E"/>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0D2E4E29"/>
    <w:multiLevelType w:val="hybridMultilevel"/>
    <w:tmpl w:val="0EC4BDB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4EA7B7D"/>
    <w:multiLevelType w:val="hybridMultilevel"/>
    <w:tmpl w:val="8B92E5A8"/>
    <w:lvl w:ilvl="0" w:tplc="DF3A498C">
      <w:start w:val="1"/>
      <w:numFmt w:val="lowerLetter"/>
      <w:lvlText w:val="%1)"/>
      <w:lvlJc w:val="left"/>
      <w:pPr>
        <w:ind w:left="720"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8681480"/>
    <w:multiLevelType w:val="hybridMultilevel"/>
    <w:tmpl w:val="4CD2A7CE"/>
    <w:lvl w:ilvl="0" w:tplc="2B9450F4">
      <w:start w:val="5"/>
      <w:numFmt w:val="lowerLetter"/>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EFC5890"/>
    <w:multiLevelType w:val="multilevel"/>
    <w:tmpl w:val="AEE2B4A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713566"/>
    <w:multiLevelType w:val="hybridMultilevel"/>
    <w:tmpl w:val="3B2EC2B2"/>
    <w:lvl w:ilvl="0" w:tplc="280A001B">
      <w:start w:val="1"/>
      <w:numFmt w:val="lowerRoman"/>
      <w:lvlText w:val="%1."/>
      <w:lvlJc w:val="right"/>
      <w:pPr>
        <w:ind w:left="1080" w:hanging="36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7" w15:restartNumberingAfterBreak="0">
    <w:nsid w:val="2A6D4B56"/>
    <w:multiLevelType w:val="multilevel"/>
    <w:tmpl w:val="0EFA07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2966E5"/>
    <w:multiLevelType w:val="hybridMultilevel"/>
    <w:tmpl w:val="A1888CE0"/>
    <w:lvl w:ilvl="0" w:tplc="D034F664">
      <w:start w:val="1"/>
      <w:numFmt w:val="lowerLetter"/>
      <w:lvlText w:val="%1)"/>
      <w:lvlJc w:val="left"/>
      <w:pPr>
        <w:ind w:left="502" w:hanging="360"/>
      </w:pPr>
      <w:rPr>
        <w:rFonts w:ascii="Arial" w:eastAsia="Times New Roman" w:hAnsi="Arial" w:cs="Arial" w:hint="default"/>
        <w:color w:val="000000"/>
        <w:sz w:val="22"/>
        <w:szCs w:val="22"/>
      </w:rPr>
    </w:lvl>
    <w:lvl w:ilvl="1" w:tplc="AF3AF670">
      <w:numFmt w:val="bullet"/>
      <w:lvlText w:val="-"/>
      <w:lvlJc w:val="left"/>
      <w:pPr>
        <w:ind w:left="1014" w:hanging="360"/>
      </w:pPr>
      <w:rPr>
        <w:rFonts w:ascii="Arial" w:eastAsia="Times New Roman" w:hAnsi="Arial" w:cs="Arial" w:hint="default"/>
      </w:rPr>
    </w:lvl>
    <w:lvl w:ilvl="2" w:tplc="280A0005">
      <w:start w:val="1"/>
      <w:numFmt w:val="bullet"/>
      <w:lvlText w:val=""/>
      <w:lvlJc w:val="left"/>
      <w:pPr>
        <w:ind w:left="1734" w:hanging="360"/>
      </w:pPr>
      <w:rPr>
        <w:rFonts w:ascii="Wingdings" w:hAnsi="Wingdings" w:hint="default"/>
      </w:rPr>
    </w:lvl>
    <w:lvl w:ilvl="3" w:tplc="280A0001" w:tentative="1">
      <w:start w:val="1"/>
      <w:numFmt w:val="bullet"/>
      <w:lvlText w:val=""/>
      <w:lvlJc w:val="left"/>
      <w:pPr>
        <w:ind w:left="2454" w:hanging="360"/>
      </w:pPr>
      <w:rPr>
        <w:rFonts w:ascii="Symbol" w:hAnsi="Symbol" w:hint="default"/>
      </w:rPr>
    </w:lvl>
    <w:lvl w:ilvl="4" w:tplc="280A0003" w:tentative="1">
      <w:start w:val="1"/>
      <w:numFmt w:val="bullet"/>
      <w:lvlText w:val="o"/>
      <w:lvlJc w:val="left"/>
      <w:pPr>
        <w:ind w:left="3174" w:hanging="360"/>
      </w:pPr>
      <w:rPr>
        <w:rFonts w:ascii="Courier New" w:hAnsi="Courier New" w:cs="Courier New" w:hint="default"/>
      </w:rPr>
    </w:lvl>
    <w:lvl w:ilvl="5" w:tplc="280A0005" w:tentative="1">
      <w:start w:val="1"/>
      <w:numFmt w:val="bullet"/>
      <w:lvlText w:val=""/>
      <w:lvlJc w:val="left"/>
      <w:pPr>
        <w:ind w:left="3894" w:hanging="360"/>
      </w:pPr>
      <w:rPr>
        <w:rFonts w:ascii="Wingdings" w:hAnsi="Wingdings" w:hint="default"/>
      </w:rPr>
    </w:lvl>
    <w:lvl w:ilvl="6" w:tplc="280A0001" w:tentative="1">
      <w:start w:val="1"/>
      <w:numFmt w:val="bullet"/>
      <w:lvlText w:val=""/>
      <w:lvlJc w:val="left"/>
      <w:pPr>
        <w:ind w:left="4614" w:hanging="360"/>
      </w:pPr>
      <w:rPr>
        <w:rFonts w:ascii="Symbol" w:hAnsi="Symbol" w:hint="default"/>
      </w:rPr>
    </w:lvl>
    <w:lvl w:ilvl="7" w:tplc="280A0003" w:tentative="1">
      <w:start w:val="1"/>
      <w:numFmt w:val="bullet"/>
      <w:lvlText w:val="o"/>
      <w:lvlJc w:val="left"/>
      <w:pPr>
        <w:ind w:left="5334" w:hanging="360"/>
      </w:pPr>
      <w:rPr>
        <w:rFonts w:ascii="Courier New" w:hAnsi="Courier New" w:cs="Courier New" w:hint="default"/>
      </w:rPr>
    </w:lvl>
    <w:lvl w:ilvl="8" w:tplc="280A0005" w:tentative="1">
      <w:start w:val="1"/>
      <w:numFmt w:val="bullet"/>
      <w:lvlText w:val=""/>
      <w:lvlJc w:val="left"/>
      <w:pPr>
        <w:ind w:left="6054" w:hanging="360"/>
      </w:pPr>
      <w:rPr>
        <w:rFonts w:ascii="Wingdings" w:hAnsi="Wingdings" w:hint="default"/>
      </w:rPr>
    </w:lvl>
  </w:abstractNum>
  <w:abstractNum w:abstractNumId="9" w15:restartNumberingAfterBreak="0">
    <w:nsid w:val="3B696F44"/>
    <w:multiLevelType w:val="hybridMultilevel"/>
    <w:tmpl w:val="C2EEB09C"/>
    <w:lvl w:ilvl="0" w:tplc="3C7E2BF4">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42D102E5"/>
    <w:multiLevelType w:val="hybridMultilevel"/>
    <w:tmpl w:val="8752F0E8"/>
    <w:lvl w:ilvl="0" w:tplc="22A8D9B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547D7810"/>
    <w:multiLevelType w:val="hybridMultilevel"/>
    <w:tmpl w:val="0F10421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55C53CBD"/>
    <w:multiLevelType w:val="hybridMultilevel"/>
    <w:tmpl w:val="424CDBB0"/>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3" w15:restartNumberingAfterBreak="0">
    <w:nsid w:val="677B1EEC"/>
    <w:multiLevelType w:val="multilevel"/>
    <w:tmpl w:val="0C928358"/>
    <w:lvl w:ilvl="0">
      <w:start w:val="3"/>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76BA10DB"/>
    <w:multiLevelType w:val="hybridMultilevel"/>
    <w:tmpl w:val="AD227572"/>
    <w:lvl w:ilvl="0" w:tplc="CA28FA2C">
      <w:start w:val="2"/>
      <w:numFmt w:val="lowerLetter"/>
      <w:lvlText w:val="%1)"/>
      <w:lvlJc w:val="left"/>
      <w:pPr>
        <w:ind w:left="720"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8"/>
  </w:num>
  <w:num w:numId="2">
    <w:abstractNumId w:val="6"/>
  </w:num>
  <w:num w:numId="3">
    <w:abstractNumId w:val="12"/>
  </w:num>
  <w:num w:numId="4">
    <w:abstractNumId w:val="4"/>
  </w:num>
  <w:num w:numId="5">
    <w:abstractNumId w:val="1"/>
  </w:num>
  <w:num w:numId="6">
    <w:abstractNumId w:val="11"/>
  </w:num>
  <w:num w:numId="7">
    <w:abstractNumId w:val="2"/>
  </w:num>
  <w:num w:numId="8">
    <w:abstractNumId w:val="10"/>
  </w:num>
  <w:num w:numId="9">
    <w:abstractNumId w:val="3"/>
  </w:num>
  <w:num w:numId="10">
    <w:abstractNumId w:val="13"/>
  </w:num>
  <w:num w:numId="11">
    <w:abstractNumId w:val="0"/>
  </w:num>
  <w:num w:numId="12">
    <w:abstractNumId w:val="7"/>
  </w:num>
  <w:num w:numId="13">
    <w:abstractNumId w:val="9"/>
  </w:num>
  <w:num w:numId="14">
    <w:abstractNumId w:val="5"/>
  </w:num>
  <w:num w:numId="15">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6479"/>
    <w:rsid w:val="000009DA"/>
    <w:rsid w:val="00000E21"/>
    <w:rsid w:val="00001122"/>
    <w:rsid w:val="000011F8"/>
    <w:rsid w:val="000013DC"/>
    <w:rsid w:val="000014E4"/>
    <w:rsid w:val="00001BF5"/>
    <w:rsid w:val="00002C9F"/>
    <w:rsid w:val="000039C2"/>
    <w:rsid w:val="00005330"/>
    <w:rsid w:val="00005A17"/>
    <w:rsid w:val="00006CE6"/>
    <w:rsid w:val="000075C1"/>
    <w:rsid w:val="00010025"/>
    <w:rsid w:val="00010615"/>
    <w:rsid w:val="000110CC"/>
    <w:rsid w:val="000119AD"/>
    <w:rsid w:val="00011D03"/>
    <w:rsid w:val="00012303"/>
    <w:rsid w:val="000129CE"/>
    <w:rsid w:val="00012C4C"/>
    <w:rsid w:val="00013C2C"/>
    <w:rsid w:val="00013E2D"/>
    <w:rsid w:val="000149B6"/>
    <w:rsid w:val="00014FF1"/>
    <w:rsid w:val="00015671"/>
    <w:rsid w:val="00016D57"/>
    <w:rsid w:val="0001701F"/>
    <w:rsid w:val="0001741C"/>
    <w:rsid w:val="00017AE5"/>
    <w:rsid w:val="0002089A"/>
    <w:rsid w:val="00020BF7"/>
    <w:rsid w:val="00021D31"/>
    <w:rsid w:val="00021ECB"/>
    <w:rsid w:val="00022AA2"/>
    <w:rsid w:val="00022E1F"/>
    <w:rsid w:val="000230E5"/>
    <w:rsid w:val="00023311"/>
    <w:rsid w:val="000233FE"/>
    <w:rsid w:val="00023D15"/>
    <w:rsid w:val="0002442D"/>
    <w:rsid w:val="0002659E"/>
    <w:rsid w:val="000270C1"/>
    <w:rsid w:val="000271B1"/>
    <w:rsid w:val="00027DE7"/>
    <w:rsid w:val="000300D2"/>
    <w:rsid w:val="00030534"/>
    <w:rsid w:val="00031405"/>
    <w:rsid w:val="00031871"/>
    <w:rsid w:val="00031873"/>
    <w:rsid w:val="000326EF"/>
    <w:rsid w:val="00032A82"/>
    <w:rsid w:val="0003353A"/>
    <w:rsid w:val="00033974"/>
    <w:rsid w:val="00034232"/>
    <w:rsid w:val="0003437C"/>
    <w:rsid w:val="000347D6"/>
    <w:rsid w:val="00034921"/>
    <w:rsid w:val="00034A98"/>
    <w:rsid w:val="00035C67"/>
    <w:rsid w:val="00036DF2"/>
    <w:rsid w:val="00037AA2"/>
    <w:rsid w:val="0004086B"/>
    <w:rsid w:val="00040D2D"/>
    <w:rsid w:val="0004163B"/>
    <w:rsid w:val="00041658"/>
    <w:rsid w:val="000422C3"/>
    <w:rsid w:val="000427EA"/>
    <w:rsid w:val="00043332"/>
    <w:rsid w:val="00043744"/>
    <w:rsid w:val="00044152"/>
    <w:rsid w:val="00044AB3"/>
    <w:rsid w:val="00044D6A"/>
    <w:rsid w:val="00045232"/>
    <w:rsid w:val="00045388"/>
    <w:rsid w:val="00045A46"/>
    <w:rsid w:val="00046275"/>
    <w:rsid w:val="00050C6D"/>
    <w:rsid w:val="00050EBF"/>
    <w:rsid w:val="00051C06"/>
    <w:rsid w:val="00052802"/>
    <w:rsid w:val="000533C5"/>
    <w:rsid w:val="000534D0"/>
    <w:rsid w:val="00053930"/>
    <w:rsid w:val="000545D5"/>
    <w:rsid w:val="00057F0E"/>
    <w:rsid w:val="00060012"/>
    <w:rsid w:val="00060154"/>
    <w:rsid w:val="000601F0"/>
    <w:rsid w:val="0006050B"/>
    <w:rsid w:val="000610AE"/>
    <w:rsid w:val="00061329"/>
    <w:rsid w:val="0006269C"/>
    <w:rsid w:val="00062B9C"/>
    <w:rsid w:val="000633E2"/>
    <w:rsid w:val="0006378C"/>
    <w:rsid w:val="00063961"/>
    <w:rsid w:val="00063D36"/>
    <w:rsid w:val="0006501A"/>
    <w:rsid w:val="00066D16"/>
    <w:rsid w:val="00066E9D"/>
    <w:rsid w:val="00067BCB"/>
    <w:rsid w:val="00067E93"/>
    <w:rsid w:val="00070100"/>
    <w:rsid w:val="00070ECC"/>
    <w:rsid w:val="00070EDA"/>
    <w:rsid w:val="00070F92"/>
    <w:rsid w:val="00070FE1"/>
    <w:rsid w:val="000720D1"/>
    <w:rsid w:val="0007224C"/>
    <w:rsid w:val="00072A19"/>
    <w:rsid w:val="00072CB0"/>
    <w:rsid w:val="00073174"/>
    <w:rsid w:val="0007332B"/>
    <w:rsid w:val="00073E36"/>
    <w:rsid w:val="00073E79"/>
    <w:rsid w:val="000742EA"/>
    <w:rsid w:val="00075022"/>
    <w:rsid w:val="00075F08"/>
    <w:rsid w:val="000770A5"/>
    <w:rsid w:val="00077445"/>
    <w:rsid w:val="00077E29"/>
    <w:rsid w:val="00077E8E"/>
    <w:rsid w:val="0008020B"/>
    <w:rsid w:val="000808E8"/>
    <w:rsid w:val="00081926"/>
    <w:rsid w:val="00081A8B"/>
    <w:rsid w:val="00081D8A"/>
    <w:rsid w:val="00081D9B"/>
    <w:rsid w:val="00082B14"/>
    <w:rsid w:val="0008368D"/>
    <w:rsid w:val="00084A90"/>
    <w:rsid w:val="0008519A"/>
    <w:rsid w:val="000858CC"/>
    <w:rsid w:val="00085920"/>
    <w:rsid w:val="000860FB"/>
    <w:rsid w:val="00086530"/>
    <w:rsid w:val="000867A1"/>
    <w:rsid w:val="00087303"/>
    <w:rsid w:val="000900C7"/>
    <w:rsid w:val="0009047B"/>
    <w:rsid w:val="0009185C"/>
    <w:rsid w:val="00092269"/>
    <w:rsid w:val="00092346"/>
    <w:rsid w:val="00092726"/>
    <w:rsid w:val="000948B6"/>
    <w:rsid w:val="0009543A"/>
    <w:rsid w:val="00095530"/>
    <w:rsid w:val="00095BBA"/>
    <w:rsid w:val="000965B3"/>
    <w:rsid w:val="0009699C"/>
    <w:rsid w:val="00096F3A"/>
    <w:rsid w:val="000971AD"/>
    <w:rsid w:val="000976ED"/>
    <w:rsid w:val="000A04D0"/>
    <w:rsid w:val="000A0BD0"/>
    <w:rsid w:val="000A0EB5"/>
    <w:rsid w:val="000A18E1"/>
    <w:rsid w:val="000A2081"/>
    <w:rsid w:val="000A2605"/>
    <w:rsid w:val="000A26D4"/>
    <w:rsid w:val="000A5517"/>
    <w:rsid w:val="000A5B16"/>
    <w:rsid w:val="000A6953"/>
    <w:rsid w:val="000A6A79"/>
    <w:rsid w:val="000A7602"/>
    <w:rsid w:val="000A7890"/>
    <w:rsid w:val="000A79DB"/>
    <w:rsid w:val="000A7C37"/>
    <w:rsid w:val="000B11A9"/>
    <w:rsid w:val="000B1811"/>
    <w:rsid w:val="000B22D4"/>
    <w:rsid w:val="000B2DA5"/>
    <w:rsid w:val="000B3545"/>
    <w:rsid w:val="000B37A0"/>
    <w:rsid w:val="000B41DD"/>
    <w:rsid w:val="000B4E2F"/>
    <w:rsid w:val="000B5342"/>
    <w:rsid w:val="000B540D"/>
    <w:rsid w:val="000B60F8"/>
    <w:rsid w:val="000B6323"/>
    <w:rsid w:val="000B6C34"/>
    <w:rsid w:val="000B6FD4"/>
    <w:rsid w:val="000B7DB9"/>
    <w:rsid w:val="000C09F7"/>
    <w:rsid w:val="000C16C8"/>
    <w:rsid w:val="000C27EA"/>
    <w:rsid w:val="000C2972"/>
    <w:rsid w:val="000C2F3B"/>
    <w:rsid w:val="000C3A21"/>
    <w:rsid w:val="000C3DA2"/>
    <w:rsid w:val="000C44F4"/>
    <w:rsid w:val="000C4798"/>
    <w:rsid w:val="000C4EDB"/>
    <w:rsid w:val="000C551C"/>
    <w:rsid w:val="000C6781"/>
    <w:rsid w:val="000C6CDC"/>
    <w:rsid w:val="000C758B"/>
    <w:rsid w:val="000C777B"/>
    <w:rsid w:val="000D05E3"/>
    <w:rsid w:val="000D07E1"/>
    <w:rsid w:val="000D0F60"/>
    <w:rsid w:val="000D1164"/>
    <w:rsid w:val="000D17F6"/>
    <w:rsid w:val="000D1AED"/>
    <w:rsid w:val="000D1C80"/>
    <w:rsid w:val="000D2262"/>
    <w:rsid w:val="000D2FC0"/>
    <w:rsid w:val="000D3843"/>
    <w:rsid w:val="000D4F4D"/>
    <w:rsid w:val="000D5501"/>
    <w:rsid w:val="000D5769"/>
    <w:rsid w:val="000D6E85"/>
    <w:rsid w:val="000D74AE"/>
    <w:rsid w:val="000D7623"/>
    <w:rsid w:val="000E08A5"/>
    <w:rsid w:val="000E09A2"/>
    <w:rsid w:val="000E0E36"/>
    <w:rsid w:val="000E2675"/>
    <w:rsid w:val="000E2F8C"/>
    <w:rsid w:val="000E47BD"/>
    <w:rsid w:val="000E4F21"/>
    <w:rsid w:val="000E4F6A"/>
    <w:rsid w:val="000E5122"/>
    <w:rsid w:val="000E5971"/>
    <w:rsid w:val="000E679F"/>
    <w:rsid w:val="000E6A0A"/>
    <w:rsid w:val="000E6E06"/>
    <w:rsid w:val="000F0844"/>
    <w:rsid w:val="000F0B3C"/>
    <w:rsid w:val="000F1C29"/>
    <w:rsid w:val="000F29FF"/>
    <w:rsid w:val="000F30C4"/>
    <w:rsid w:val="000F326C"/>
    <w:rsid w:val="000F3903"/>
    <w:rsid w:val="000F39A9"/>
    <w:rsid w:val="000F3B42"/>
    <w:rsid w:val="000F5326"/>
    <w:rsid w:val="000F545E"/>
    <w:rsid w:val="000F6041"/>
    <w:rsid w:val="000F6308"/>
    <w:rsid w:val="000F660F"/>
    <w:rsid w:val="000F7977"/>
    <w:rsid w:val="00101507"/>
    <w:rsid w:val="00101A4A"/>
    <w:rsid w:val="00102DE0"/>
    <w:rsid w:val="00102F9A"/>
    <w:rsid w:val="001032B8"/>
    <w:rsid w:val="001035B7"/>
    <w:rsid w:val="00103C30"/>
    <w:rsid w:val="00103DB9"/>
    <w:rsid w:val="001054E0"/>
    <w:rsid w:val="0010597B"/>
    <w:rsid w:val="00105EA4"/>
    <w:rsid w:val="0010636F"/>
    <w:rsid w:val="0010647D"/>
    <w:rsid w:val="0010712A"/>
    <w:rsid w:val="001078F9"/>
    <w:rsid w:val="001105E0"/>
    <w:rsid w:val="001110C3"/>
    <w:rsid w:val="0011287B"/>
    <w:rsid w:val="00112B27"/>
    <w:rsid w:val="00112B9C"/>
    <w:rsid w:val="00112CB4"/>
    <w:rsid w:val="00112EB2"/>
    <w:rsid w:val="001139B2"/>
    <w:rsid w:val="00113B33"/>
    <w:rsid w:val="00113E3D"/>
    <w:rsid w:val="001153B3"/>
    <w:rsid w:val="00115DC3"/>
    <w:rsid w:val="00115E3A"/>
    <w:rsid w:val="0011674C"/>
    <w:rsid w:val="00116F5F"/>
    <w:rsid w:val="0011723B"/>
    <w:rsid w:val="00117805"/>
    <w:rsid w:val="00117F92"/>
    <w:rsid w:val="001205C2"/>
    <w:rsid w:val="0012095A"/>
    <w:rsid w:val="00120C7E"/>
    <w:rsid w:val="001216A8"/>
    <w:rsid w:val="001216D0"/>
    <w:rsid w:val="00121C2F"/>
    <w:rsid w:val="00121C37"/>
    <w:rsid w:val="001220A4"/>
    <w:rsid w:val="00122D10"/>
    <w:rsid w:val="00123478"/>
    <w:rsid w:val="00123B83"/>
    <w:rsid w:val="00124164"/>
    <w:rsid w:val="001253A2"/>
    <w:rsid w:val="00125F6F"/>
    <w:rsid w:val="00126946"/>
    <w:rsid w:val="00127021"/>
    <w:rsid w:val="00127D03"/>
    <w:rsid w:val="00127DB0"/>
    <w:rsid w:val="00127FE1"/>
    <w:rsid w:val="001305C8"/>
    <w:rsid w:val="00130FD6"/>
    <w:rsid w:val="00131093"/>
    <w:rsid w:val="0013142E"/>
    <w:rsid w:val="00131513"/>
    <w:rsid w:val="00131E08"/>
    <w:rsid w:val="00131E49"/>
    <w:rsid w:val="00131F29"/>
    <w:rsid w:val="00132D13"/>
    <w:rsid w:val="0013351F"/>
    <w:rsid w:val="00133B4E"/>
    <w:rsid w:val="00133DF3"/>
    <w:rsid w:val="00133EE8"/>
    <w:rsid w:val="001341CA"/>
    <w:rsid w:val="0013507A"/>
    <w:rsid w:val="0013519B"/>
    <w:rsid w:val="00135630"/>
    <w:rsid w:val="00135CEE"/>
    <w:rsid w:val="00137D81"/>
    <w:rsid w:val="00137EFE"/>
    <w:rsid w:val="0014071B"/>
    <w:rsid w:val="0014093D"/>
    <w:rsid w:val="00141FAE"/>
    <w:rsid w:val="001424E5"/>
    <w:rsid w:val="00142DF5"/>
    <w:rsid w:val="00143198"/>
    <w:rsid w:val="00143809"/>
    <w:rsid w:val="00143944"/>
    <w:rsid w:val="00145193"/>
    <w:rsid w:val="00145648"/>
    <w:rsid w:val="001456BA"/>
    <w:rsid w:val="0014632C"/>
    <w:rsid w:val="00147846"/>
    <w:rsid w:val="00147DC4"/>
    <w:rsid w:val="00150BFA"/>
    <w:rsid w:val="001510D6"/>
    <w:rsid w:val="00151354"/>
    <w:rsid w:val="00152460"/>
    <w:rsid w:val="00153D93"/>
    <w:rsid w:val="00154921"/>
    <w:rsid w:val="00154A39"/>
    <w:rsid w:val="001555A3"/>
    <w:rsid w:val="00155CE0"/>
    <w:rsid w:val="001565AC"/>
    <w:rsid w:val="001571FA"/>
    <w:rsid w:val="001579EF"/>
    <w:rsid w:val="001600DD"/>
    <w:rsid w:val="001603AE"/>
    <w:rsid w:val="00160836"/>
    <w:rsid w:val="00162081"/>
    <w:rsid w:val="001625D5"/>
    <w:rsid w:val="00162BA2"/>
    <w:rsid w:val="00165B0D"/>
    <w:rsid w:val="0016636B"/>
    <w:rsid w:val="0016651C"/>
    <w:rsid w:val="001666AA"/>
    <w:rsid w:val="00166D2F"/>
    <w:rsid w:val="0016705F"/>
    <w:rsid w:val="00167436"/>
    <w:rsid w:val="00167CCF"/>
    <w:rsid w:val="0017013F"/>
    <w:rsid w:val="0017078B"/>
    <w:rsid w:val="00170DEC"/>
    <w:rsid w:val="00172397"/>
    <w:rsid w:val="00173A25"/>
    <w:rsid w:val="00173AC5"/>
    <w:rsid w:val="00173B45"/>
    <w:rsid w:val="0017403F"/>
    <w:rsid w:val="0017425A"/>
    <w:rsid w:val="00174C35"/>
    <w:rsid w:val="001756AC"/>
    <w:rsid w:val="0017580F"/>
    <w:rsid w:val="00175840"/>
    <w:rsid w:val="00175ED0"/>
    <w:rsid w:val="001762E8"/>
    <w:rsid w:val="001767C4"/>
    <w:rsid w:val="00176CD4"/>
    <w:rsid w:val="001772A7"/>
    <w:rsid w:val="00177E9F"/>
    <w:rsid w:val="00180B6A"/>
    <w:rsid w:val="001814E0"/>
    <w:rsid w:val="00182046"/>
    <w:rsid w:val="00182925"/>
    <w:rsid w:val="00183177"/>
    <w:rsid w:val="00183BF3"/>
    <w:rsid w:val="00186771"/>
    <w:rsid w:val="00186C86"/>
    <w:rsid w:val="00187B9B"/>
    <w:rsid w:val="00187D8E"/>
    <w:rsid w:val="001909E6"/>
    <w:rsid w:val="001913B3"/>
    <w:rsid w:val="0019192C"/>
    <w:rsid w:val="0019256D"/>
    <w:rsid w:val="00192D00"/>
    <w:rsid w:val="00192E7F"/>
    <w:rsid w:val="00192F12"/>
    <w:rsid w:val="001933AC"/>
    <w:rsid w:val="001936ED"/>
    <w:rsid w:val="0019384C"/>
    <w:rsid w:val="00194684"/>
    <w:rsid w:val="00195942"/>
    <w:rsid w:val="001A00B6"/>
    <w:rsid w:val="001A080E"/>
    <w:rsid w:val="001A0D7F"/>
    <w:rsid w:val="001A10F7"/>
    <w:rsid w:val="001A12E5"/>
    <w:rsid w:val="001A2105"/>
    <w:rsid w:val="001A21F3"/>
    <w:rsid w:val="001A28D9"/>
    <w:rsid w:val="001A29AC"/>
    <w:rsid w:val="001A2B14"/>
    <w:rsid w:val="001A2EDF"/>
    <w:rsid w:val="001A3478"/>
    <w:rsid w:val="001A4D12"/>
    <w:rsid w:val="001A51A6"/>
    <w:rsid w:val="001A644A"/>
    <w:rsid w:val="001A7B81"/>
    <w:rsid w:val="001B06FB"/>
    <w:rsid w:val="001B0E93"/>
    <w:rsid w:val="001B1195"/>
    <w:rsid w:val="001B16C4"/>
    <w:rsid w:val="001B2070"/>
    <w:rsid w:val="001B2598"/>
    <w:rsid w:val="001B2849"/>
    <w:rsid w:val="001B2D05"/>
    <w:rsid w:val="001B353B"/>
    <w:rsid w:val="001B3BDD"/>
    <w:rsid w:val="001B4295"/>
    <w:rsid w:val="001B4411"/>
    <w:rsid w:val="001B4C70"/>
    <w:rsid w:val="001B52B7"/>
    <w:rsid w:val="001B5AAC"/>
    <w:rsid w:val="001B5CF6"/>
    <w:rsid w:val="001B61FF"/>
    <w:rsid w:val="001B67D1"/>
    <w:rsid w:val="001B6AC1"/>
    <w:rsid w:val="001B735D"/>
    <w:rsid w:val="001B7B2C"/>
    <w:rsid w:val="001C01F1"/>
    <w:rsid w:val="001C073A"/>
    <w:rsid w:val="001C174E"/>
    <w:rsid w:val="001C2988"/>
    <w:rsid w:val="001C299A"/>
    <w:rsid w:val="001C345E"/>
    <w:rsid w:val="001C375B"/>
    <w:rsid w:val="001C4B3F"/>
    <w:rsid w:val="001C4EEA"/>
    <w:rsid w:val="001C665F"/>
    <w:rsid w:val="001C7496"/>
    <w:rsid w:val="001C7758"/>
    <w:rsid w:val="001D03B3"/>
    <w:rsid w:val="001D167F"/>
    <w:rsid w:val="001D19BE"/>
    <w:rsid w:val="001D21FC"/>
    <w:rsid w:val="001D232F"/>
    <w:rsid w:val="001D3442"/>
    <w:rsid w:val="001D3674"/>
    <w:rsid w:val="001D3858"/>
    <w:rsid w:val="001D427D"/>
    <w:rsid w:val="001D44C8"/>
    <w:rsid w:val="001D48F8"/>
    <w:rsid w:val="001D4B46"/>
    <w:rsid w:val="001D510C"/>
    <w:rsid w:val="001D525E"/>
    <w:rsid w:val="001D53B5"/>
    <w:rsid w:val="001E0616"/>
    <w:rsid w:val="001E0CAF"/>
    <w:rsid w:val="001E18AB"/>
    <w:rsid w:val="001E246D"/>
    <w:rsid w:val="001E3101"/>
    <w:rsid w:val="001E3333"/>
    <w:rsid w:val="001E3FCB"/>
    <w:rsid w:val="001E4C2A"/>
    <w:rsid w:val="001E57F9"/>
    <w:rsid w:val="001E5E7C"/>
    <w:rsid w:val="001E5E7F"/>
    <w:rsid w:val="001E5E9F"/>
    <w:rsid w:val="001E65D4"/>
    <w:rsid w:val="001E662F"/>
    <w:rsid w:val="001E66EE"/>
    <w:rsid w:val="001E747D"/>
    <w:rsid w:val="001E7E22"/>
    <w:rsid w:val="001E7F54"/>
    <w:rsid w:val="001F0172"/>
    <w:rsid w:val="001F0ABA"/>
    <w:rsid w:val="001F0F17"/>
    <w:rsid w:val="001F1181"/>
    <w:rsid w:val="001F3A6B"/>
    <w:rsid w:val="001F3AA4"/>
    <w:rsid w:val="001F3AC3"/>
    <w:rsid w:val="001F3F87"/>
    <w:rsid w:val="001F4637"/>
    <w:rsid w:val="001F46CE"/>
    <w:rsid w:val="001F49DD"/>
    <w:rsid w:val="001F4CE6"/>
    <w:rsid w:val="001F54AB"/>
    <w:rsid w:val="001F670D"/>
    <w:rsid w:val="001F6BA3"/>
    <w:rsid w:val="001F6D58"/>
    <w:rsid w:val="001F6E68"/>
    <w:rsid w:val="001F7364"/>
    <w:rsid w:val="001F7C04"/>
    <w:rsid w:val="00200E8E"/>
    <w:rsid w:val="00201D1E"/>
    <w:rsid w:val="00201D75"/>
    <w:rsid w:val="00201F77"/>
    <w:rsid w:val="00204154"/>
    <w:rsid w:val="00204605"/>
    <w:rsid w:val="00204F86"/>
    <w:rsid w:val="002064CA"/>
    <w:rsid w:val="00206AA9"/>
    <w:rsid w:val="00207562"/>
    <w:rsid w:val="00207D57"/>
    <w:rsid w:val="00210938"/>
    <w:rsid w:val="00210B46"/>
    <w:rsid w:val="00211782"/>
    <w:rsid w:val="00212938"/>
    <w:rsid w:val="00212B0C"/>
    <w:rsid w:val="002130C5"/>
    <w:rsid w:val="002134D8"/>
    <w:rsid w:val="00214EFB"/>
    <w:rsid w:val="00215344"/>
    <w:rsid w:val="002155B3"/>
    <w:rsid w:val="0021636E"/>
    <w:rsid w:val="002163B8"/>
    <w:rsid w:val="00216569"/>
    <w:rsid w:val="00216973"/>
    <w:rsid w:val="00216D76"/>
    <w:rsid w:val="00217116"/>
    <w:rsid w:val="00217293"/>
    <w:rsid w:val="00217793"/>
    <w:rsid w:val="00217F82"/>
    <w:rsid w:val="00220565"/>
    <w:rsid w:val="00220AB1"/>
    <w:rsid w:val="00220F89"/>
    <w:rsid w:val="0022150D"/>
    <w:rsid w:val="00221FDA"/>
    <w:rsid w:val="002223A0"/>
    <w:rsid w:val="00222F20"/>
    <w:rsid w:val="002230CA"/>
    <w:rsid w:val="00223C14"/>
    <w:rsid w:val="00224550"/>
    <w:rsid w:val="00225175"/>
    <w:rsid w:val="00225D0B"/>
    <w:rsid w:val="002267BA"/>
    <w:rsid w:val="00227C4B"/>
    <w:rsid w:val="00230068"/>
    <w:rsid w:val="0023194E"/>
    <w:rsid w:val="00232502"/>
    <w:rsid w:val="0023274D"/>
    <w:rsid w:val="00234359"/>
    <w:rsid w:val="00234605"/>
    <w:rsid w:val="00234F86"/>
    <w:rsid w:val="0023504F"/>
    <w:rsid w:val="00235BD6"/>
    <w:rsid w:val="00235CF4"/>
    <w:rsid w:val="00236126"/>
    <w:rsid w:val="00236F49"/>
    <w:rsid w:val="00237607"/>
    <w:rsid w:val="00237786"/>
    <w:rsid w:val="00240545"/>
    <w:rsid w:val="002409A1"/>
    <w:rsid w:val="00240CC2"/>
    <w:rsid w:val="00240DB1"/>
    <w:rsid w:val="00241EB9"/>
    <w:rsid w:val="00242885"/>
    <w:rsid w:val="00242E83"/>
    <w:rsid w:val="00243B18"/>
    <w:rsid w:val="00244A3C"/>
    <w:rsid w:val="00244E45"/>
    <w:rsid w:val="00245FB5"/>
    <w:rsid w:val="00246184"/>
    <w:rsid w:val="002471C3"/>
    <w:rsid w:val="00247AB5"/>
    <w:rsid w:val="00250877"/>
    <w:rsid w:val="00251097"/>
    <w:rsid w:val="0025167C"/>
    <w:rsid w:val="00252012"/>
    <w:rsid w:val="00252275"/>
    <w:rsid w:val="00252855"/>
    <w:rsid w:val="00252D05"/>
    <w:rsid w:val="00252D4A"/>
    <w:rsid w:val="0025338A"/>
    <w:rsid w:val="00254054"/>
    <w:rsid w:val="002550D8"/>
    <w:rsid w:val="002552E0"/>
    <w:rsid w:val="00255631"/>
    <w:rsid w:val="002560B6"/>
    <w:rsid w:val="002563C2"/>
    <w:rsid w:val="002570EC"/>
    <w:rsid w:val="00257830"/>
    <w:rsid w:val="00257960"/>
    <w:rsid w:val="00257D60"/>
    <w:rsid w:val="00257EF1"/>
    <w:rsid w:val="00260B3E"/>
    <w:rsid w:val="00261A6E"/>
    <w:rsid w:val="00262485"/>
    <w:rsid w:val="00263014"/>
    <w:rsid w:val="002637F0"/>
    <w:rsid w:val="002651EE"/>
    <w:rsid w:val="00266490"/>
    <w:rsid w:val="00266D99"/>
    <w:rsid w:val="00267931"/>
    <w:rsid w:val="00267F40"/>
    <w:rsid w:val="0027011F"/>
    <w:rsid w:val="0027060A"/>
    <w:rsid w:val="00270B54"/>
    <w:rsid w:val="00271669"/>
    <w:rsid w:val="002719CC"/>
    <w:rsid w:val="00271E00"/>
    <w:rsid w:val="00271F96"/>
    <w:rsid w:val="00272AAA"/>
    <w:rsid w:val="00272DA7"/>
    <w:rsid w:val="00273016"/>
    <w:rsid w:val="002738D0"/>
    <w:rsid w:val="00273C9B"/>
    <w:rsid w:val="00274244"/>
    <w:rsid w:val="00274820"/>
    <w:rsid w:val="00274B0D"/>
    <w:rsid w:val="00274F17"/>
    <w:rsid w:val="00275088"/>
    <w:rsid w:val="002752B7"/>
    <w:rsid w:val="00275602"/>
    <w:rsid w:val="002759EF"/>
    <w:rsid w:val="00275A9D"/>
    <w:rsid w:val="002801D4"/>
    <w:rsid w:val="0028032A"/>
    <w:rsid w:val="00281BA0"/>
    <w:rsid w:val="00282197"/>
    <w:rsid w:val="00282962"/>
    <w:rsid w:val="00283BD2"/>
    <w:rsid w:val="00285142"/>
    <w:rsid w:val="00285604"/>
    <w:rsid w:val="00285A6B"/>
    <w:rsid w:val="0028626E"/>
    <w:rsid w:val="0028658B"/>
    <w:rsid w:val="00286D94"/>
    <w:rsid w:val="00287EB6"/>
    <w:rsid w:val="00290615"/>
    <w:rsid w:val="00290B81"/>
    <w:rsid w:val="002919CF"/>
    <w:rsid w:val="00291D06"/>
    <w:rsid w:val="00291E44"/>
    <w:rsid w:val="0029200C"/>
    <w:rsid w:val="00292B19"/>
    <w:rsid w:val="00292E6A"/>
    <w:rsid w:val="00293338"/>
    <w:rsid w:val="00293975"/>
    <w:rsid w:val="002945F8"/>
    <w:rsid w:val="00295495"/>
    <w:rsid w:val="00296108"/>
    <w:rsid w:val="00296E4E"/>
    <w:rsid w:val="00296E9E"/>
    <w:rsid w:val="00296ECE"/>
    <w:rsid w:val="00297D3F"/>
    <w:rsid w:val="002A02B1"/>
    <w:rsid w:val="002A14CA"/>
    <w:rsid w:val="002A1A30"/>
    <w:rsid w:val="002A23C3"/>
    <w:rsid w:val="002A263C"/>
    <w:rsid w:val="002A2CA6"/>
    <w:rsid w:val="002A3062"/>
    <w:rsid w:val="002A30EE"/>
    <w:rsid w:val="002A3B64"/>
    <w:rsid w:val="002A4875"/>
    <w:rsid w:val="002A51F9"/>
    <w:rsid w:val="002A53C4"/>
    <w:rsid w:val="002A6175"/>
    <w:rsid w:val="002A642A"/>
    <w:rsid w:val="002A6BB2"/>
    <w:rsid w:val="002A6C04"/>
    <w:rsid w:val="002A7D78"/>
    <w:rsid w:val="002B1794"/>
    <w:rsid w:val="002B213F"/>
    <w:rsid w:val="002B21C6"/>
    <w:rsid w:val="002B28A9"/>
    <w:rsid w:val="002B2BFC"/>
    <w:rsid w:val="002B2DBF"/>
    <w:rsid w:val="002B2F0E"/>
    <w:rsid w:val="002B37E3"/>
    <w:rsid w:val="002B4993"/>
    <w:rsid w:val="002B4AA3"/>
    <w:rsid w:val="002B5DD8"/>
    <w:rsid w:val="002B6112"/>
    <w:rsid w:val="002B65BB"/>
    <w:rsid w:val="002B6B88"/>
    <w:rsid w:val="002B7673"/>
    <w:rsid w:val="002C25CD"/>
    <w:rsid w:val="002C290F"/>
    <w:rsid w:val="002C48E1"/>
    <w:rsid w:val="002C4BE2"/>
    <w:rsid w:val="002C4D6E"/>
    <w:rsid w:val="002C4F31"/>
    <w:rsid w:val="002C67E2"/>
    <w:rsid w:val="002C68FD"/>
    <w:rsid w:val="002C6EC6"/>
    <w:rsid w:val="002C6F9D"/>
    <w:rsid w:val="002D01D1"/>
    <w:rsid w:val="002D3962"/>
    <w:rsid w:val="002D4924"/>
    <w:rsid w:val="002D52BD"/>
    <w:rsid w:val="002D5F5A"/>
    <w:rsid w:val="002D638C"/>
    <w:rsid w:val="002D66A6"/>
    <w:rsid w:val="002D6EEB"/>
    <w:rsid w:val="002D7E98"/>
    <w:rsid w:val="002E0C70"/>
    <w:rsid w:val="002E0F59"/>
    <w:rsid w:val="002E11D8"/>
    <w:rsid w:val="002E1A86"/>
    <w:rsid w:val="002E277F"/>
    <w:rsid w:val="002E2C69"/>
    <w:rsid w:val="002E3097"/>
    <w:rsid w:val="002E4CA5"/>
    <w:rsid w:val="002E614A"/>
    <w:rsid w:val="002E6BA8"/>
    <w:rsid w:val="002E71E4"/>
    <w:rsid w:val="002E7886"/>
    <w:rsid w:val="002E7D7C"/>
    <w:rsid w:val="002F0D75"/>
    <w:rsid w:val="002F11BF"/>
    <w:rsid w:val="002F1AED"/>
    <w:rsid w:val="002F20DE"/>
    <w:rsid w:val="002F24CD"/>
    <w:rsid w:val="002F2D00"/>
    <w:rsid w:val="002F3209"/>
    <w:rsid w:val="002F48A6"/>
    <w:rsid w:val="002F4BAA"/>
    <w:rsid w:val="002F5312"/>
    <w:rsid w:val="002F53DB"/>
    <w:rsid w:val="002F57A4"/>
    <w:rsid w:val="002F5CBB"/>
    <w:rsid w:val="002F6D28"/>
    <w:rsid w:val="002F7BC3"/>
    <w:rsid w:val="002F7EF8"/>
    <w:rsid w:val="002F7F1E"/>
    <w:rsid w:val="00300216"/>
    <w:rsid w:val="00300979"/>
    <w:rsid w:val="00301808"/>
    <w:rsid w:val="00301900"/>
    <w:rsid w:val="00301D15"/>
    <w:rsid w:val="00302EBE"/>
    <w:rsid w:val="0030311C"/>
    <w:rsid w:val="003035EF"/>
    <w:rsid w:val="003037B6"/>
    <w:rsid w:val="00303A1D"/>
    <w:rsid w:val="00304CAA"/>
    <w:rsid w:val="0030503C"/>
    <w:rsid w:val="00305901"/>
    <w:rsid w:val="00306047"/>
    <w:rsid w:val="0030685E"/>
    <w:rsid w:val="00306D7B"/>
    <w:rsid w:val="00307A90"/>
    <w:rsid w:val="00307FA4"/>
    <w:rsid w:val="00310250"/>
    <w:rsid w:val="00310F69"/>
    <w:rsid w:val="00310F7E"/>
    <w:rsid w:val="003113CC"/>
    <w:rsid w:val="003115EC"/>
    <w:rsid w:val="00311B7A"/>
    <w:rsid w:val="0031220E"/>
    <w:rsid w:val="00312A9A"/>
    <w:rsid w:val="00313346"/>
    <w:rsid w:val="0031405E"/>
    <w:rsid w:val="00314854"/>
    <w:rsid w:val="00314E61"/>
    <w:rsid w:val="0031621C"/>
    <w:rsid w:val="00316290"/>
    <w:rsid w:val="003165CA"/>
    <w:rsid w:val="00317D9A"/>
    <w:rsid w:val="00320414"/>
    <w:rsid w:val="00321215"/>
    <w:rsid w:val="00321ECD"/>
    <w:rsid w:val="003220F4"/>
    <w:rsid w:val="003225C4"/>
    <w:rsid w:val="0032287F"/>
    <w:rsid w:val="003234D7"/>
    <w:rsid w:val="003238D0"/>
    <w:rsid w:val="00324330"/>
    <w:rsid w:val="00324C64"/>
    <w:rsid w:val="00325637"/>
    <w:rsid w:val="003268C7"/>
    <w:rsid w:val="00327204"/>
    <w:rsid w:val="0032779D"/>
    <w:rsid w:val="00327C1D"/>
    <w:rsid w:val="00327E01"/>
    <w:rsid w:val="00330F06"/>
    <w:rsid w:val="003314D6"/>
    <w:rsid w:val="00331924"/>
    <w:rsid w:val="0033194F"/>
    <w:rsid w:val="00333056"/>
    <w:rsid w:val="003334FD"/>
    <w:rsid w:val="00333938"/>
    <w:rsid w:val="0033427E"/>
    <w:rsid w:val="00334E17"/>
    <w:rsid w:val="0033514A"/>
    <w:rsid w:val="00335C3D"/>
    <w:rsid w:val="00335D10"/>
    <w:rsid w:val="003366A7"/>
    <w:rsid w:val="003406A6"/>
    <w:rsid w:val="00340780"/>
    <w:rsid w:val="00340E90"/>
    <w:rsid w:val="003437C6"/>
    <w:rsid w:val="0034384E"/>
    <w:rsid w:val="003439C8"/>
    <w:rsid w:val="00343F01"/>
    <w:rsid w:val="0034426C"/>
    <w:rsid w:val="0034459F"/>
    <w:rsid w:val="003452F1"/>
    <w:rsid w:val="00346087"/>
    <w:rsid w:val="00346BAD"/>
    <w:rsid w:val="00346F6A"/>
    <w:rsid w:val="003476B2"/>
    <w:rsid w:val="00350BE4"/>
    <w:rsid w:val="00350C1B"/>
    <w:rsid w:val="003511F0"/>
    <w:rsid w:val="00351C00"/>
    <w:rsid w:val="00351D9E"/>
    <w:rsid w:val="00353833"/>
    <w:rsid w:val="00355814"/>
    <w:rsid w:val="00356C93"/>
    <w:rsid w:val="00356E6A"/>
    <w:rsid w:val="003607CB"/>
    <w:rsid w:val="00361618"/>
    <w:rsid w:val="00361A19"/>
    <w:rsid w:val="00362E34"/>
    <w:rsid w:val="00363431"/>
    <w:rsid w:val="00363C01"/>
    <w:rsid w:val="00364171"/>
    <w:rsid w:val="00365722"/>
    <w:rsid w:val="003661DF"/>
    <w:rsid w:val="00367AF5"/>
    <w:rsid w:val="0037082E"/>
    <w:rsid w:val="00370EB3"/>
    <w:rsid w:val="0037215F"/>
    <w:rsid w:val="003742EE"/>
    <w:rsid w:val="00374804"/>
    <w:rsid w:val="00374921"/>
    <w:rsid w:val="00374943"/>
    <w:rsid w:val="003767E8"/>
    <w:rsid w:val="0038011D"/>
    <w:rsid w:val="003804BF"/>
    <w:rsid w:val="00380FB3"/>
    <w:rsid w:val="003818C0"/>
    <w:rsid w:val="00381AA5"/>
    <w:rsid w:val="00381AB1"/>
    <w:rsid w:val="00381D32"/>
    <w:rsid w:val="00381DDF"/>
    <w:rsid w:val="00384756"/>
    <w:rsid w:val="003848E5"/>
    <w:rsid w:val="0038496E"/>
    <w:rsid w:val="00384B28"/>
    <w:rsid w:val="00384F28"/>
    <w:rsid w:val="00386075"/>
    <w:rsid w:val="00386939"/>
    <w:rsid w:val="0038731A"/>
    <w:rsid w:val="00387BE5"/>
    <w:rsid w:val="00387DD8"/>
    <w:rsid w:val="00391F38"/>
    <w:rsid w:val="00392108"/>
    <w:rsid w:val="00392162"/>
    <w:rsid w:val="00392569"/>
    <w:rsid w:val="00392AC3"/>
    <w:rsid w:val="00392E49"/>
    <w:rsid w:val="0039304F"/>
    <w:rsid w:val="0039383B"/>
    <w:rsid w:val="00394C32"/>
    <w:rsid w:val="003962D3"/>
    <w:rsid w:val="00396498"/>
    <w:rsid w:val="0039717B"/>
    <w:rsid w:val="003A0C7F"/>
    <w:rsid w:val="003A1D12"/>
    <w:rsid w:val="003A245D"/>
    <w:rsid w:val="003A302B"/>
    <w:rsid w:val="003A3621"/>
    <w:rsid w:val="003A3B08"/>
    <w:rsid w:val="003A41F7"/>
    <w:rsid w:val="003A55EF"/>
    <w:rsid w:val="003A6395"/>
    <w:rsid w:val="003A6C84"/>
    <w:rsid w:val="003A70F8"/>
    <w:rsid w:val="003A7523"/>
    <w:rsid w:val="003A7A38"/>
    <w:rsid w:val="003B06CD"/>
    <w:rsid w:val="003B0DDE"/>
    <w:rsid w:val="003B1128"/>
    <w:rsid w:val="003B1D6F"/>
    <w:rsid w:val="003B32CC"/>
    <w:rsid w:val="003B336D"/>
    <w:rsid w:val="003B3B1F"/>
    <w:rsid w:val="003B4947"/>
    <w:rsid w:val="003B4A6E"/>
    <w:rsid w:val="003B4D06"/>
    <w:rsid w:val="003C0F15"/>
    <w:rsid w:val="003C1148"/>
    <w:rsid w:val="003C1B53"/>
    <w:rsid w:val="003C20C5"/>
    <w:rsid w:val="003C2200"/>
    <w:rsid w:val="003C265C"/>
    <w:rsid w:val="003C2893"/>
    <w:rsid w:val="003C2A16"/>
    <w:rsid w:val="003C4197"/>
    <w:rsid w:val="003C4C35"/>
    <w:rsid w:val="003C559A"/>
    <w:rsid w:val="003C576C"/>
    <w:rsid w:val="003C5AEE"/>
    <w:rsid w:val="003C608D"/>
    <w:rsid w:val="003C6908"/>
    <w:rsid w:val="003C6988"/>
    <w:rsid w:val="003C6A4A"/>
    <w:rsid w:val="003C6CD4"/>
    <w:rsid w:val="003C7CC4"/>
    <w:rsid w:val="003D0763"/>
    <w:rsid w:val="003D0A73"/>
    <w:rsid w:val="003D0AC1"/>
    <w:rsid w:val="003D16BA"/>
    <w:rsid w:val="003D1CFA"/>
    <w:rsid w:val="003D240C"/>
    <w:rsid w:val="003D2962"/>
    <w:rsid w:val="003D38A9"/>
    <w:rsid w:val="003D38FB"/>
    <w:rsid w:val="003D5046"/>
    <w:rsid w:val="003D5350"/>
    <w:rsid w:val="003D66C0"/>
    <w:rsid w:val="003D69A8"/>
    <w:rsid w:val="003D69EC"/>
    <w:rsid w:val="003D7145"/>
    <w:rsid w:val="003D7337"/>
    <w:rsid w:val="003D7BC6"/>
    <w:rsid w:val="003D7BF0"/>
    <w:rsid w:val="003E008D"/>
    <w:rsid w:val="003E1613"/>
    <w:rsid w:val="003E2127"/>
    <w:rsid w:val="003E2964"/>
    <w:rsid w:val="003E41F8"/>
    <w:rsid w:val="003E4DE0"/>
    <w:rsid w:val="003E68AB"/>
    <w:rsid w:val="003E7D32"/>
    <w:rsid w:val="003E7D7D"/>
    <w:rsid w:val="003F06DB"/>
    <w:rsid w:val="003F0D95"/>
    <w:rsid w:val="003F120B"/>
    <w:rsid w:val="003F12F7"/>
    <w:rsid w:val="003F1335"/>
    <w:rsid w:val="003F14E4"/>
    <w:rsid w:val="003F22E4"/>
    <w:rsid w:val="003F27AA"/>
    <w:rsid w:val="003F2BE2"/>
    <w:rsid w:val="003F3304"/>
    <w:rsid w:val="003F53B3"/>
    <w:rsid w:val="003F5A5D"/>
    <w:rsid w:val="003F62C3"/>
    <w:rsid w:val="003F6DE4"/>
    <w:rsid w:val="0040200E"/>
    <w:rsid w:val="00403431"/>
    <w:rsid w:val="00403444"/>
    <w:rsid w:val="004043D0"/>
    <w:rsid w:val="00404402"/>
    <w:rsid w:val="00404AF6"/>
    <w:rsid w:val="00404DF0"/>
    <w:rsid w:val="00405392"/>
    <w:rsid w:val="004053CB"/>
    <w:rsid w:val="00405EF1"/>
    <w:rsid w:val="00406B1F"/>
    <w:rsid w:val="004100BA"/>
    <w:rsid w:val="00410DCE"/>
    <w:rsid w:val="00411577"/>
    <w:rsid w:val="00411B6B"/>
    <w:rsid w:val="00411DBE"/>
    <w:rsid w:val="00411FAE"/>
    <w:rsid w:val="0041225B"/>
    <w:rsid w:val="00412354"/>
    <w:rsid w:val="004129AF"/>
    <w:rsid w:val="00413788"/>
    <w:rsid w:val="004139E0"/>
    <w:rsid w:val="00413E6C"/>
    <w:rsid w:val="00413FF5"/>
    <w:rsid w:val="0041447D"/>
    <w:rsid w:val="0041482D"/>
    <w:rsid w:val="004150C8"/>
    <w:rsid w:val="00415B9A"/>
    <w:rsid w:val="004165D6"/>
    <w:rsid w:val="00416D55"/>
    <w:rsid w:val="0041760B"/>
    <w:rsid w:val="00417B50"/>
    <w:rsid w:val="00417D7E"/>
    <w:rsid w:val="00421EFF"/>
    <w:rsid w:val="0042264B"/>
    <w:rsid w:val="00423E0D"/>
    <w:rsid w:val="004262C6"/>
    <w:rsid w:val="00427023"/>
    <w:rsid w:val="0042798A"/>
    <w:rsid w:val="004323F2"/>
    <w:rsid w:val="00432AA0"/>
    <w:rsid w:val="004331B7"/>
    <w:rsid w:val="004332CE"/>
    <w:rsid w:val="00433A54"/>
    <w:rsid w:val="00433C44"/>
    <w:rsid w:val="0043405B"/>
    <w:rsid w:val="004342BF"/>
    <w:rsid w:val="004347F8"/>
    <w:rsid w:val="004350B2"/>
    <w:rsid w:val="004355D4"/>
    <w:rsid w:val="004359F5"/>
    <w:rsid w:val="00435FD9"/>
    <w:rsid w:val="004374D3"/>
    <w:rsid w:val="00437B0F"/>
    <w:rsid w:val="004407C3"/>
    <w:rsid w:val="00440B24"/>
    <w:rsid w:val="0044145F"/>
    <w:rsid w:val="00441DE2"/>
    <w:rsid w:val="00441E0A"/>
    <w:rsid w:val="00442561"/>
    <w:rsid w:val="00442B8D"/>
    <w:rsid w:val="00443BE8"/>
    <w:rsid w:val="00443F20"/>
    <w:rsid w:val="00443FEA"/>
    <w:rsid w:val="00444982"/>
    <w:rsid w:val="00444FDB"/>
    <w:rsid w:val="004452F2"/>
    <w:rsid w:val="0044547F"/>
    <w:rsid w:val="00445CAB"/>
    <w:rsid w:val="004465AB"/>
    <w:rsid w:val="00446DC5"/>
    <w:rsid w:val="004472C1"/>
    <w:rsid w:val="00447D6C"/>
    <w:rsid w:val="00447E17"/>
    <w:rsid w:val="00450296"/>
    <w:rsid w:val="004512E0"/>
    <w:rsid w:val="00451927"/>
    <w:rsid w:val="00451B5B"/>
    <w:rsid w:val="00453A8F"/>
    <w:rsid w:val="004542EF"/>
    <w:rsid w:val="004549D7"/>
    <w:rsid w:val="00454A0C"/>
    <w:rsid w:val="00454C50"/>
    <w:rsid w:val="004552C2"/>
    <w:rsid w:val="00455DBE"/>
    <w:rsid w:val="00455EE7"/>
    <w:rsid w:val="00456A69"/>
    <w:rsid w:val="00456CD5"/>
    <w:rsid w:val="004570D0"/>
    <w:rsid w:val="004578C9"/>
    <w:rsid w:val="00460754"/>
    <w:rsid w:val="004613E5"/>
    <w:rsid w:val="00461BB7"/>
    <w:rsid w:val="004623AD"/>
    <w:rsid w:val="00462B93"/>
    <w:rsid w:val="00462D99"/>
    <w:rsid w:val="00462F62"/>
    <w:rsid w:val="00463261"/>
    <w:rsid w:val="004634D1"/>
    <w:rsid w:val="0046354A"/>
    <w:rsid w:val="0046370C"/>
    <w:rsid w:val="004639DD"/>
    <w:rsid w:val="00463E11"/>
    <w:rsid w:val="0046407E"/>
    <w:rsid w:val="0046452B"/>
    <w:rsid w:val="00464720"/>
    <w:rsid w:val="00464730"/>
    <w:rsid w:val="0046482D"/>
    <w:rsid w:val="00464C95"/>
    <w:rsid w:val="00465184"/>
    <w:rsid w:val="004651B4"/>
    <w:rsid w:val="00465706"/>
    <w:rsid w:val="00465A53"/>
    <w:rsid w:val="00466255"/>
    <w:rsid w:val="00466568"/>
    <w:rsid w:val="00466A03"/>
    <w:rsid w:val="00466C54"/>
    <w:rsid w:val="00466D58"/>
    <w:rsid w:val="0046707A"/>
    <w:rsid w:val="00467733"/>
    <w:rsid w:val="00470D47"/>
    <w:rsid w:val="004727D9"/>
    <w:rsid w:val="0047471F"/>
    <w:rsid w:val="00474751"/>
    <w:rsid w:val="00474B41"/>
    <w:rsid w:val="00474BE4"/>
    <w:rsid w:val="00474CBD"/>
    <w:rsid w:val="00475124"/>
    <w:rsid w:val="00477130"/>
    <w:rsid w:val="00477F09"/>
    <w:rsid w:val="004800ED"/>
    <w:rsid w:val="0048068B"/>
    <w:rsid w:val="00481944"/>
    <w:rsid w:val="00481C7F"/>
    <w:rsid w:val="00482722"/>
    <w:rsid w:val="004827F0"/>
    <w:rsid w:val="00482FEB"/>
    <w:rsid w:val="00484138"/>
    <w:rsid w:val="00484B92"/>
    <w:rsid w:val="00484DA2"/>
    <w:rsid w:val="004859EB"/>
    <w:rsid w:val="00485F86"/>
    <w:rsid w:val="004861FC"/>
    <w:rsid w:val="0048667E"/>
    <w:rsid w:val="004879AC"/>
    <w:rsid w:val="00487B1F"/>
    <w:rsid w:val="00487F56"/>
    <w:rsid w:val="004902DC"/>
    <w:rsid w:val="0049065A"/>
    <w:rsid w:val="00490DDC"/>
    <w:rsid w:val="00491416"/>
    <w:rsid w:val="00491FB3"/>
    <w:rsid w:val="00491FF0"/>
    <w:rsid w:val="004929C7"/>
    <w:rsid w:val="00492DB3"/>
    <w:rsid w:val="004956B0"/>
    <w:rsid w:val="004957BF"/>
    <w:rsid w:val="00495C52"/>
    <w:rsid w:val="0049623E"/>
    <w:rsid w:val="00496304"/>
    <w:rsid w:val="004966E4"/>
    <w:rsid w:val="004969D4"/>
    <w:rsid w:val="00496C8E"/>
    <w:rsid w:val="00497175"/>
    <w:rsid w:val="004976C9"/>
    <w:rsid w:val="00497EB1"/>
    <w:rsid w:val="004A0EFC"/>
    <w:rsid w:val="004A18DF"/>
    <w:rsid w:val="004A3556"/>
    <w:rsid w:val="004A36E3"/>
    <w:rsid w:val="004A42B9"/>
    <w:rsid w:val="004A51DA"/>
    <w:rsid w:val="004A55B6"/>
    <w:rsid w:val="004A60A8"/>
    <w:rsid w:val="004A6971"/>
    <w:rsid w:val="004B015F"/>
    <w:rsid w:val="004B04F9"/>
    <w:rsid w:val="004B0871"/>
    <w:rsid w:val="004B18F2"/>
    <w:rsid w:val="004B285C"/>
    <w:rsid w:val="004B2A72"/>
    <w:rsid w:val="004B2B80"/>
    <w:rsid w:val="004B2EE9"/>
    <w:rsid w:val="004B510C"/>
    <w:rsid w:val="004B5A23"/>
    <w:rsid w:val="004B5E4D"/>
    <w:rsid w:val="004B5F5D"/>
    <w:rsid w:val="004B6454"/>
    <w:rsid w:val="004B6479"/>
    <w:rsid w:val="004B7DBE"/>
    <w:rsid w:val="004C0027"/>
    <w:rsid w:val="004C0192"/>
    <w:rsid w:val="004C01A8"/>
    <w:rsid w:val="004C20CF"/>
    <w:rsid w:val="004C2676"/>
    <w:rsid w:val="004C2FD0"/>
    <w:rsid w:val="004C340F"/>
    <w:rsid w:val="004C36CF"/>
    <w:rsid w:val="004C3F5C"/>
    <w:rsid w:val="004C4C4B"/>
    <w:rsid w:val="004C59F1"/>
    <w:rsid w:val="004D23F8"/>
    <w:rsid w:val="004D2F96"/>
    <w:rsid w:val="004D3466"/>
    <w:rsid w:val="004D4457"/>
    <w:rsid w:val="004D47E7"/>
    <w:rsid w:val="004D4B6D"/>
    <w:rsid w:val="004D4B7C"/>
    <w:rsid w:val="004D5B0B"/>
    <w:rsid w:val="004D624C"/>
    <w:rsid w:val="004D67E2"/>
    <w:rsid w:val="004D7738"/>
    <w:rsid w:val="004E0055"/>
    <w:rsid w:val="004E0A53"/>
    <w:rsid w:val="004E0F01"/>
    <w:rsid w:val="004E10B5"/>
    <w:rsid w:val="004E14A5"/>
    <w:rsid w:val="004E1CAD"/>
    <w:rsid w:val="004E1DCF"/>
    <w:rsid w:val="004E23E0"/>
    <w:rsid w:val="004E3211"/>
    <w:rsid w:val="004E371D"/>
    <w:rsid w:val="004E3BB3"/>
    <w:rsid w:val="004E3BD9"/>
    <w:rsid w:val="004E4BE8"/>
    <w:rsid w:val="004E580F"/>
    <w:rsid w:val="004E635C"/>
    <w:rsid w:val="004E6736"/>
    <w:rsid w:val="004E6AE9"/>
    <w:rsid w:val="004E6F42"/>
    <w:rsid w:val="004E727D"/>
    <w:rsid w:val="004E79FF"/>
    <w:rsid w:val="004F00FE"/>
    <w:rsid w:val="004F0EC3"/>
    <w:rsid w:val="004F1170"/>
    <w:rsid w:val="004F1433"/>
    <w:rsid w:val="004F15C9"/>
    <w:rsid w:val="004F261D"/>
    <w:rsid w:val="004F2CC4"/>
    <w:rsid w:val="004F3EBC"/>
    <w:rsid w:val="004F4653"/>
    <w:rsid w:val="004F468B"/>
    <w:rsid w:val="004F4967"/>
    <w:rsid w:val="004F4AF5"/>
    <w:rsid w:val="004F51A1"/>
    <w:rsid w:val="004F569B"/>
    <w:rsid w:val="004F5892"/>
    <w:rsid w:val="004F5A4B"/>
    <w:rsid w:val="004F63C9"/>
    <w:rsid w:val="004F7912"/>
    <w:rsid w:val="004F7C21"/>
    <w:rsid w:val="005003D6"/>
    <w:rsid w:val="00500F05"/>
    <w:rsid w:val="00501089"/>
    <w:rsid w:val="00501344"/>
    <w:rsid w:val="00501CFA"/>
    <w:rsid w:val="0050222A"/>
    <w:rsid w:val="00502298"/>
    <w:rsid w:val="00502C2B"/>
    <w:rsid w:val="005039F9"/>
    <w:rsid w:val="00503A41"/>
    <w:rsid w:val="00507E1D"/>
    <w:rsid w:val="005106C7"/>
    <w:rsid w:val="005117C1"/>
    <w:rsid w:val="00511B57"/>
    <w:rsid w:val="00512F2B"/>
    <w:rsid w:val="00512FDD"/>
    <w:rsid w:val="00513175"/>
    <w:rsid w:val="005138E1"/>
    <w:rsid w:val="00513CE5"/>
    <w:rsid w:val="0051472A"/>
    <w:rsid w:val="00514897"/>
    <w:rsid w:val="005152A5"/>
    <w:rsid w:val="00515BC4"/>
    <w:rsid w:val="00515F37"/>
    <w:rsid w:val="0051676E"/>
    <w:rsid w:val="0051698C"/>
    <w:rsid w:val="00516AA1"/>
    <w:rsid w:val="00516D08"/>
    <w:rsid w:val="005177D4"/>
    <w:rsid w:val="00517950"/>
    <w:rsid w:val="00520569"/>
    <w:rsid w:val="00520C32"/>
    <w:rsid w:val="00520D98"/>
    <w:rsid w:val="00521227"/>
    <w:rsid w:val="00521329"/>
    <w:rsid w:val="005218F0"/>
    <w:rsid w:val="00521F44"/>
    <w:rsid w:val="00522166"/>
    <w:rsid w:val="00522CEE"/>
    <w:rsid w:val="00522EF0"/>
    <w:rsid w:val="005230EC"/>
    <w:rsid w:val="005233F4"/>
    <w:rsid w:val="00523CC8"/>
    <w:rsid w:val="005242BD"/>
    <w:rsid w:val="0052637B"/>
    <w:rsid w:val="00526869"/>
    <w:rsid w:val="005271F5"/>
    <w:rsid w:val="00527BB9"/>
    <w:rsid w:val="00530165"/>
    <w:rsid w:val="00531F54"/>
    <w:rsid w:val="00532EF7"/>
    <w:rsid w:val="00533290"/>
    <w:rsid w:val="00533292"/>
    <w:rsid w:val="00533ADE"/>
    <w:rsid w:val="00534A07"/>
    <w:rsid w:val="00534A0C"/>
    <w:rsid w:val="00535411"/>
    <w:rsid w:val="00535620"/>
    <w:rsid w:val="005361CB"/>
    <w:rsid w:val="00536731"/>
    <w:rsid w:val="00536BC5"/>
    <w:rsid w:val="00537C44"/>
    <w:rsid w:val="00540178"/>
    <w:rsid w:val="005422B9"/>
    <w:rsid w:val="0054265E"/>
    <w:rsid w:val="00542955"/>
    <w:rsid w:val="00542C49"/>
    <w:rsid w:val="00543599"/>
    <w:rsid w:val="00543792"/>
    <w:rsid w:val="00543D16"/>
    <w:rsid w:val="0054441D"/>
    <w:rsid w:val="00544527"/>
    <w:rsid w:val="00546326"/>
    <w:rsid w:val="00546874"/>
    <w:rsid w:val="00547003"/>
    <w:rsid w:val="005474E7"/>
    <w:rsid w:val="00547CA1"/>
    <w:rsid w:val="005501A6"/>
    <w:rsid w:val="005504A0"/>
    <w:rsid w:val="00550746"/>
    <w:rsid w:val="00550F5F"/>
    <w:rsid w:val="005510BB"/>
    <w:rsid w:val="005510D3"/>
    <w:rsid w:val="00552278"/>
    <w:rsid w:val="005523C9"/>
    <w:rsid w:val="00552923"/>
    <w:rsid w:val="0055422A"/>
    <w:rsid w:val="00554957"/>
    <w:rsid w:val="00554B97"/>
    <w:rsid w:val="00554CD6"/>
    <w:rsid w:val="00554F66"/>
    <w:rsid w:val="005553E6"/>
    <w:rsid w:val="00555BA0"/>
    <w:rsid w:val="005569D7"/>
    <w:rsid w:val="00556F1B"/>
    <w:rsid w:val="00556FAD"/>
    <w:rsid w:val="00557C9E"/>
    <w:rsid w:val="00557F66"/>
    <w:rsid w:val="005608DD"/>
    <w:rsid w:val="00561064"/>
    <w:rsid w:val="0056140E"/>
    <w:rsid w:val="00562D7A"/>
    <w:rsid w:val="00562DA7"/>
    <w:rsid w:val="00562F4E"/>
    <w:rsid w:val="005634ED"/>
    <w:rsid w:val="0056437C"/>
    <w:rsid w:val="00564426"/>
    <w:rsid w:val="005644F1"/>
    <w:rsid w:val="0056491B"/>
    <w:rsid w:val="00564C02"/>
    <w:rsid w:val="00566DAC"/>
    <w:rsid w:val="00570071"/>
    <w:rsid w:val="00570382"/>
    <w:rsid w:val="00570415"/>
    <w:rsid w:val="00570A23"/>
    <w:rsid w:val="00570C2C"/>
    <w:rsid w:val="00570ED5"/>
    <w:rsid w:val="005715BF"/>
    <w:rsid w:val="00571709"/>
    <w:rsid w:val="00571E12"/>
    <w:rsid w:val="00572438"/>
    <w:rsid w:val="005726A1"/>
    <w:rsid w:val="00573D82"/>
    <w:rsid w:val="005741D6"/>
    <w:rsid w:val="005748A5"/>
    <w:rsid w:val="00574D4D"/>
    <w:rsid w:val="00575888"/>
    <w:rsid w:val="00576230"/>
    <w:rsid w:val="0057659B"/>
    <w:rsid w:val="005765A3"/>
    <w:rsid w:val="005778D4"/>
    <w:rsid w:val="005778F6"/>
    <w:rsid w:val="00577A07"/>
    <w:rsid w:val="00580D3C"/>
    <w:rsid w:val="00581B9D"/>
    <w:rsid w:val="005825DA"/>
    <w:rsid w:val="005843D8"/>
    <w:rsid w:val="00584537"/>
    <w:rsid w:val="00584770"/>
    <w:rsid w:val="00584CC8"/>
    <w:rsid w:val="0058505C"/>
    <w:rsid w:val="0058769F"/>
    <w:rsid w:val="005879E0"/>
    <w:rsid w:val="00587C44"/>
    <w:rsid w:val="00590FBA"/>
    <w:rsid w:val="0059152C"/>
    <w:rsid w:val="00591DB2"/>
    <w:rsid w:val="005920DF"/>
    <w:rsid w:val="005928CF"/>
    <w:rsid w:val="00592CC3"/>
    <w:rsid w:val="00592E0F"/>
    <w:rsid w:val="005939E1"/>
    <w:rsid w:val="00594166"/>
    <w:rsid w:val="005953E7"/>
    <w:rsid w:val="00595490"/>
    <w:rsid w:val="00595E9F"/>
    <w:rsid w:val="00596B63"/>
    <w:rsid w:val="00596BC5"/>
    <w:rsid w:val="00596F17"/>
    <w:rsid w:val="00597C87"/>
    <w:rsid w:val="005A0462"/>
    <w:rsid w:val="005A06C7"/>
    <w:rsid w:val="005A13FA"/>
    <w:rsid w:val="005A1B16"/>
    <w:rsid w:val="005A1DE3"/>
    <w:rsid w:val="005A28D7"/>
    <w:rsid w:val="005A3A5A"/>
    <w:rsid w:val="005A3B1B"/>
    <w:rsid w:val="005A4425"/>
    <w:rsid w:val="005A5DD6"/>
    <w:rsid w:val="005A629A"/>
    <w:rsid w:val="005A6627"/>
    <w:rsid w:val="005A7702"/>
    <w:rsid w:val="005A7FCC"/>
    <w:rsid w:val="005B042E"/>
    <w:rsid w:val="005B10AE"/>
    <w:rsid w:val="005B122D"/>
    <w:rsid w:val="005B2597"/>
    <w:rsid w:val="005B28DB"/>
    <w:rsid w:val="005B2A33"/>
    <w:rsid w:val="005B2B06"/>
    <w:rsid w:val="005B33BF"/>
    <w:rsid w:val="005B3795"/>
    <w:rsid w:val="005B3E46"/>
    <w:rsid w:val="005B453A"/>
    <w:rsid w:val="005B4C13"/>
    <w:rsid w:val="005B5C67"/>
    <w:rsid w:val="005B6157"/>
    <w:rsid w:val="005B7309"/>
    <w:rsid w:val="005B7988"/>
    <w:rsid w:val="005C22AD"/>
    <w:rsid w:val="005C2E03"/>
    <w:rsid w:val="005C3464"/>
    <w:rsid w:val="005C34A4"/>
    <w:rsid w:val="005C39E0"/>
    <w:rsid w:val="005C40D9"/>
    <w:rsid w:val="005C52D8"/>
    <w:rsid w:val="005C564C"/>
    <w:rsid w:val="005C580D"/>
    <w:rsid w:val="005C621B"/>
    <w:rsid w:val="005C6621"/>
    <w:rsid w:val="005C69FA"/>
    <w:rsid w:val="005C6CA5"/>
    <w:rsid w:val="005C70D5"/>
    <w:rsid w:val="005C72E9"/>
    <w:rsid w:val="005C7566"/>
    <w:rsid w:val="005D05D3"/>
    <w:rsid w:val="005D144C"/>
    <w:rsid w:val="005D1897"/>
    <w:rsid w:val="005D1930"/>
    <w:rsid w:val="005D2058"/>
    <w:rsid w:val="005D20D0"/>
    <w:rsid w:val="005D279C"/>
    <w:rsid w:val="005D4028"/>
    <w:rsid w:val="005D4215"/>
    <w:rsid w:val="005D5F01"/>
    <w:rsid w:val="005D61D8"/>
    <w:rsid w:val="005D657E"/>
    <w:rsid w:val="005D73A9"/>
    <w:rsid w:val="005D78C5"/>
    <w:rsid w:val="005E0060"/>
    <w:rsid w:val="005E0826"/>
    <w:rsid w:val="005E1087"/>
    <w:rsid w:val="005E1D77"/>
    <w:rsid w:val="005E21E3"/>
    <w:rsid w:val="005E2683"/>
    <w:rsid w:val="005E3125"/>
    <w:rsid w:val="005E3C65"/>
    <w:rsid w:val="005E45CB"/>
    <w:rsid w:val="005E491B"/>
    <w:rsid w:val="005E4C90"/>
    <w:rsid w:val="005E4ECF"/>
    <w:rsid w:val="005E4F6F"/>
    <w:rsid w:val="005E4FEF"/>
    <w:rsid w:val="005E590E"/>
    <w:rsid w:val="005E6053"/>
    <w:rsid w:val="005E6459"/>
    <w:rsid w:val="005F16DA"/>
    <w:rsid w:val="005F18E7"/>
    <w:rsid w:val="005F1B9A"/>
    <w:rsid w:val="005F1E6C"/>
    <w:rsid w:val="005F2991"/>
    <w:rsid w:val="005F37A2"/>
    <w:rsid w:val="005F5C8E"/>
    <w:rsid w:val="005F5CD7"/>
    <w:rsid w:val="005F60E2"/>
    <w:rsid w:val="005F61FA"/>
    <w:rsid w:val="005F71E7"/>
    <w:rsid w:val="005F7437"/>
    <w:rsid w:val="00600B88"/>
    <w:rsid w:val="00601974"/>
    <w:rsid w:val="00601D9B"/>
    <w:rsid w:val="0060308F"/>
    <w:rsid w:val="0060457F"/>
    <w:rsid w:val="00604706"/>
    <w:rsid w:val="0060575E"/>
    <w:rsid w:val="00605AC5"/>
    <w:rsid w:val="00606D9A"/>
    <w:rsid w:val="0060760D"/>
    <w:rsid w:val="00607D78"/>
    <w:rsid w:val="006100FC"/>
    <w:rsid w:val="006109FB"/>
    <w:rsid w:val="00611434"/>
    <w:rsid w:val="00611AC2"/>
    <w:rsid w:val="006120B1"/>
    <w:rsid w:val="0061216F"/>
    <w:rsid w:val="00612DA2"/>
    <w:rsid w:val="00612DD0"/>
    <w:rsid w:val="00613809"/>
    <w:rsid w:val="0061427B"/>
    <w:rsid w:val="006143E3"/>
    <w:rsid w:val="00614AC3"/>
    <w:rsid w:val="00614AFA"/>
    <w:rsid w:val="00614B3D"/>
    <w:rsid w:val="00614B41"/>
    <w:rsid w:val="00614F28"/>
    <w:rsid w:val="00615C17"/>
    <w:rsid w:val="0061609F"/>
    <w:rsid w:val="00616237"/>
    <w:rsid w:val="0061666B"/>
    <w:rsid w:val="00617222"/>
    <w:rsid w:val="006201C7"/>
    <w:rsid w:val="00620AAA"/>
    <w:rsid w:val="00621695"/>
    <w:rsid w:val="0062184A"/>
    <w:rsid w:val="00621A18"/>
    <w:rsid w:val="00621AB0"/>
    <w:rsid w:val="0062400E"/>
    <w:rsid w:val="00625421"/>
    <w:rsid w:val="00625B43"/>
    <w:rsid w:val="00625FC8"/>
    <w:rsid w:val="00626AD4"/>
    <w:rsid w:val="00626EE9"/>
    <w:rsid w:val="006274B2"/>
    <w:rsid w:val="00627F1D"/>
    <w:rsid w:val="0063001C"/>
    <w:rsid w:val="006304B7"/>
    <w:rsid w:val="00630A45"/>
    <w:rsid w:val="0063164E"/>
    <w:rsid w:val="0063170F"/>
    <w:rsid w:val="00632C22"/>
    <w:rsid w:val="006336BC"/>
    <w:rsid w:val="006343D3"/>
    <w:rsid w:val="00634999"/>
    <w:rsid w:val="00634AF5"/>
    <w:rsid w:val="00634E07"/>
    <w:rsid w:val="00634E8C"/>
    <w:rsid w:val="00635848"/>
    <w:rsid w:val="00635DCC"/>
    <w:rsid w:val="006360FC"/>
    <w:rsid w:val="00637E88"/>
    <w:rsid w:val="006400AA"/>
    <w:rsid w:val="00640384"/>
    <w:rsid w:val="0064046E"/>
    <w:rsid w:val="0064082C"/>
    <w:rsid w:val="00642985"/>
    <w:rsid w:val="00642C74"/>
    <w:rsid w:val="00642DFD"/>
    <w:rsid w:val="0064310A"/>
    <w:rsid w:val="00643146"/>
    <w:rsid w:val="00643473"/>
    <w:rsid w:val="00643620"/>
    <w:rsid w:val="00643693"/>
    <w:rsid w:val="00643A07"/>
    <w:rsid w:val="0064440A"/>
    <w:rsid w:val="00645696"/>
    <w:rsid w:val="006459FD"/>
    <w:rsid w:val="006469D5"/>
    <w:rsid w:val="00647304"/>
    <w:rsid w:val="00647958"/>
    <w:rsid w:val="00647D7E"/>
    <w:rsid w:val="006505B4"/>
    <w:rsid w:val="00650F0F"/>
    <w:rsid w:val="00651189"/>
    <w:rsid w:val="0065231C"/>
    <w:rsid w:val="00652DF0"/>
    <w:rsid w:val="006530F6"/>
    <w:rsid w:val="00653350"/>
    <w:rsid w:val="00653705"/>
    <w:rsid w:val="00653830"/>
    <w:rsid w:val="00655043"/>
    <w:rsid w:val="00655243"/>
    <w:rsid w:val="00655449"/>
    <w:rsid w:val="006568E1"/>
    <w:rsid w:val="00657249"/>
    <w:rsid w:val="0065760B"/>
    <w:rsid w:val="00657A55"/>
    <w:rsid w:val="00657E0F"/>
    <w:rsid w:val="00657E44"/>
    <w:rsid w:val="00657F73"/>
    <w:rsid w:val="00660195"/>
    <w:rsid w:val="00660952"/>
    <w:rsid w:val="00660AC0"/>
    <w:rsid w:val="00660B79"/>
    <w:rsid w:val="006623A5"/>
    <w:rsid w:val="0066258C"/>
    <w:rsid w:val="006629A2"/>
    <w:rsid w:val="006636C4"/>
    <w:rsid w:val="00663852"/>
    <w:rsid w:val="00663AF6"/>
    <w:rsid w:val="00663F8A"/>
    <w:rsid w:val="00665286"/>
    <w:rsid w:val="006659CB"/>
    <w:rsid w:val="00666E1C"/>
    <w:rsid w:val="00667541"/>
    <w:rsid w:val="00667F90"/>
    <w:rsid w:val="0067084B"/>
    <w:rsid w:val="00670ECB"/>
    <w:rsid w:val="00671A72"/>
    <w:rsid w:val="006721A3"/>
    <w:rsid w:val="0067381B"/>
    <w:rsid w:val="00673BD0"/>
    <w:rsid w:val="006742D8"/>
    <w:rsid w:val="00674A5F"/>
    <w:rsid w:val="00676DA7"/>
    <w:rsid w:val="00676FCD"/>
    <w:rsid w:val="00677025"/>
    <w:rsid w:val="00677FBE"/>
    <w:rsid w:val="00680184"/>
    <w:rsid w:val="0068057A"/>
    <w:rsid w:val="00680F16"/>
    <w:rsid w:val="00681AC0"/>
    <w:rsid w:val="0068254C"/>
    <w:rsid w:val="00683385"/>
    <w:rsid w:val="0068358C"/>
    <w:rsid w:val="00683A53"/>
    <w:rsid w:val="00683E96"/>
    <w:rsid w:val="00686B60"/>
    <w:rsid w:val="00687C12"/>
    <w:rsid w:val="00690B00"/>
    <w:rsid w:val="0069111E"/>
    <w:rsid w:val="006912A7"/>
    <w:rsid w:val="006914BA"/>
    <w:rsid w:val="006934B2"/>
    <w:rsid w:val="00693B1C"/>
    <w:rsid w:val="006944E8"/>
    <w:rsid w:val="00694674"/>
    <w:rsid w:val="00694779"/>
    <w:rsid w:val="0069547C"/>
    <w:rsid w:val="00696744"/>
    <w:rsid w:val="00696BD5"/>
    <w:rsid w:val="006973B3"/>
    <w:rsid w:val="00697E12"/>
    <w:rsid w:val="00697F8E"/>
    <w:rsid w:val="006A0B69"/>
    <w:rsid w:val="006A1603"/>
    <w:rsid w:val="006A1A75"/>
    <w:rsid w:val="006A1AE1"/>
    <w:rsid w:val="006A1B57"/>
    <w:rsid w:val="006A1C21"/>
    <w:rsid w:val="006A1DAA"/>
    <w:rsid w:val="006A1EDD"/>
    <w:rsid w:val="006A293B"/>
    <w:rsid w:val="006A2EC7"/>
    <w:rsid w:val="006A2FC8"/>
    <w:rsid w:val="006A38E9"/>
    <w:rsid w:val="006A398E"/>
    <w:rsid w:val="006A40B5"/>
    <w:rsid w:val="006A4732"/>
    <w:rsid w:val="006A505F"/>
    <w:rsid w:val="006A52E9"/>
    <w:rsid w:val="006A6CC8"/>
    <w:rsid w:val="006A744E"/>
    <w:rsid w:val="006A7A9C"/>
    <w:rsid w:val="006B12F4"/>
    <w:rsid w:val="006B1AD1"/>
    <w:rsid w:val="006B1CF1"/>
    <w:rsid w:val="006B3F00"/>
    <w:rsid w:val="006B4185"/>
    <w:rsid w:val="006B41E4"/>
    <w:rsid w:val="006B422C"/>
    <w:rsid w:val="006B4D65"/>
    <w:rsid w:val="006B662F"/>
    <w:rsid w:val="006B68E0"/>
    <w:rsid w:val="006B7718"/>
    <w:rsid w:val="006C0F72"/>
    <w:rsid w:val="006C1221"/>
    <w:rsid w:val="006C388E"/>
    <w:rsid w:val="006C40A6"/>
    <w:rsid w:val="006C5328"/>
    <w:rsid w:val="006C60ED"/>
    <w:rsid w:val="006C644B"/>
    <w:rsid w:val="006C6B74"/>
    <w:rsid w:val="006D035B"/>
    <w:rsid w:val="006D176C"/>
    <w:rsid w:val="006D2450"/>
    <w:rsid w:val="006D26E1"/>
    <w:rsid w:val="006D2F0C"/>
    <w:rsid w:val="006D32A5"/>
    <w:rsid w:val="006D3859"/>
    <w:rsid w:val="006D4851"/>
    <w:rsid w:val="006D575D"/>
    <w:rsid w:val="006D5958"/>
    <w:rsid w:val="006D5C67"/>
    <w:rsid w:val="006D5F57"/>
    <w:rsid w:val="006D6684"/>
    <w:rsid w:val="006D6A1F"/>
    <w:rsid w:val="006D74AF"/>
    <w:rsid w:val="006D75B7"/>
    <w:rsid w:val="006D7CF4"/>
    <w:rsid w:val="006E0409"/>
    <w:rsid w:val="006E1F86"/>
    <w:rsid w:val="006E21D1"/>
    <w:rsid w:val="006E54D7"/>
    <w:rsid w:val="006E622D"/>
    <w:rsid w:val="006E629D"/>
    <w:rsid w:val="006E63D8"/>
    <w:rsid w:val="006E6D39"/>
    <w:rsid w:val="006E782D"/>
    <w:rsid w:val="006E788C"/>
    <w:rsid w:val="006E7909"/>
    <w:rsid w:val="006F081E"/>
    <w:rsid w:val="006F0E84"/>
    <w:rsid w:val="006F1340"/>
    <w:rsid w:val="006F1673"/>
    <w:rsid w:val="006F1EEA"/>
    <w:rsid w:val="006F1F79"/>
    <w:rsid w:val="006F20C8"/>
    <w:rsid w:val="006F213F"/>
    <w:rsid w:val="006F2B68"/>
    <w:rsid w:val="006F2DA4"/>
    <w:rsid w:val="006F3D60"/>
    <w:rsid w:val="006F4FEC"/>
    <w:rsid w:val="006F50CE"/>
    <w:rsid w:val="006F6CA5"/>
    <w:rsid w:val="006F7167"/>
    <w:rsid w:val="006F7404"/>
    <w:rsid w:val="006F77B1"/>
    <w:rsid w:val="006F78B2"/>
    <w:rsid w:val="006F7B66"/>
    <w:rsid w:val="006F7BA1"/>
    <w:rsid w:val="006F7C23"/>
    <w:rsid w:val="006F7DC3"/>
    <w:rsid w:val="006F7E26"/>
    <w:rsid w:val="006F7E9E"/>
    <w:rsid w:val="007000BC"/>
    <w:rsid w:val="00700476"/>
    <w:rsid w:val="007009A9"/>
    <w:rsid w:val="00700D72"/>
    <w:rsid w:val="0070130E"/>
    <w:rsid w:val="007020BD"/>
    <w:rsid w:val="007025B6"/>
    <w:rsid w:val="007033EE"/>
    <w:rsid w:val="00704F79"/>
    <w:rsid w:val="00704FB1"/>
    <w:rsid w:val="0070538B"/>
    <w:rsid w:val="00705FD9"/>
    <w:rsid w:val="00706A11"/>
    <w:rsid w:val="00707928"/>
    <w:rsid w:val="00707CC2"/>
    <w:rsid w:val="00707DC8"/>
    <w:rsid w:val="00707FBF"/>
    <w:rsid w:val="00710B30"/>
    <w:rsid w:val="007110C6"/>
    <w:rsid w:val="00711397"/>
    <w:rsid w:val="007115D5"/>
    <w:rsid w:val="00711DBB"/>
    <w:rsid w:val="00712EC2"/>
    <w:rsid w:val="00713152"/>
    <w:rsid w:val="00713D47"/>
    <w:rsid w:val="00714565"/>
    <w:rsid w:val="0071505D"/>
    <w:rsid w:val="00715EAC"/>
    <w:rsid w:val="00716CD2"/>
    <w:rsid w:val="00717FFA"/>
    <w:rsid w:val="00721992"/>
    <w:rsid w:val="0072247A"/>
    <w:rsid w:val="007249FE"/>
    <w:rsid w:val="00724EE2"/>
    <w:rsid w:val="007250A6"/>
    <w:rsid w:val="0072568F"/>
    <w:rsid w:val="0072612D"/>
    <w:rsid w:val="0072627E"/>
    <w:rsid w:val="00726348"/>
    <w:rsid w:val="00726C6F"/>
    <w:rsid w:val="00726D3F"/>
    <w:rsid w:val="007278C2"/>
    <w:rsid w:val="00730675"/>
    <w:rsid w:val="00731250"/>
    <w:rsid w:val="00731D9D"/>
    <w:rsid w:val="00732721"/>
    <w:rsid w:val="00732A89"/>
    <w:rsid w:val="00732B21"/>
    <w:rsid w:val="007339C3"/>
    <w:rsid w:val="00733C76"/>
    <w:rsid w:val="0073409F"/>
    <w:rsid w:val="0073413C"/>
    <w:rsid w:val="0073506E"/>
    <w:rsid w:val="00735113"/>
    <w:rsid w:val="0073559B"/>
    <w:rsid w:val="00737117"/>
    <w:rsid w:val="00737317"/>
    <w:rsid w:val="00737A81"/>
    <w:rsid w:val="007404B0"/>
    <w:rsid w:val="0074069A"/>
    <w:rsid w:val="00740E69"/>
    <w:rsid w:val="00741488"/>
    <w:rsid w:val="007415E2"/>
    <w:rsid w:val="00741AE4"/>
    <w:rsid w:val="00741DAC"/>
    <w:rsid w:val="0074256F"/>
    <w:rsid w:val="007428CD"/>
    <w:rsid w:val="007437AA"/>
    <w:rsid w:val="00743CD6"/>
    <w:rsid w:val="00743F29"/>
    <w:rsid w:val="00744918"/>
    <w:rsid w:val="007479E5"/>
    <w:rsid w:val="00750BE6"/>
    <w:rsid w:val="00751A50"/>
    <w:rsid w:val="0075203F"/>
    <w:rsid w:val="007522B3"/>
    <w:rsid w:val="0075408F"/>
    <w:rsid w:val="00755705"/>
    <w:rsid w:val="0075577C"/>
    <w:rsid w:val="00756619"/>
    <w:rsid w:val="00756F2A"/>
    <w:rsid w:val="00757512"/>
    <w:rsid w:val="00757973"/>
    <w:rsid w:val="0076045D"/>
    <w:rsid w:val="007606EC"/>
    <w:rsid w:val="00760BED"/>
    <w:rsid w:val="00761685"/>
    <w:rsid w:val="007619B5"/>
    <w:rsid w:val="00761B53"/>
    <w:rsid w:val="00761D20"/>
    <w:rsid w:val="00762673"/>
    <w:rsid w:val="007626E7"/>
    <w:rsid w:val="007634B2"/>
    <w:rsid w:val="00763743"/>
    <w:rsid w:val="00763B7B"/>
    <w:rsid w:val="007643C3"/>
    <w:rsid w:val="007644DD"/>
    <w:rsid w:val="00764D12"/>
    <w:rsid w:val="00764D67"/>
    <w:rsid w:val="00765308"/>
    <w:rsid w:val="00765533"/>
    <w:rsid w:val="0076558B"/>
    <w:rsid w:val="007655FB"/>
    <w:rsid w:val="007663F1"/>
    <w:rsid w:val="00770D2A"/>
    <w:rsid w:val="00771CC1"/>
    <w:rsid w:val="007741F1"/>
    <w:rsid w:val="007746EE"/>
    <w:rsid w:val="00776207"/>
    <w:rsid w:val="007768E4"/>
    <w:rsid w:val="00776BB3"/>
    <w:rsid w:val="00776BC9"/>
    <w:rsid w:val="00776D10"/>
    <w:rsid w:val="0078020D"/>
    <w:rsid w:val="00780226"/>
    <w:rsid w:val="00781177"/>
    <w:rsid w:val="0078142F"/>
    <w:rsid w:val="00781C35"/>
    <w:rsid w:val="0078206A"/>
    <w:rsid w:val="007825BB"/>
    <w:rsid w:val="00782747"/>
    <w:rsid w:val="00783E0D"/>
    <w:rsid w:val="0078426C"/>
    <w:rsid w:val="00784EFA"/>
    <w:rsid w:val="0078518D"/>
    <w:rsid w:val="007859C6"/>
    <w:rsid w:val="00785BF4"/>
    <w:rsid w:val="00785E06"/>
    <w:rsid w:val="00787279"/>
    <w:rsid w:val="007907B4"/>
    <w:rsid w:val="00790F19"/>
    <w:rsid w:val="00791246"/>
    <w:rsid w:val="0079141F"/>
    <w:rsid w:val="00791696"/>
    <w:rsid w:val="0079199B"/>
    <w:rsid w:val="00793180"/>
    <w:rsid w:val="00793CA6"/>
    <w:rsid w:val="007943F8"/>
    <w:rsid w:val="00795113"/>
    <w:rsid w:val="0079550B"/>
    <w:rsid w:val="00795531"/>
    <w:rsid w:val="00795B0A"/>
    <w:rsid w:val="007965A3"/>
    <w:rsid w:val="007969B8"/>
    <w:rsid w:val="007A0735"/>
    <w:rsid w:val="007A131C"/>
    <w:rsid w:val="007A21E7"/>
    <w:rsid w:val="007A305E"/>
    <w:rsid w:val="007A35C8"/>
    <w:rsid w:val="007A3673"/>
    <w:rsid w:val="007A381B"/>
    <w:rsid w:val="007A4602"/>
    <w:rsid w:val="007A46E8"/>
    <w:rsid w:val="007A4D5A"/>
    <w:rsid w:val="007A55F4"/>
    <w:rsid w:val="007A6407"/>
    <w:rsid w:val="007A6524"/>
    <w:rsid w:val="007A6EB9"/>
    <w:rsid w:val="007A7EA9"/>
    <w:rsid w:val="007B0160"/>
    <w:rsid w:val="007B039E"/>
    <w:rsid w:val="007B0468"/>
    <w:rsid w:val="007B0BAC"/>
    <w:rsid w:val="007B1599"/>
    <w:rsid w:val="007B1ED2"/>
    <w:rsid w:val="007B3082"/>
    <w:rsid w:val="007B3BE0"/>
    <w:rsid w:val="007B4EED"/>
    <w:rsid w:val="007B58C2"/>
    <w:rsid w:val="007B65F8"/>
    <w:rsid w:val="007B7701"/>
    <w:rsid w:val="007B7796"/>
    <w:rsid w:val="007C0138"/>
    <w:rsid w:val="007C0E09"/>
    <w:rsid w:val="007C1853"/>
    <w:rsid w:val="007C1E2B"/>
    <w:rsid w:val="007C261E"/>
    <w:rsid w:val="007C2CAB"/>
    <w:rsid w:val="007C2CD4"/>
    <w:rsid w:val="007C3C6E"/>
    <w:rsid w:val="007C3D6F"/>
    <w:rsid w:val="007C5828"/>
    <w:rsid w:val="007C6F8F"/>
    <w:rsid w:val="007C7285"/>
    <w:rsid w:val="007C7A82"/>
    <w:rsid w:val="007D088B"/>
    <w:rsid w:val="007D0A69"/>
    <w:rsid w:val="007D0CB6"/>
    <w:rsid w:val="007D0E5B"/>
    <w:rsid w:val="007D0E84"/>
    <w:rsid w:val="007D0EC7"/>
    <w:rsid w:val="007D1060"/>
    <w:rsid w:val="007D1DE6"/>
    <w:rsid w:val="007D21A3"/>
    <w:rsid w:val="007D21E8"/>
    <w:rsid w:val="007D2540"/>
    <w:rsid w:val="007D25CB"/>
    <w:rsid w:val="007D341F"/>
    <w:rsid w:val="007D3589"/>
    <w:rsid w:val="007D3E45"/>
    <w:rsid w:val="007D4304"/>
    <w:rsid w:val="007D48CD"/>
    <w:rsid w:val="007D4F54"/>
    <w:rsid w:val="007D6015"/>
    <w:rsid w:val="007D6096"/>
    <w:rsid w:val="007D6408"/>
    <w:rsid w:val="007D6F0F"/>
    <w:rsid w:val="007D7BFA"/>
    <w:rsid w:val="007E0DC7"/>
    <w:rsid w:val="007E155C"/>
    <w:rsid w:val="007E1816"/>
    <w:rsid w:val="007E1DA4"/>
    <w:rsid w:val="007E2721"/>
    <w:rsid w:val="007E29D8"/>
    <w:rsid w:val="007E2EE8"/>
    <w:rsid w:val="007E3516"/>
    <w:rsid w:val="007E456F"/>
    <w:rsid w:val="007E4575"/>
    <w:rsid w:val="007E5225"/>
    <w:rsid w:val="007E5D04"/>
    <w:rsid w:val="007E694C"/>
    <w:rsid w:val="007E766B"/>
    <w:rsid w:val="007E7875"/>
    <w:rsid w:val="007F102E"/>
    <w:rsid w:val="007F1053"/>
    <w:rsid w:val="007F1284"/>
    <w:rsid w:val="007F14B7"/>
    <w:rsid w:val="007F15BA"/>
    <w:rsid w:val="007F1E07"/>
    <w:rsid w:val="007F3B65"/>
    <w:rsid w:val="007F4958"/>
    <w:rsid w:val="007F54DF"/>
    <w:rsid w:val="007F63B0"/>
    <w:rsid w:val="007F6AC5"/>
    <w:rsid w:val="007F6E99"/>
    <w:rsid w:val="0080012E"/>
    <w:rsid w:val="00801DFE"/>
    <w:rsid w:val="00801FD7"/>
    <w:rsid w:val="0080276D"/>
    <w:rsid w:val="008028A9"/>
    <w:rsid w:val="00802A19"/>
    <w:rsid w:val="0080432F"/>
    <w:rsid w:val="00804765"/>
    <w:rsid w:val="00805ED8"/>
    <w:rsid w:val="00806C4F"/>
    <w:rsid w:val="00807E51"/>
    <w:rsid w:val="00810B4B"/>
    <w:rsid w:val="00811162"/>
    <w:rsid w:val="00811901"/>
    <w:rsid w:val="00812F8A"/>
    <w:rsid w:val="008131D8"/>
    <w:rsid w:val="00813215"/>
    <w:rsid w:val="00814FA6"/>
    <w:rsid w:val="00815B08"/>
    <w:rsid w:val="008172BD"/>
    <w:rsid w:val="00817AA6"/>
    <w:rsid w:val="00817B56"/>
    <w:rsid w:val="00817D3B"/>
    <w:rsid w:val="00817DE6"/>
    <w:rsid w:val="0082079F"/>
    <w:rsid w:val="0082094B"/>
    <w:rsid w:val="008212B3"/>
    <w:rsid w:val="0082229C"/>
    <w:rsid w:val="00822681"/>
    <w:rsid w:val="0082268D"/>
    <w:rsid w:val="00822E41"/>
    <w:rsid w:val="00822FA1"/>
    <w:rsid w:val="008243AE"/>
    <w:rsid w:val="00824486"/>
    <w:rsid w:val="00824918"/>
    <w:rsid w:val="00824960"/>
    <w:rsid w:val="00824AA6"/>
    <w:rsid w:val="00825F47"/>
    <w:rsid w:val="00826419"/>
    <w:rsid w:val="008267CC"/>
    <w:rsid w:val="00826B37"/>
    <w:rsid w:val="00826D9E"/>
    <w:rsid w:val="00826F10"/>
    <w:rsid w:val="00827A00"/>
    <w:rsid w:val="00827F67"/>
    <w:rsid w:val="0083015D"/>
    <w:rsid w:val="008304BA"/>
    <w:rsid w:val="0083191F"/>
    <w:rsid w:val="00831B05"/>
    <w:rsid w:val="00831DBA"/>
    <w:rsid w:val="00831EA0"/>
    <w:rsid w:val="00832EE1"/>
    <w:rsid w:val="008340D7"/>
    <w:rsid w:val="00834380"/>
    <w:rsid w:val="008343DB"/>
    <w:rsid w:val="00834AD5"/>
    <w:rsid w:val="00834D12"/>
    <w:rsid w:val="008355E4"/>
    <w:rsid w:val="00835C7C"/>
    <w:rsid w:val="00836254"/>
    <w:rsid w:val="008363AE"/>
    <w:rsid w:val="008366B9"/>
    <w:rsid w:val="008404C8"/>
    <w:rsid w:val="00840A14"/>
    <w:rsid w:val="00840EC8"/>
    <w:rsid w:val="008412DC"/>
    <w:rsid w:val="00841358"/>
    <w:rsid w:val="0084212E"/>
    <w:rsid w:val="008422AC"/>
    <w:rsid w:val="00844EEA"/>
    <w:rsid w:val="00845486"/>
    <w:rsid w:val="00845849"/>
    <w:rsid w:val="0084645C"/>
    <w:rsid w:val="008465C5"/>
    <w:rsid w:val="00846AD0"/>
    <w:rsid w:val="00846BBB"/>
    <w:rsid w:val="0084714D"/>
    <w:rsid w:val="008476E0"/>
    <w:rsid w:val="008476F3"/>
    <w:rsid w:val="00847A45"/>
    <w:rsid w:val="0085003D"/>
    <w:rsid w:val="00850F71"/>
    <w:rsid w:val="00851996"/>
    <w:rsid w:val="00851D37"/>
    <w:rsid w:val="00852981"/>
    <w:rsid w:val="008537C0"/>
    <w:rsid w:val="00853DC2"/>
    <w:rsid w:val="008545BB"/>
    <w:rsid w:val="00854F38"/>
    <w:rsid w:val="0085524E"/>
    <w:rsid w:val="008558D7"/>
    <w:rsid w:val="008568E7"/>
    <w:rsid w:val="00856E8D"/>
    <w:rsid w:val="00856FA8"/>
    <w:rsid w:val="008576CD"/>
    <w:rsid w:val="008577B1"/>
    <w:rsid w:val="00857A0A"/>
    <w:rsid w:val="00857B90"/>
    <w:rsid w:val="00857EDF"/>
    <w:rsid w:val="0086031B"/>
    <w:rsid w:val="008603A8"/>
    <w:rsid w:val="00860766"/>
    <w:rsid w:val="00860D94"/>
    <w:rsid w:val="00860FF6"/>
    <w:rsid w:val="00861DE1"/>
    <w:rsid w:val="00862790"/>
    <w:rsid w:val="008636C1"/>
    <w:rsid w:val="00864A75"/>
    <w:rsid w:val="0086568D"/>
    <w:rsid w:val="00865788"/>
    <w:rsid w:val="00867413"/>
    <w:rsid w:val="00867DDE"/>
    <w:rsid w:val="00867E85"/>
    <w:rsid w:val="00870AF1"/>
    <w:rsid w:val="0087195D"/>
    <w:rsid w:val="00871F50"/>
    <w:rsid w:val="00873CFC"/>
    <w:rsid w:val="00873F59"/>
    <w:rsid w:val="00873F87"/>
    <w:rsid w:val="008762FF"/>
    <w:rsid w:val="00876D44"/>
    <w:rsid w:val="00877750"/>
    <w:rsid w:val="008778FF"/>
    <w:rsid w:val="00877ADB"/>
    <w:rsid w:val="00877B5B"/>
    <w:rsid w:val="00877DC6"/>
    <w:rsid w:val="0088074E"/>
    <w:rsid w:val="00880A6D"/>
    <w:rsid w:val="00880B2A"/>
    <w:rsid w:val="00880CF5"/>
    <w:rsid w:val="008812F0"/>
    <w:rsid w:val="0088234B"/>
    <w:rsid w:val="00884039"/>
    <w:rsid w:val="008847C0"/>
    <w:rsid w:val="00884831"/>
    <w:rsid w:val="0088531A"/>
    <w:rsid w:val="00885613"/>
    <w:rsid w:val="008868F4"/>
    <w:rsid w:val="00886E83"/>
    <w:rsid w:val="00887293"/>
    <w:rsid w:val="00887BC0"/>
    <w:rsid w:val="00891B92"/>
    <w:rsid w:val="0089249F"/>
    <w:rsid w:val="0089364A"/>
    <w:rsid w:val="00895384"/>
    <w:rsid w:val="00895603"/>
    <w:rsid w:val="00895AE9"/>
    <w:rsid w:val="008968D0"/>
    <w:rsid w:val="008972F8"/>
    <w:rsid w:val="008974B0"/>
    <w:rsid w:val="00897901"/>
    <w:rsid w:val="008A0548"/>
    <w:rsid w:val="008A0BE2"/>
    <w:rsid w:val="008A104A"/>
    <w:rsid w:val="008A18E3"/>
    <w:rsid w:val="008A1BA2"/>
    <w:rsid w:val="008A1C08"/>
    <w:rsid w:val="008A290D"/>
    <w:rsid w:val="008A423B"/>
    <w:rsid w:val="008A566B"/>
    <w:rsid w:val="008A6CDF"/>
    <w:rsid w:val="008A749D"/>
    <w:rsid w:val="008B2314"/>
    <w:rsid w:val="008B3240"/>
    <w:rsid w:val="008B32CA"/>
    <w:rsid w:val="008B3A7B"/>
    <w:rsid w:val="008B4244"/>
    <w:rsid w:val="008B4F04"/>
    <w:rsid w:val="008B621F"/>
    <w:rsid w:val="008B6441"/>
    <w:rsid w:val="008B69F3"/>
    <w:rsid w:val="008B6C37"/>
    <w:rsid w:val="008B7930"/>
    <w:rsid w:val="008B7A37"/>
    <w:rsid w:val="008C04B3"/>
    <w:rsid w:val="008C1C25"/>
    <w:rsid w:val="008C1CEE"/>
    <w:rsid w:val="008C2DB3"/>
    <w:rsid w:val="008C2FDB"/>
    <w:rsid w:val="008C3C82"/>
    <w:rsid w:val="008C51AA"/>
    <w:rsid w:val="008C5CDC"/>
    <w:rsid w:val="008C617A"/>
    <w:rsid w:val="008C658D"/>
    <w:rsid w:val="008C79AB"/>
    <w:rsid w:val="008C79DC"/>
    <w:rsid w:val="008D09D2"/>
    <w:rsid w:val="008D0ED1"/>
    <w:rsid w:val="008D0F75"/>
    <w:rsid w:val="008D26B2"/>
    <w:rsid w:val="008D2A73"/>
    <w:rsid w:val="008D34F4"/>
    <w:rsid w:val="008D36A4"/>
    <w:rsid w:val="008D4142"/>
    <w:rsid w:val="008D4B21"/>
    <w:rsid w:val="008D51A1"/>
    <w:rsid w:val="008D56ED"/>
    <w:rsid w:val="008D58BB"/>
    <w:rsid w:val="008D58ED"/>
    <w:rsid w:val="008D6C9D"/>
    <w:rsid w:val="008D7287"/>
    <w:rsid w:val="008D770B"/>
    <w:rsid w:val="008D7F66"/>
    <w:rsid w:val="008E111D"/>
    <w:rsid w:val="008E173E"/>
    <w:rsid w:val="008E1856"/>
    <w:rsid w:val="008E399A"/>
    <w:rsid w:val="008E3AC5"/>
    <w:rsid w:val="008E3DC4"/>
    <w:rsid w:val="008E3FF7"/>
    <w:rsid w:val="008E4544"/>
    <w:rsid w:val="008E4930"/>
    <w:rsid w:val="008E4E18"/>
    <w:rsid w:val="008E4FF2"/>
    <w:rsid w:val="008E5238"/>
    <w:rsid w:val="008E52C2"/>
    <w:rsid w:val="008E5910"/>
    <w:rsid w:val="008E5E09"/>
    <w:rsid w:val="008E5EDD"/>
    <w:rsid w:val="008F012F"/>
    <w:rsid w:val="008F1E47"/>
    <w:rsid w:val="008F1E62"/>
    <w:rsid w:val="008F2117"/>
    <w:rsid w:val="008F31B5"/>
    <w:rsid w:val="008F343A"/>
    <w:rsid w:val="008F47DF"/>
    <w:rsid w:val="008F4CB2"/>
    <w:rsid w:val="008F608A"/>
    <w:rsid w:val="008F60A6"/>
    <w:rsid w:val="008F61F8"/>
    <w:rsid w:val="008F698A"/>
    <w:rsid w:val="008F6C68"/>
    <w:rsid w:val="008F6E94"/>
    <w:rsid w:val="008F7721"/>
    <w:rsid w:val="00900526"/>
    <w:rsid w:val="00900747"/>
    <w:rsid w:val="00901CE5"/>
    <w:rsid w:val="00901F79"/>
    <w:rsid w:val="00902A61"/>
    <w:rsid w:val="009042C0"/>
    <w:rsid w:val="009057FA"/>
    <w:rsid w:val="0090764B"/>
    <w:rsid w:val="00907B3F"/>
    <w:rsid w:val="0091067C"/>
    <w:rsid w:val="0091081B"/>
    <w:rsid w:val="00910912"/>
    <w:rsid w:val="00910B1A"/>
    <w:rsid w:val="0091123D"/>
    <w:rsid w:val="009114CF"/>
    <w:rsid w:val="00912371"/>
    <w:rsid w:val="00912CC1"/>
    <w:rsid w:val="00912F9A"/>
    <w:rsid w:val="00913408"/>
    <w:rsid w:val="00913E98"/>
    <w:rsid w:val="00914555"/>
    <w:rsid w:val="00914A9D"/>
    <w:rsid w:val="00915B90"/>
    <w:rsid w:val="00915E84"/>
    <w:rsid w:val="009160B8"/>
    <w:rsid w:val="009162DF"/>
    <w:rsid w:val="00916306"/>
    <w:rsid w:val="0091693B"/>
    <w:rsid w:val="00917174"/>
    <w:rsid w:val="00917452"/>
    <w:rsid w:val="009176A2"/>
    <w:rsid w:val="00917803"/>
    <w:rsid w:val="00917951"/>
    <w:rsid w:val="00920B71"/>
    <w:rsid w:val="00920CD0"/>
    <w:rsid w:val="00920DE3"/>
    <w:rsid w:val="009223E1"/>
    <w:rsid w:val="00923A79"/>
    <w:rsid w:val="00923F13"/>
    <w:rsid w:val="009244BF"/>
    <w:rsid w:val="009244E4"/>
    <w:rsid w:val="009248C4"/>
    <w:rsid w:val="00925396"/>
    <w:rsid w:val="0092561C"/>
    <w:rsid w:val="00925B27"/>
    <w:rsid w:val="00926C34"/>
    <w:rsid w:val="00927D4C"/>
    <w:rsid w:val="00930C56"/>
    <w:rsid w:val="0093132F"/>
    <w:rsid w:val="00931BDB"/>
    <w:rsid w:val="00931C14"/>
    <w:rsid w:val="00932853"/>
    <w:rsid w:val="009328FD"/>
    <w:rsid w:val="00933538"/>
    <w:rsid w:val="00934679"/>
    <w:rsid w:val="00934754"/>
    <w:rsid w:val="009349F8"/>
    <w:rsid w:val="0093593A"/>
    <w:rsid w:val="009362EC"/>
    <w:rsid w:val="00936513"/>
    <w:rsid w:val="009366D1"/>
    <w:rsid w:val="0093721E"/>
    <w:rsid w:val="00937906"/>
    <w:rsid w:val="00937E7D"/>
    <w:rsid w:val="00940EA8"/>
    <w:rsid w:val="00942073"/>
    <w:rsid w:val="00942143"/>
    <w:rsid w:val="0094267A"/>
    <w:rsid w:val="009426F7"/>
    <w:rsid w:val="00942D06"/>
    <w:rsid w:val="00943FD5"/>
    <w:rsid w:val="00946338"/>
    <w:rsid w:val="009466AE"/>
    <w:rsid w:val="00946AF6"/>
    <w:rsid w:val="00946D24"/>
    <w:rsid w:val="00946D75"/>
    <w:rsid w:val="009472B1"/>
    <w:rsid w:val="00947E59"/>
    <w:rsid w:val="0095017D"/>
    <w:rsid w:val="0095086F"/>
    <w:rsid w:val="009529B0"/>
    <w:rsid w:val="00954036"/>
    <w:rsid w:val="00954A4F"/>
    <w:rsid w:val="009551C3"/>
    <w:rsid w:val="0095608F"/>
    <w:rsid w:val="009570B6"/>
    <w:rsid w:val="0095721B"/>
    <w:rsid w:val="00957C60"/>
    <w:rsid w:val="00960DD1"/>
    <w:rsid w:val="00961011"/>
    <w:rsid w:val="009616D2"/>
    <w:rsid w:val="00961C50"/>
    <w:rsid w:val="009629AA"/>
    <w:rsid w:val="00963746"/>
    <w:rsid w:val="0096385A"/>
    <w:rsid w:val="00964020"/>
    <w:rsid w:val="009640A6"/>
    <w:rsid w:val="009659BE"/>
    <w:rsid w:val="00966868"/>
    <w:rsid w:val="00966C76"/>
    <w:rsid w:val="00967679"/>
    <w:rsid w:val="00971309"/>
    <w:rsid w:val="009722A2"/>
    <w:rsid w:val="00972455"/>
    <w:rsid w:val="00972591"/>
    <w:rsid w:val="00973D60"/>
    <w:rsid w:val="00974B69"/>
    <w:rsid w:val="00975B50"/>
    <w:rsid w:val="00975D6D"/>
    <w:rsid w:val="00976A7A"/>
    <w:rsid w:val="00977B63"/>
    <w:rsid w:val="0098192A"/>
    <w:rsid w:val="00982A40"/>
    <w:rsid w:val="00982C05"/>
    <w:rsid w:val="00982EC1"/>
    <w:rsid w:val="00984A1E"/>
    <w:rsid w:val="00986135"/>
    <w:rsid w:val="009864D2"/>
    <w:rsid w:val="00986FDF"/>
    <w:rsid w:val="00990AD4"/>
    <w:rsid w:val="00990E85"/>
    <w:rsid w:val="009918F7"/>
    <w:rsid w:val="00991F73"/>
    <w:rsid w:val="009920A3"/>
    <w:rsid w:val="00993D6A"/>
    <w:rsid w:val="00994110"/>
    <w:rsid w:val="00994476"/>
    <w:rsid w:val="009946E6"/>
    <w:rsid w:val="00994BE2"/>
    <w:rsid w:val="00995FA6"/>
    <w:rsid w:val="009962F9"/>
    <w:rsid w:val="00996404"/>
    <w:rsid w:val="00996578"/>
    <w:rsid w:val="00997FCD"/>
    <w:rsid w:val="009A01BE"/>
    <w:rsid w:val="009A080A"/>
    <w:rsid w:val="009A0B67"/>
    <w:rsid w:val="009A1AE3"/>
    <w:rsid w:val="009A1C8B"/>
    <w:rsid w:val="009A2033"/>
    <w:rsid w:val="009A2A9D"/>
    <w:rsid w:val="009A35AF"/>
    <w:rsid w:val="009A3720"/>
    <w:rsid w:val="009A3A86"/>
    <w:rsid w:val="009A4FC4"/>
    <w:rsid w:val="009A5099"/>
    <w:rsid w:val="009A50A9"/>
    <w:rsid w:val="009A57E3"/>
    <w:rsid w:val="009A688A"/>
    <w:rsid w:val="009A6CC9"/>
    <w:rsid w:val="009A6E17"/>
    <w:rsid w:val="009A7894"/>
    <w:rsid w:val="009A7902"/>
    <w:rsid w:val="009B0B44"/>
    <w:rsid w:val="009B2070"/>
    <w:rsid w:val="009B2392"/>
    <w:rsid w:val="009B253B"/>
    <w:rsid w:val="009B270A"/>
    <w:rsid w:val="009B2A26"/>
    <w:rsid w:val="009B37FC"/>
    <w:rsid w:val="009B3899"/>
    <w:rsid w:val="009B4501"/>
    <w:rsid w:val="009B48D0"/>
    <w:rsid w:val="009B4E33"/>
    <w:rsid w:val="009B4F5E"/>
    <w:rsid w:val="009B5015"/>
    <w:rsid w:val="009B5516"/>
    <w:rsid w:val="009B554C"/>
    <w:rsid w:val="009B5688"/>
    <w:rsid w:val="009B5773"/>
    <w:rsid w:val="009B6729"/>
    <w:rsid w:val="009B6820"/>
    <w:rsid w:val="009B6C0D"/>
    <w:rsid w:val="009B6C22"/>
    <w:rsid w:val="009C104C"/>
    <w:rsid w:val="009C1339"/>
    <w:rsid w:val="009C1FE8"/>
    <w:rsid w:val="009C3227"/>
    <w:rsid w:val="009C3BFC"/>
    <w:rsid w:val="009C3CB7"/>
    <w:rsid w:val="009C417C"/>
    <w:rsid w:val="009C46FA"/>
    <w:rsid w:val="009C5247"/>
    <w:rsid w:val="009C53DB"/>
    <w:rsid w:val="009C54AC"/>
    <w:rsid w:val="009C558D"/>
    <w:rsid w:val="009C5B30"/>
    <w:rsid w:val="009C5D91"/>
    <w:rsid w:val="009C624A"/>
    <w:rsid w:val="009C6643"/>
    <w:rsid w:val="009C67D7"/>
    <w:rsid w:val="009C75FF"/>
    <w:rsid w:val="009C7EC1"/>
    <w:rsid w:val="009C7FAB"/>
    <w:rsid w:val="009D03C9"/>
    <w:rsid w:val="009D151A"/>
    <w:rsid w:val="009D186F"/>
    <w:rsid w:val="009D1B19"/>
    <w:rsid w:val="009D20E4"/>
    <w:rsid w:val="009D259B"/>
    <w:rsid w:val="009D2AC0"/>
    <w:rsid w:val="009D318B"/>
    <w:rsid w:val="009D389F"/>
    <w:rsid w:val="009D3CF2"/>
    <w:rsid w:val="009D45B3"/>
    <w:rsid w:val="009D54B7"/>
    <w:rsid w:val="009D593A"/>
    <w:rsid w:val="009D5E15"/>
    <w:rsid w:val="009D6E16"/>
    <w:rsid w:val="009D74E7"/>
    <w:rsid w:val="009D768F"/>
    <w:rsid w:val="009E02C5"/>
    <w:rsid w:val="009E1452"/>
    <w:rsid w:val="009E2C05"/>
    <w:rsid w:val="009E2EFB"/>
    <w:rsid w:val="009E3979"/>
    <w:rsid w:val="009E3A2D"/>
    <w:rsid w:val="009E4980"/>
    <w:rsid w:val="009E4F43"/>
    <w:rsid w:val="009E7E02"/>
    <w:rsid w:val="009F1462"/>
    <w:rsid w:val="009F1598"/>
    <w:rsid w:val="009F16B1"/>
    <w:rsid w:val="009F1D99"/>
    <w:rsid w:val="009F238C"/>
    <w:rsid w:val="009F2712"/>
    <w:rsid w:val="009F2CF9"/>
    <w:rsid w:val="009F41C1"/>
    <w:rsid w:val="009F47C2"/>
    <w:rsid w:val="009F4DD8"/>
    <w:rsid w:val="009F6716"/>
    <w:rsid w:val="009F6AB5"/>
    <w:rsid w:val="009F7122"/>
    <w:rsid w:val="009F7513"/>
    <w:rsid w:val="009F7FB5"/>
    <w:rsid w:val="00A00AAB"/>
    <w:rsid w:val="00A00AF0"/>
    <w:rsid w:val="00A00D67"/>
    <w:rsid w:val="00A013C6"/>
    <w:rsid w:val="00A0170D"/>
    <w:rsid w:val="00A0173D"/>
    <w:rsid w:val="00A02507"/>
    <w:rsid w:val="00A02F44"/>
    <w:rsid w:val="00A039F3"/>
    <w:rsid w:val="00A04119"/>
    <w:rsid w:val="00A044C9"/>
    <w:rsid w:val="00A0530D"/>
    <w:rsid w:val="00A0609D"/>
    <w:rsid w:val="00A0684C"/>
    <w:rsid w:val="00A0699F"/>
    <w:rsid w:val="00A06C08"/>
    <w:rsid w:val="00A06D3B"/>
    <w:rsid w:val="00A076D0"/>
    <w:rsid w:val="00A07D0B"/>
    <w:rsid w:val="00A1209E"/>
    <w:rsid w:val="00A12E69"/>
    <w:rsid w:val="00A13057"/>
    <w:rsid w:val="00A13ABF"/>
    <w:rsid w:val="00A1400F"/>
    <w:rsid w:val="00A14860"/>
    <w:rsid w:val="00A14B51"/>
    <w:rsid w:val="00A161EB"/>
    <w:rsid w:val="00A1695E"/>
    <w:rsid w:val="00A16A02"/>
    <w:rsid w:val="00A17694"/>
    <w:rsid w:val="00A2072A"/>
    <w:rsid w:val="00A20956"/>
    <w:rsid w:val="00A20D13"/>
    <w:rsid w:val="00A21781"/>
    <w:rsid w:val="00A2277C"/>
    <w:rsid w:val="00A22975"/>
    <w:rsid w:val="00A232D1"/>
    <w:rsid w:val="00A23726"/>
    <w:rsid w:val="00A24012"/>
    <w:rsid w:val="00A240FE"/>
    <w:rsid w:val="00A245F6"/>
    <w:rsid w:val="00A2474A"/>
    <w:rsid w:val="00A24DFE"/>
    <w:rsid w:val="00A25899"/>
    <w:rsid w:val="00A25A93"/>
    <w:rsid w:val="00A262E4"/>
    <w:rsid w:val="00A268F6"/>
    <w:rsid w:val="00A279B2"/>
    <w:rsid w:val="00A27C9A"/>
    <w:rsid w:val="00A304C3"/>
    <w:rsid w:val="00A30B07"/>
    <w:rsid w:val="00A30C3E"/>
    <w:rsid w:val="00A310C5"/>
    <w:rsid w:val="00A331B3"/>
    <w:rsid w:val="00A336A7"/>
    <w:rsid w:val="00A337AB"/>
    <w:rsid w:val="00A3415C"/>
    <w:rsid w:val="00A354DF"/>
    <w:rsid w:val="00A35BFE"/>
    <w:rsid w:val="00A35D05"/>
    <w:rsid w:val="00A370E4"/>
    <w:rsid w:val="00A379DA"/>
    <w:rsid w:val="00A37D10"/>
    <w:rsid w:val="00A4028A"/>
    <w:rsid w:val="00A403F1"/>
    <w:rsid w:val="00A40860"/>
    <w:rsid w:val="00A40F38"/>
    <w:rsid w:val="00A4237D"/>
    <w:rsid w:val="00A42420"/>
    <w:rsid w:val="00A42814"/>
    <w:rsid w:val="00A43181"/>
    <w:rsid w:val="00A4333F"/>
    <w:rsid w:val="00A43743"/>
    <w:rsid w:val="00A43770"/>
    <w:rsid w:val="00A43FA7"/>
    <w:rsid w:val="00A440A8"/>
    <w:rsid w:val="00A447B6"/>
    <w:rsid w:val="00A455C8"/>
    <w:rsid w:val="00A467FA"/>
    <w:rsid w:val="00A4680B"/>
    <w:rsid w:val="00A46CA7"/>
    <w:rsid w:val="00A47835"/>
    <w:rsid w:val="00A47D1A"/>
    <w:rsid w:val="00A50338"/>
    <w:rsid w:val="00A504F5"/>
    <w:rsid w:val="00A50DAC"/>
    <w:rsid w:val="00A50EC9"/>
    <w:rsid w:val="00A5114F"/>
    <w:rsid w:val="00A51B55"/>
    <w:rsid w:val="00A52544"/>
    <w:rsid w:val="00A532E6"/>
    <w:rsid w:val="00A53C27"/>
    <w:rsid w:val="00A54093"/>
    <w:rsid w:val="00A542A4"/>
    <w:rsid w:val="00A550CF"/>
    <w:rsid w:val="00A56BED"/>
    <w:rsid w:val="00A56EE8"/>
    <w:rsid w:val="00A57494"/>
    <w:rsid w:val="00A575B1"/>
    <w:rsid w:val="00A614F3"/>
    <w:rsid w:val="00A61EC4"/>
    <w:rsid w:val="00A62315"/>
    <w:rsid w:val="00A62923"/>
    <w:rsid w:val="00A62C3F"/>
    <w:rsid w:val="00A62F5F"/>
    <w:rsid w:val="00A64EE0"/>
    <w:rsid w:val="00A67300"/>
    <w:rsid w:val="00A70713"/>
    <w:rsid w:val="00A707EA"/>
    <w:rsid w:val="00A70C23"/>
    <w:rsid w:val="00A716C2"/>
    <w:rsid w:val="00A71BFF"/>
    <w:rsid w:val="00A71F81"/>
    <w:rsid w:val="00A728D2"/>
    <w:rsid w:val="00A75376"/>
    <w:rsid w:val="00A7540D"/>
    <w:rsid w:val="00A75428"/>
    <w:rsid w:val="00A754FF"/>
    <w:rsid w:val="00A75ECB"/>
    <w:rsid w:val="00A76BEE"/>
    <w:rsid w:val="00A76CF2"/>
    <w:rsid w:val="00A76DC4"/>
    <w:rsid w:val="00A770B0"/>
    <w:rsid w:val="00A772DA"/>
    <w:rsid w:val="00A77A85"/>
    <w:rsid w:val="00A801CC"/>
    <w:rsid w:val="00A80426"/>
    <w:rsid w:val="00A8087B"/>
    <w:rsid w:val="00A819C5"/>
    <w:rsid w:val="00A81BE0"/>
    <w:rsid w:val="00A81E21"/>
    <w:rsid w:val="00A82644"/>
    <w:rsid w:val="00A82D37"/>
    <w:rsid w:val="00A82F2E"/>
    <w:rsid w:val="00A83A74"/>
    <w:rsid w:val="00A84B70"/>
    <w:rsid w:val="00A84BCA"/>
    <w:rsid w:val="00A84EEE"/>
    <w:rsid w:val="00A8516C"/>
    <w:rsid w:val="00A8538D"/>
    <w:rsid w:val="00A85912"/>
    <w:rsid w:val="00A8639B"/>
    <w:rsid w:val="00A86DC7"/>
    <w:rsid w:val="00A875AE"/>
    <w:rsid w:val="00A87A9D"/>
    <w:rsid w:val="00A87B45"/>
    <w:rsid w:val="00A87B60"/>
    <w:rsid w:val="00A91401"/>
    <w:rsid w:val="00A91C6A"/>
    <w:rsid w:val="00A92A7D"/>
    <w:rsid w:val="00A92AA0"/>
    <w:rsid w:val="00A92ACB"/>
    <w:rsid w:val="00A92CCB"/>
    <w:rsid w:val="00A939EA"/>
    <w:rsid w:val="00A93DC8"/>
    <w:rsid w:val="00A94FF0"/>
    <w:rsid w:val="00A9610F"/>
    <w:rsid w:val="00A962FB"/>
    <w:rsid w:val="00A96645"/>
    <w:rsid w:val="00AA1795"/>
    <w:rsid w:val="00AA19FD"/>
    <w:rsid w:val="00AA1AA7"/>
    <w:rsid w:val="00AA21B0"/>
    <w:rsid w:val="00AA301A"/>
    <w:rsid w:val="00AA43ED"/>
    <w:rsid w:val="00AA72C3"/>
    <w:rsid w:val="00AA73B5"/>
    <w:rsid w:val="00AB0DD6"/>
    <w:rsid w:val="00AB372A"/>
    <w:rsid w:val="00AB3C05"/>
    <w:rsid w:val="00AB3DE7"/>
    <w:rsid w:val="00AB3F2A"/>
    <w:rsid w:val="00AB4122"/>
    <w:rsid w:val="00AB4271"/>
    <w:rsid w:val="00AB47C1"/>
    <w:rsid w:val="00AB4AD4"/>
    <w:rsid w:val="00AB4DF7"/>
    <w:rsid w:val="00AB4F43"/>
    <w:rsid w:val="00AB5441"/>
    <w:rsid w:val="00AB6530"/>
    <w:rsid w:val="00AB77FE"/>
    <w:rsid w:val="00AC0E72"/>
    <w:rsid w:val="00AC1527"/>
    <w:rsid w:val="00AC223F"/>
    <w:rsid w:val="00AC2867"/>
    <w:rsid w:val="00AC286B"/>
    <w:rsid w:val="00AC31D7"/>
    <w:rsid w:val="00AC3CC7"/>
    <w:rsid w:val="00AC4B4F"/>
    <w:rsid w:val="00AC4C93"/>
    <w:rsid w:val="00AC4CED"/>
    <w:rsid w:val="00AC58D0"/>
    <w:rsid w:val="00AC5DC0"/>
    <w:rsid w:val="00AC6030"/>
    <w:rsid w:val="00AC62CE"/>
    <w:rsid w:val="00AC6BD5"/>
    <w:rsid w:val="00AC71DF"/>
    <w:rsid w:val="00AC7751"/>
    <w:rsid w:val="00AC7D44"/>
    <w:rsid w:val="00AD00D7"/>
    <w:rsid w:val="00AD1896"/>
    <w:rsid w:val="00AD2CF8"/>
    <w:rsid w:val="00AD4205"/>
    <w:rsid w:val="00AD4760"/>
    <w:rsid w:val="00AD5378"/>
    <w:rsid w:val="00AD5473"/>
    <w:rsid w:val="00AD7EAA"/>
    <w:rsid w:val="00AE0193"/>
    <w:rsid w:val="00AE04DA"/>
    <w:rsid w:val="00AE2DF2"/>
    <w:rsid w:val="00AE2F8E"/>
    <w:rsid w:val="00AE3295"/>
    <w:rsid w:val="00AE3D37"/>
    <w:rsid w:val="00AE433B"/>
    <w:rsid w:val="00AE47ED"/>
    <w:rsid w:val="00AE490F"/>
    <w:rsid w:val="00AE5005"/>
    <w:rsid w:val="00AE5DAB"/>
    <w:rsid w:val="00AE65ED"/>
    <w:rsid w:val="00AE68B7"/>
    <w:rsid w:val="00AE7DDF"/>
    <w:rsid w:val="00AF1CFC"/>
    <w:rsid w:val="00AF2A12"/>
    <w:rsid w:val="00AF2A9E"/>
    <w:rsid w:val="00AF2CCE"/>
    <w:rsid w:val="00AF3D88"/>
    <w:rsid w:val="00AF3E54"/>
    <w:rsid w:val="00AF499D"/>
    <w:rsid w:val="00AF4D4A"/>
    <w:rsid w:val="00AF5047"/>
    <w:rsid w:val="00AF5049"/>
    <w:rsid w:val="00AF507D"/>
    <w:rsid w:val="00AF6B3D"/>
    <w:rsid w:val="00AF73DD"/>
    <w:rsid w:val="00AF7DB7"/>
    <w:rsid w:val="00B001F2"/>
    <w:rsid w:val="00B00B61"/>
    <w:rsid w:val="00B00F35"/>
    <w:rsid w:val="00B00FE4"/>
    <w:rsid w:val="00B0150F"/>
    <w:rsid w:val="00B017A2"/>
    <w:rsid w:val="00B01869"/>
    <w:rsid w:val="00B019D7"/>
    <w:rsid w:val="00B02A7D"/>
    <w:rsid w:val="00B02BDF"/>
    <w:rsid w:val="00B0330F"/>
    <w:rsid w:val="00B03BCC"/>
    <w:rsid w:val="00B03C89"/>
    <w:rsid w:val="00B049FA"/>
    <w:rsid w:val="00B04C31"/>
    <w:rsid w:val="00B04E06"/>
    <w:rsid w:val="00B06049"/>
    <w:rsid w:val="00B06397"/>
    <w:rsid w:val="00B07A6D"/>
    <w:rsid w:val="00B07B54"/>
    <w:rsid w:val="00B07FB8"/>
    <w:rsid w:val="00B07FCA"/>
    <w:rsid w:val="00B10569"/>
    <w:rsid w:val="00B107D2"/>
    <w:rsid w:val="00B114EB"/>
    <w:rsid w:val="00B1176F"/>
    <w:rsid w:val="00B132FF"/>
    <w:rsid w:val="00B14D8E"/>
    <w:rsid w:val="00B14D8F"/>
    <w:rsid w:val="00B17471"/>
    <w:rsid w:val="00B17BBE"/>
    <w:rsid w:val="00B20046"/>
    <w:rsid w:val="00B2013D"/>
    <w:rsid w:val="00B20E12"/>
    <w:rsid w:val="00B2102E"/>
    <w:rsid w:val="00B21467"/>
    <w:rsid w:val="00B21915"/>
    <w:rsid w:val="00B219BC"/>
    <w:rsid w:val="00B21F32"/>
    <w:rsid w:val="00B222C1"/>
    <w:rsid w:val="00B22B6B"/>
    <w:rsid w:val="00B22D92"/>
    <w:rsid w:val="00B22E7D"/>
    <w:rsid w:val="00B23C93"/>
    <w:rsid w:val="00B23DCC"/>
    <w:rsid w:val="00B24E9F"/>
    <w:rsid w:val="00B25656"/>
    <w:rsid w:val="00B2583C"/>
    <w:rsid w:val="00B25869"/>
    <w:rsid w:val="00B25B18"/>
    <w:rsid w:val="00B25CF6"/>
    <w:rsid w:val="00B26249"/>
    <w:rsid w:val="00B26250"/>
    <w:rsid w:val="00B27741"/>
    <w:rsid w:val="00B27759"/>
    <w:rsid w:val="00B31561"/>
    <w:rsid w:val="00B31F3B"/>
    <w:rsid w:val="00B32048"/>
    <w:rsid w:val="00B324C8"/>
    <w:rsid w:val="00B3265C"/>
    <w:rsid w:val="00B3306D"/>
    <w:rsid w:val="00B33165"/>
    <w:rsid w:val="00B33AAC"/>
    <w:rsid w:val="00B33AEB"/>
    <w:rsid w:val="00B3445C"/>
    <w:rsid w:val="00B34E23"/>
    <w:rsid w:val="00B352D0"/>
    <w:rsid w:val="00B35877"/>
    <w:rsid w:val="00B35D9E"/>
    <w:rsid w:val="00B362B7"/>
    <w:rsid w:val="00B3709F"/>
    <w:rsid w:val="00B37571"/>
    <w:rsid w:val="00B37839"/>
    <w:rsid w:val="00B37FBF"/>
    <w:rsid w:val="00B40E8D"/>
    <w:rsid w:val="00B41804"/>
    <w:rsid w:val="00B42167"/>
    <w:rsid w:val="00B421F5"/>
    <w:rsid w:val="00B42412"/>
    <w:rsid w:val="00B42930"/>
    <w:rsid w:val="00B43A1E"/>
    <w:rsid w:val="00B447B3"/>
    <w:rsid w:val="00B447F0"/>
    <w:rsid w:val="00B455FF"/>
    <w:rsid w:val="00B46398"/>
    <w:rsid w:val="00B465FD"/>
    <w:rsid w:val="00B46AA9"/>
    <w:rsid w:val="00B46FBE"/>
    <w:rsid w:val="00B47C34"/>
    <w:rsid w:val="00B47ED1"/>
    <w:rsid w:val="00B47F72"/>
    <w:rsid w:val="00B50112"/>
    <w:rsid w:val="00B517FC"/>
    <w:rsid w:val="00B5398E"/>
    <w:rsid w:val="00B53A47"/>
    <w:rsid w:val="00B53CCC"/>
    <w:rsid w:val="00B54236"/>
    <w:rsid w:val="00B546BB"/>
    <w:rsid w:val="00B54F48"/>
    <w:rsid w:val="00B554FB"/>
    <w:rsid w:val="00B55966"/>
    <w:rsid w:val="00B55A90"/>
    <w:rsid w:val="00B56287"/>
    <w:rsid w:val="00B566E1"/>
    <w:rsid w:val="00B57773"/>
    <w:rsid w:val="00B57C21"/>
    <w:rsid w:val="00B57D09"/>
    <w:rsid w:val="00B57F39"/>
    <w:rsid w:val="00B605BA"/>
    <w:rsid w:val="00B62E24"/>
    <w:rsid w:val="00B632FD"/>
    <w:rsid w:val="00B63ADC"/>
    <w:rsid w:val="00B6455A"/>
    <w:rsid w:val="00B64941"/>
    <w:rsid w:val="00B6562F"/>
    <w:rsid w:val="00B66024"/>
    <w:rsid w:val="00B67573"/>
    <w:rsid w:val="00B67E71"/>
    <w:rsid w:val="00B701C9"/>
    <w:rsid w:val="00B7038D"/>
    <w:rsid w:val="00B70FB2"/>
    <w:rsid w:val="00B71ECE"/>
    <w:rsid w:val="00B7260E"/>
    <w:rsid w:val="00B726E2"/>
    <w:rsid w:val="00B72B8D"/>
    <w:rsid w:val="00B736B7"/>
    <w:rsid w:val="00B74B11"/>
    <w:rsid w:val="00B74CE5"/>
    <w:rsid w:val="00B7555B"/>
    <w:rsid w:val="00B75DD5"/>
    <w:rsid w:val="00B75EA6"/>
    <w:rsid w:val="00B761C7"/>
    <w:rsid w:val="00B765F7"/>
    <w:rsid w:val="00B7708A"/>
    <w:rsid w:val="00B8017E"/>
    <w:rsid w:val="00B80298"/>
    <w:rsid w:val="00B80765"/>
    <w:rsid w:val="00B808E5"/>
    <w:rsid w:val="00B81DD0"/>
    <w:rsid w:val="00B82F9D"/>
    <w:rsid w:val="00B8360E"/>
    <w:rsid w:val="00B849E9"/>
    <w:rsid w:val="00B85102"/>
    <w:rsid w:val="00B85B12"/>
    <w:rsid w:val="00B85BEF"/>
    <w:rsid w:val="00B85E79"/>
    <w:rsid w:val="00B85E8C"/>
    <w:rsid w:val="00B86764"/>
    <w:rsid w:val="00B86E30"/>
    <w:rsid w:val="00B86EEB"/>
    <w:rsid w:val="00B90367"/>
    <w:rsid w:val="00B9132C"/>
    <w:rsid w:val="00B9233A"/>
    <w:rsid w:val="00B933B3"/>
    <w:rsid w:val="00B939C3"/>
    <w:rsid w:val="00B93B1F"/>
    <w:rsid w:val="00B9468B"/>
    <w:rsid w:val="00B94766"/>
    <w:rsid w:val="00B95101"/>
    <w:rsid w:val="00B95623"/>
    <w:rsid w:val="00B959B6"/>
    <w:rsid w:val="00B97413"/>
    <w:rsid w:val="00B97607"/>
    <w:rsid w:val="00B97714"/>
    <w:rsid w:val="00B97A2B"/>
    <w:rsid w:val="00B97C23"/>
    <w:rsid w:val="00BA0551"/>
    <w:rsid w:val="00BA07CE"/>
    <w:rsid w:val="00BA2443"/>
    <w:rsid w:val="00BA3E1E"/>
    <w:rsid w:val="00BA459D"/>
    <w:rsid w:val="00BA4D93"/>
    <w:rsid w:val="00BA4E4E"/>
    <w:rsid w:val="00BA5ACF"/>
    <w:rsid w:val="00BA5F7B"/>
    <w:rsid w:val="00BA6308"/>
    <w:rsid w:val="00BA6C7D"/>
    <w:rsid w:val="00BA6D95"/>
    <w:rsid w:val="00BA78B7"/>
    <w:rsid w:val="00BB052D"/>
    <w:rsid w:val="00BB1866"/>
    <w:rsid w:val="00BB29CA"/>
    <w:rsid w:val="00BB3C82"/>
    <w:rsid w:val="00BB44E4"/>
    <w:rsid w:val="00BB45A1"/>
    <w:rsid w:val="00BB4B9F"/>
    <w:rsid w:val="00BB534C"/>
    <w:rsid w:val="00BB5F95"/>
    <w:rsid w:val="00BB6B5C"/>
    <w:rsid w:val="00BB6BF5"/>
    <w:rsid w:val="00BB78E5"/>
    <w:rsid w:val="00BB7C7A"/>
    <w:rsid w:val="00BC19C0"/>
    <w:rsid w:val="00BC1C2E"/>
    <w:rsid w:val="00BC1DCB"/>
    <w:rsid w:val="00BC2A21"/>
    <w:rsid w:val="00BC55C3"/>
    <w:rsid w:val="00BC59C2"/>
    <w:rsid w:val="00BC5CBB"/>
    <w:rsid w:val="00BC6F12"/>
    <w:rsid w:val="00BC76FD"/>
    <w:rsid w:val="00BC7BBC"/>
    <w:rsid w:val="00BD01D6"/>
    <w:rsid w:val="00BD172E"/>
    <w:rsid w:val="00BD198A"/>
    <w:rsid w:val="00BD1DEC"/>
    <w:rsid w:val="00BD24C2"/>
    <w:rsid w:val="00BD2A28"/>
    <w:rsid w:val="00BD4F95"/>
    <w:rsid w:val="00BD5980"/>
    <w:rsid w:val="00BD59E4"/>
    <w:rsid w:val="00BD5AAC"/>
    <w:rsid w:val="00BD67C3"/>
    <w:rsid w:val="00BD6EF2"/>
    <w:rsid w:val="00BD7F82"/>
    <w:rsid w:val="00BE0590"/>
    <w:rsid w:val="00BE077D"/>
    <w:rsid w:val="00BE07AC"/>
    <w:rsid w:val="00BE0A84"/>
    <w:rsid w:val="00BE0F4D"/>
    <w:rsid w:val="00BE1580"/>
    <w:rsid w:val="00BE2EF4"/>
    <w:rsid w:val="00BE2F79"/>
    <w:rsid w:val="00BE30F0"/>
    <w:rsid w:val="00BE376D"/>
    <w:rsid w:val="00BE3D41"/>
    <w:rsid w:val="00BE4B18"/>
    <w:rsid w:val="00BE55A3"/>
    <w:rsid w:val="00BE5CA2"/>
    <w:rsid w:val="00BF00BF"/>
    <w:rsid w:val="00BF1110"/>
    <w:rsid w:val="00BF13EB"/>
    <w:rsid w:val="00BF5210"/>
    <w:rsid w:val="00BF5933"/>
    <w:rsid w:val="00BF6CD8"/>
    <w:rsid w:val="00C006ED"/>
    <w:rsid w:val="00C00AE8"/>
    <w:rsid w:val="00C00D56"/>
    <w:rsid w:val="00C0120E"/>
    <w:rsid w:val="00C01BB1"/>
    <w:rsid w:val="00C030E0"/>
    <w:rsid w:val="00C032EB"/>
    <w:rsid w:val="00C0366E"/>
    <w:rsid w:val="00C0384B"/>
    <w:rsid w:val="00C03CB4"/>
    <w:rsid w:val="00C03D41"/>
    <w:rsid w:val="00C05A14"/>
    <w:rsid w:val="00C06392"/>
    <w:rsid w:val="00C06A9D"/>
    <w:rsid w:val="00C0714B"/>
    <w:rsid w:val="00C0742E"/>
    <w:rsid w:val="00C076B9"/>
    <w:rsid w:val="00C07F43"/>
    <w:rsid w:val="00C105F5"/>
    <w:rsid w:val="00C10B8F"/>
    <w:rsid w:val="00C10C28"/>
    <w:rsid w:val="00C1107A"/>
    <w:rsid w:val="00C11C68"/>
    <w:rsid w:val="00C11FF5"/>
    <w:rsid w:val="00C13509"/>
    <w:rsid w:val="00C1424F"/>
    <w:rsid w:val="00C1456D"/>
    <w:rsid w:val="00C15821"/>
    <w:rsid w:val="00C159A2"/>
    <w:rsid w:val="00C15AC8"/>
    <w:rsid w:val="00C1640E"/>
    <w:rsid w:val="00C1648C"/>
    <w:rsid w:val="00C1666F"/>
    <w:rsid w:val="00C16BAB"/>
    <w:rsid w:val="00C175DC"/>
    <w:rsid w:val="00C17F56"/>
    <w:rsid w:val="00C20FDC"/>
    <w:rsid w:val="00C219FC"/>
    <w:rsid w:val="00C21A99"/>
    <w:rsid w:val="00C2222C"/>
    <w:rsid w:val="00C222ED"/>
    <w:rsid w:val="00C231D7"/>
    <w:rsid w:val="00C23A55"/>
    <w:rsid w:val="00C244C4"/>
    <w:rsid w:val="00C24638"/>
    <w:rsid w:val="00C24BDA"/>
    <w:rsid w:val="00C24F16"/>
    <w:rsid w:val="00C25291"/>
    <w:rsid w:val="00C25A30"/>
    <w:rsid w:val="00C25B15"/>
    <w:rsid w:val="00C27EEB"/>
    <w:rsid w:val="00C30E92"/>
    <w:rsid w:val="00C3107A"/>
    <w:rsid w:val="00C3174A"/>
    <w:rsid w:val="00C31A3B"/>
    <w:rsid w:val="00C31DBE"/>
    <w:rsid w:val="00C32222"/>
    <w:rsid w:val="00C3248E"/>
    <w:rsid w:val="00C32E22"/>
    <w:rsid w:val="00C3307E"/>
    <w:rsid w:val="00C33635"/>
    <w:rsid w:val="00C33BAA"/>
    <w:rsid w:val="00C33D4D"/>
    <w:rsid w:val="00C346CE"/>
    <w:rsid w:val="00C3493D"/>
    <w:rsid w:val="00C353B0"/>
    <w:rsid w:val="00C358E5"/>
    <w:rsid w:val="00C371A4"/>
    <w:rsid w:val="00C374A4"/>
    <w:rsid w:val="00C37FE5"/>
    <w:rsid w:val="00C40A01"/>
    <w:rsid w:val="00C40E86"/>
    <w:rsid w:val="00C4113E"/>
    <w:rsid w:val="00C41284"/>
    <w:rsid w:val="00C417FB"/>
    <w:rsid w:val="00C41CEF"/>
    <w:rsid w:val="00C426A5"/>
    <w:rsid w:val="00C42EDD"/>
    <w:rsid w:val="00C441BF"/>
    <w:rsid w:val="00C443B0"/>
    <w:rsid w:val="00C44CC4"/>
    <w:rsid w:val="00C45397"/>
    <w:rsid w:val="00C457EA"/>
    <w:rsid w:val="00C458DB"/>
    <w:rsid w:val="00C45F3E"/>
    <w:rsid w:val="00C46729"/>
    <w:rsid w:val="00C46D8F"/>
    <w:rsid w:val="00C4740E"/>
    <w:rsid w:val="00C4769F"/>
    <w:rsid w:val="00C50CF5"/>
    <w:rsid w:val="00C50DD4"/>
    <w:rsid w:val="00C51886"/>
    <w:rsid w:val="00C520CB"/>
    <w:rsid w:val="00C5235A"/>
    <w:rsid w:val="00C5295B"/>
    <w:rsid w:val="00C52CCB"/>
    <w:rsid w:val="00C52CCF"/>
    <w:rsid w:val="00C56704"/>
    <w:rsid w:val="00C56DAB"/>
    <w:rsid w:val="00C56F58"/>
    <w:rsid w:val="00C56FE7"/>
    <w:rsid w:val="00C5709D"/>
    <w:rsid w:val="00C603B3"/>
    <w:rsid w:val="00C615A9"/>
    <w:rsid w:val="00C61D23"/>
    <w:rsid w:val="00C621CF"/>
    <w:rsid w:val="00C624BB"/>
    <w:rsid w:val="00C6274A"/>
    <w:rsid w:val="00C62A46"/>
    <w:rsid w:val="00C62E67"/>
    <w:rsid w:val="00C63335"/>
    <w:rsid w:val="00C63425"/>
    <w:rsid w:val="00C63F5C"/>
    <w:rsid w:val="00C645FE"/>
    <w:rsid w:val="00C64769"/>
    <w:rsid w:val="00C64DCC"/>
    <w:rsid w:val="00C65107"/>
    <w:rsid w:val="00C651F9"/>
    <w:rsid w:val="00C65251"/>
    <w:rsid w:val="00C65D4B"/>
    <w:rsid w:val="00C65F60"/>
    <w:rsid w:val="00C65F91"/>
    <w:rsid w:val="00C66D81"/>
    <w:rsid w:val="00C6741B"/>
    <w:rsid w:val="00C67CF1"/>
    <w:rsid w:val="00C711F4"/>
    <w:rsid w:val="00C7167E"/>
    <w:rsid w:val="00C71DFF"/>
    <w:rsid w:val="00C72235"/>
    <w:rsid w:val="00C72EA3"/>
    <w:rsid w:val="00C73302"/>
    <w:rsid w:val="00C73541"/>
    <w:rsid w:val="00C73885"/>
    <w:rsid w:val="00C73C2A"/>
    <w:rsid w:val="00C74E42"/>
    <w:rsid w:val="00C7573F"/>
    <w:rsid w:val="00C75D64"/>
    <w:rsid w:val="00C77DD1"/>
    <w:rsid w:val="00C807FB"/>
    <w:rsid w:val="00C80C82"/>
    <w:rsid w:val="00C82151"/>
    <w:rsid w:val="00C82DE2"/>
    <w:rsid w:val="00C83242"/>
    <w:rsid w:val="00C8347B"/>
    <w:rsid w:val="00C836EF"/>
    <w:rsid w:val="00C83D3D"/>
    <w:rsid w:val="00C847BA"/>
    <w:rsid w:val="00C85484"/>
    <w:rsid w:val="00C85EBA"/>
    <w:rsid w:val="00C85FCB"/>
    <w:rsid w:val="00C85FD8"/>
    <w:rsid w:val="00C867F6"/>
    <w:rsid w:val="00C87545"/>
    <w:rsid w:val="00C90DE5"/>
    <w:rsid w:val="00C9121B"/>
    <w:rsid w:val="00C9213E"/>
    <w:rsid w:val="00C94431"/>
    <w:rsid w:val="00C95A29"/>
    <w:rsid w:val="00C95E2C"/>
    <w:rsid w:val="00C97772"/>
    <w:rsid w:val="00C9780C"/>
    <w:rsid w:val="00C97B6E"/>
    <w:rsid w:val="00C97C4E"/>
    <w:rsid w:val="00C97E89"/>
    <w:rsid w:val="00CA0995"/>
    <w:rsid w:val="00CA1112"/>
    <w:rsid w:val="00CA121F"/>
    <w:rsid w:val="00CA18BC"/>
    <w:rsid w:val="00CA1EEA"/>
    <w:rsid w:val="00CA235D"/>
    <w:rsid w:val="00CA3C38"/>
    <w:rsid w:val="00CA442C"/>
    <w:rsid w:val="00CA4C88"/>
    <w:rsid w:val="00CA4F2B"/>
    <w:rsid w:val="00CA5D46"/>
    <w:rsid w:val="00CA5D91"/>
    <w:rsid w:val="00CA63BF"/>
    <w:rsid w:val="00CA671B"/>
    <w:rsid w:val="00CA6A61"/>
    <w:rsid w:val="00CA6C61"/>
    <w:rsid w:val="00CA6F73"/>
    <w:rsid w:val="00CA7388"/>
    <w:rsid w:val="00CA7F0A"/>
    <w:rsid w:val="00CB0F9D"/>
    <w:rsid w:val="00CB10A4"/>
    <w:rsid w:val="00CB17FB"/>
    <w:rsid w:val="00CB1A49"/>
    <w:rsid w:val="00CB2F47"/>
    <w:rsid w:val="00CB3D5F"/>
    <w:rsid w:val="00CB4452"/>
    <w:rsid w:val="00CB47B2"/>
    <w:rsid w:val="00CB4C67"/>
    <w:rsid w:val="00CB4E13"/>
    <w:rsid w:val="00CB7C16"/>
    <w:rsid w:val="00CC0E22"/>
    <w:rsid w:val="00CC156B"/>
    <w:rsid w:val="00CC4DE3"/>
    <w:rsid w:val="00CC4DF9"/>
    <w:rsid w:val="00CC54A8"/>
    <w:rsid w:val="00CC55D9"/>
    <w:rsid w:val="00CC5877"/>
    <w:rsid w:val="00CC5F15"/>
    <w:rsid w:val="00CC641D"/>
    <w:rsid w:val="00CC753B"/>
    <w:rsid w:val="00CC796A"/>
    <w:rsid w:val="00CC7C2D"/>
    <w:rsid w:val="00CD0093"/>
    <w:rsid w:val="00CD00A6"/>
    <w:rsid w:val="00CD1029"/>
    <w:rsid w:val="00CD1AC8"/>
    <w:rsid w:val="00CD2CB7"/>
    <w:rsid w:val="00CD35DB"/>
    <w:rsid w:val="00CD3745"/>
    <w:rsid w:val="00CD3B94"/>
    <w:rsid w:val="00CD4ECC"/>
    <w:rsid w:val="00CD512C"/>
    <w:rsid w:val="00CD66D4"/>
    <w:rsid w:val="00CD78F7"/>
    <w:rsid w:val="00CE0ADE"/>
    <w:rsid w:val="00CE180D"/>
    <w:rsid w:val="00CE19E6"/>
    <w:rsid w:val="00CE1C7C"/>
    <w:rsid w:val="00CE23F6"/>
    <w:rsid w:val="00CE2884"/>
    <w:rsid w:val="00CE3462"/>
    <w:rsid w:val="00CE3791"/>
    <w:rsid w:val="00CE3A01"/>
    <w:rsid w:val="00CE4349"/>
    <w:rsid w:val="00CE4E72"/>
    <w:rsid w:val="00CE5A88"/>
    <w:rsid w:val="00CE663B"/>
    <w:rsid w:val="00CE741F"/>
    <w:rsid w:val="00CE78B0"/>
    <w:rsid w:val="00CE7981"/>
    <w:rsid w:val="00CE7C7B"/>
    <w:rsid w:val="00CE7D69"/>
    <w:rsid w:val="00CF0809"/>
    <w:rsid w:val="00CF084C"/>
    <w:rsid w:val="00CF121F"/>
    <w:rsid w:val="00CF15ED"/>
    <w:rsid w:val="00CF192A"/>
    <w:rsid w:val="00CF2868"/>
    <w:rsid w:val="00CF5250"/>
    <w:rsid w:val="00CF587B"/>
    <w:rsid w:val="00CF6B32"/>
    <w:rsid w:val="00CF6ED8"/>
    <w:rsid w:val="00CF727C"/>
    <w:rsid w:val="00CF7DFF"/>
    <w:rsid w:val="00D006DB"/>
    <w:rsid w:val="00D01830"/>
    <w:rsid w:val="00D019C6"/>
    <w:rsid w:val="00D01CEE"/>
    <w:rsid w:val="00D01F42"/>
    <w:rsid w:val="00D02137"/>
    <w:rsid w:val="00D038B2"/>
    <w:rsid w:val="00D03FE6"/>
    <w:rsid w:val="00D04A0A"/>
    <w:rsid w:val="00D053F9"/>
    <w:rsid w:val="00D058F5"/>
    <w:rsid w:val="00D05DF9"/>
    <w:rsid w:val="00D06174"/>
    <w:rsid w:val="00D066F4"/>
    <w:rsid w:val="00D07150"/>
    <w:rsid w:val="00D07E93"/>
    <w:rsid w:val="00D109C1"/>
    <w:rsid w:val="00D11F4F"/>
    <w:rsid w:val="00D146CB"/>
    <w:rsid w:val="00D147E0"/>
    <w:rsid w:val="00D14DA5"/>
    <w:rsid w:val="00D15A07"/>
    <w:rsid w:val="00D16EE4"/>
    <w:rsid w:val="00D17377"/>
    <w:rsid w:val="00D17C7B"/>
    <w:rsid w:val="00D20488"/>
    <w:rsid w:val="00D2075A"/>
    <w:rsid w:val="00D20B86"/>
    <w:rsid w:val="00D2150C"/>
    <w:rsid w:val="00D2152D"/>
    <w:rsid w:val="00D2287D"/>
    <w:rsid w:val="00D23178"/>
    <w:rsid w:val="00D2421E"/>
    <w:rsid w:val="00D24258"/>
    <w:rsid w:val="00D24F50"/>
    <w:rsid w:val="00D258AB"/>
    <w:rsid w:val="00D25E5B"/>
    <w:rsid w:val="00D2678B"/>
    <w:rsid w:val="00D26796"/>
    <w:rsid w:val="00D267BE"/>
    <w:rsid w:val="00D27475"/>
    <w:rsid w:val="00D27F43"/>
    <w:rsid w:val="00D30109"/>
    <w:rsid w:val="00D304C1"/>
    <w:rsid w:val="00D30552"/>
    <w:rsid w:val="00D3176A"/>
    <w:rsid w:val="00D31915"/>
    <w:rsid w:val="00D323AB"/>
    <w:rsid w:val="00D33F08"/>
    <w:rsid w:val="00D33FBB"/>
    <w:rsid w:val="00D34088"/>
    <w:rsid w:val="00D343C3"/>
    <w:rsid w:val="00D3449B"/>
    <w:rsid w:val="00D34CAD"/>
    <w:rsid w:val="00D3539B"/>
    <w:rsid w:val="00D358C1"/>
    <w:rsid w:val="00D359E3"/>
    <w:rsid w:val="00D364E5"/>
    <w:rsid w:val="00D364F7"/>
    <w:rsid w:val="00D36838"/>
    <w:rsid w:val="00D37073"/>
    <w:rsid w:val="00D37826"/>
    <w:rsid w:val="00D4189F"/>
    <w:rsid w:val="00D428AD"/>
    <w:rsid w:val="00D4304F"/>
    <w:rsid w:val="00D43310"/>
    <w:rsid w:val="00D43774"/>
    <w:rsid w:val="00D442DB"/>
    <w:rsid w:val="00D4465C"/>
    <w:rsid w:val="00D44DA2"/>
    <w:rsid w:val="00D455E9"/>
    <w:rsid w:val="00D47613"/>
    <w:rsid w:val="00D504C7"/>
    <w:rsid w:val="00D513C9"/>
    <w:rsid w:val="00D51B00"/>
    <w:rsid w:val="00D51EF6"/>
    <w:rsid w:val="00D52ECF"/>
    <w:rsid w:val="00D536D9"/>
    <w:rsid w:val="00D53AA3"/>
    <w:rsid w:val="00D56728"/>
    <w:rsid w:val="00D5766C"/>
    <w:rsid w:val="00D613E7"/>
    <w:rsid w:val="00D62606"/>
    <w:rsid w:val="00D639F8"/>
    <w:rsid w:val="00D63B45"/>
    <w:rsid w:val="00D64485"/>
    <w:rsid w:val="00D64EA3"/>
    <w:rsid w:val="00D65030"/>
    <w:rsid w:val="00D658FB"/>
    <w:rsid w:val="00D65EF8"/>
    <w:rsid w:val="00D66BA0"/>
    <w:rsid w:val="00D671AF"/>
    <w:rsid w:val="00D671CC"/>
    <w:rsid w:val="00D677BF"/>
    <w:rsid w:val="00D706F8"/>
    <w:rsid w:val="00D713B6"/>
    <w:rsid w:val="00D71C6C"/>
    <w:rsid w:val="00D722E3"/>
    <w:rsid w:val="00D7269D"/>
    <w:rsid w:val="00D72958"/>
    <w:rsid w:val="00D7499D"/>
    <w:rsid w:val="00D7508C"/>
    <w:rsid w:val="00D7516B"/>
    <w:rsid w:val="00D757A5"/>
    <w:rsid w:val="00D75D44"/>
    <w:rsid w:val="00D75F73"/>
    <w:rsid w:val="00D76FA4"/>
    <w:rsid w:val="00D77E7E"/>
    <w:rsid w:val="00D77EBD"/>
    <w:rsid w:val="00D804E3"/>
    <w:rsid w:val="00D808F4"/>
    <w:rsid w:val="00D80E15"/>
    <w:rsid w:val="00D81481"/>
    <w:rsid w:val="00D81903"/>
    <w:rsid w:val="00D82994"/>
    <w:rsid w:val="00D83684"/>
    <w:rsid w:val="00D83F83"/>
    <w:rsid w:val="00D84510"/>
    <w:rsid w:val="00D846FF"/>
    <w:rsid w:val="00D85655"/>
    <w:rsid w:val="00D85D26"/>
    <w:rsid w:val="00D85D5C"/>
    <w:rsid w:val="00D861C8"/>
    <w:rsid w:val="00D86776"/>
    <w:rsid w:val="00D869F3"/>
    <w:rsid w:val="00D86E4C"/>
    <w:rsid w:val="00D86E89"/>
    <w:rsid w:val="00D91422"/>
    <w:rsid w:val="00D915E5"/>
    <w:rsid w:val="00D916B8"/>
    <w:rsid w:val="00D91FCD"/>
    <w:rsid w:val="00D92575"/>
    <w:rsid w:val="00D928B1"/>
    <w:rsid w:val="00D93C7D"/>
    <w:rsid w:val="00D945CF"/>
    <w:rsid w:val="00D94AC1"/>
    <w:rsid w:val="00D94C8D"/>
    <w:rsid w:val="00D94E6E"/>
    <w:rsid w:val="00D97DBE"/>
    <w:rsid w:val="00DA051E"/>
    <w:rsid w:val="00DA052F"/>
    <w:rsid w:val="00DA0F4E"/>
    <w:rsid w:val="00DA116D"/>
    <w:rsid w:val="00DA1D3F"/>
    <w:rsid w:val="00DA1D84"/>
    <w:rsid w:val="00DA23AF"/>
    <w:rsid w:val="00DA331A"/>
    <w:rsid w:val="00DA3660"/>
    <w:rsid w:val="00DA4D06"/>
    <w:rsid w:val="00DA5346"/>
    <w:rsid w:val="00DA5FF7"/>
    <w:rsid w:val="00DA60F7"/>
    <w:rsid w:val="00DA632C"/>
    <w:rsid w:val="00DA65DE"/>
    <w:rsid w:val="00DA69ED"/>
    <w:rsid w:val="00DA7810"/>
    <w:rsid w:val="00DA78CC"/>
    <w:rsid w:val="00DB0195"/>
    <w:rsid w:val="00DB0795"/>
    <w:rsid w:val="00DB0CFA"/>
    <w:rsid w:val="00DB0D1B"/>
    <w:rsid w:val="00DB0EA6"/>
    <w:rsid w:val="00DB10B3"/>
    <w:rsid w:val="00DB1796"/>
    <w:rsid w:val="00DB1940"/>
    <w:rsid w:val="00DB241E"/>
    <w:rsid w:val="00DB2B25"/>
    <w:rsid w:val="00DB2F9A"/>
    <w:rsid w:val="00DB30AA"/>
    <w:rsid w:val="00DB35DC"/>
    <w:rsid w:val="00DB4DF3"/>
    <w:rsid w:val="00DB5538"/>
    <w:rsid w:val="00DC01FB"/>
    <w:rsid w:val="00DC0349"/>
    <w:rsid w:val="00DC0505"/>
    <w:rsid w:val="00DC071F"/>
    <w:rsid w:val="00DC0E2F"/>
    <w:rsid w:val="00DC0F8C"/>
    <w:rsid w:val="00DC1442"/>
    <w:rsid w:val="00DC165E"/>
    <w:rsid w:val="00DC25E7"/>
    <w:rsid w:val="00DC2FE3"/>
    <w:rsid w:val="00DC360E"/>
    <w:rsid w:val="00DC3E22"/>
    <w:rsid w:val="00DC41DA"/>
    <w:rsid w:val="00DC453A"/>
    <w:rsid w:val="00DC478A"/>
    <w:rsid w:val="00DC4B08"/>
    <w:rsid w:val="00DC5381"/>
    <w:rsid w:val="00DC5490"/>
    <w:rsid w:val="00DC6063"/>
    <w:rsid w:val="00DC6388"/>
    <w:rsid w:val="00DC67B6"/>
    <w:rsid w:val="00DC68E1"/>
    <w:rsid w:val="00DC7586"/>
    <w:rsid w:val="00DC7DEC"/>
    <w:rsid w:val="00DC7F23"/>
    <w:rsid w:val="00DD03BF"/>
    <w:rsid w:val="00DD0B8A"/>
    <w:rsid w:val="00DD0C42"/>
    <w:rsid w:val="00DD181D"/>
    <w:rsid w:val="00DD1C57"/>
    <w:rsid w:val="00DD203F"/>
    <w:rsid w:val="00DD224D"/>
    <w:rsid w:val="00DD29F9"/>
    <w:rsid w:val="00DD30E8"/>
    <w:rsid w:val="00DD3362"/>
    <w:rsid w:val="00DD358F"/>
    <w:rsid w:val="00DD4AF4"/>
    <w:rsid w:val="00DD4E24"/>
    <w:rsid w:val="00DD5728"/>
    <w:rsid w:val="00DD5907"/>
    <w:rsid w:val="00DD5C10"/>
    <w:rsid w:val="00DD687B"/>
    <w:rsid w:val="00DD688E"/>
    <w:rsid w:val="00DD6A8A"/>
    <w:rsid w:val="00DD78D3"/>
    <w:rsid w:val="00DD7A8E"/>
    <w:rsid w:val="00DE0C48"/>
    <w:rsid w:val="00DE0E92"/>
    <w:rsid w:val="00DE154F"/>
    <w:rsid w:val="00DE17A6"/>
    <w:rsid w:val="00DE1C2B"/>
    <w:rsid w:val="00DE2675"/>
    <w:rsid w:val="00DE28D3"/>
    <w:rsid w:val="00DE2A5A"/>
    <w:rsid w:val="00DE302F"/>
    <w:rsid w:val="00DE3568"/>
    <w:rsid w:val="00DE35FD"/>
    <w:rsid w:val="00DE3850"/>
    <w:rsid w:val="00DE3FB1"/>
    <w:rsid w:val="00DE4254"/>
    <w:rsid w:val="00DE4688"/>
    <w:rsid w:val="00DE4A1A"/>
    <w:rsid w:val="00DE528D"/>
    <w:rsid w:val="00DE541B"/>
    <w:rsid w:val="00DE5A80"/>
    <w:rsid w:val="00DE70F9"/>
    <w:rsid w:val="00DE76AE"/>
    <w:rsid w:val="00DF0016"/>
    <w:rsid w:val="00DF0809"/>
    <w:rsid w:val="00DF08B4"/>
    <w:rsid w:val="00DF0C1D"/>
    <w:rsid w:val="00DF0CD0"/>
    <w:rsid w:val="00DF0E05"/>
    <w:rsid w:val="00DF13D3"/>
    <w:rsid w:val="00DF1A92"/>
    <w:rsid w:val="00DF1E77"/>
    <w:rsid w:val="00DF20E6"/>
    <w:rsid w:val="00DF2BE6"/>
    <w:rsid w:val="00DF31F9"/>
    <w:rsid w:val="00DF3C02"/>
    <w:rsid w:val="00DF3DFD"/>
    <w:rsid w:val="00DF420C"/>
    <w:rsid w:val="00DF4C8A"/>
    <w:rsid w:val="00DF4FED"/>
    <w:rsid w:val="00DF5075"/>
    <w:rsid w:val="00DF6A0B"/>
    <w:rsid w:val="00DF7284"/>
    <w:rsid w:val="00DF7FAB"/>
    <w:rsid w:val="00DF7FC3"/>
    <w:rsid w:val="00E000A7"/>
    <w:rsid w:val="00E002BD"/>
    <w:rsid w:val="00E013EE"/>
    <w:rsid w:val="00E01529"/>
    <w:rsid w:val="00E020C2"/>
    <w:rsid w:val="00E0276B"/>
    <w:rsid w:val="00E028DF"/>
    <w:rsid w:val="00E02B06"/>
    <w:rsid w:val="00E02B12"/>
    <w:rsid w:val="00E02D0E"/>
    <w:rsid w:val="00E03652"/>
    <w:rsid w:val="00E04141"/>
    <w:rsid w:val="00E04186"/>
    <w:rsid w:val="00E04695"/>
    <w:rsid w:val="00E04B39"/>
    <w:rsid w:val="00E04FD3"/>
    <w:rsid w:val="00E06A4D"/>
    <w:rsid w:val="00E06D6C"/>
    <w:rsid w:val="00E06E0A"/>
    <w:rsid w:val="00E06FD3"/>
    <w:rsid w:val="00E072AC"/>
    <w:rsid w:val="00E07EEB"/>
    <w:rsid w:val="00E1001C"/>
    <w:rsid w:val="00E10489"/>
    <w:rsid w:val="00E113BC"/>
    <w:rsid w:val="00E1187E"/>
    <w:rsid w:val="00E1219E"/>
    <w:rsid w:val="00E126B8"/>
    <w:rsid w:val="00E12ACF"/>
    <w:rsid w:val="00E15A17"/>
    <w:rsid w:val="00E1603D"/>
    <w:rsid w:val="00E162EA"/>
    <w:rsid w:val="00E163D8"/>
    <w:rsid w:val="00E1779E"/>
    <w:rsid w:val="00E1795E"/>
    <w:rsid w:val="00E2083E"/>
    <w:rsid w:val="00E20DB4"/>
    <w:rsid w:val="00E21453"/>
    <w:rsid w:val="00E21878"/>
    <w:rsid w:val="00E23218"/>
    <w:rsid w:val="00E23C71"/>
    <w:rsid w:val="00E248A2"/>
    <w:rsid w:val="00E25CA2"/>
    <w:rsid w:val="00E25E3E"/>
    <w:rsid w:val="00E262FD"/>
    <w:rsid w:val="00E26410"/>
    <w:rsid w:val="00E26ABE"/>
    <w:rsid w:val="00E26C55"/>
    <w:rsid w:val="00E27A72"/>
    <w:rsid w:val="00E30174"/>
    <w:rsid w:val="00E312EE"/>
    <w:rsid w:val="00E31CB2"/>
    <w:rsid w:val="00E3227A"/>
    <w:rsid w:val="00E32D1B"/>
    <w:rsid w:val="00E343FC"/>
    <w:rsid w:val="00E3530D"/>
    <w:rsid w:val="00E35A87"/>
    <w:rsid w:val="00E35B98"/>
    <w:rsid w:val="00E35E4C"/>
    <w:rsid w:val="00E367BC"/>
    <w:rsid w:val="00E379CF"/>
    <w:rsid w:val="00E37B3D"/>
    <w:rsid w:val="00E37DA1"/>
    <w:rsid w:val="00E405B6"/>
    <w:rsid w:val="00E41B50"/>
    <w:rsid w:val="00E41D23"/>
    <w:rsid w:val="00E423B8"/>
    <w:rsid w:val="00E42488"/>
    <w:rsid w:val="00E4261D"/>
    <w:rsid w:val="00E42F8B"/>
    <w:rsid w:val="00E43A6D"/>
    <w:rsid w:val="00E44401"/>
    <w:rsid w:val="00E44816"/>
    <w:rsid w:val="00E45251"/>
    <w:rsid w:val="00E46F6E"/>
    <w:rsid w:val="00E471F2"/>
    <w:rsid w:val="00E501C2"/>
    <w:rsid w:val="00E503E2"/>
    <w:rsid w:val="00E50F3A"/>
    <w:rsid w:val="00E51110"/>
    <w:rsid w:val="00E51B6F"/>
    <w:rsid w:val="00E51F21"/>
    <w:rsid w:val="00E52090"/>
    <w:rsid w:val="00E52208"/>
    <w:rsid w:val="00E52498"/>
    <w:rsid w:val="00E5287D"/>
    <w:rsid w:val="00E53252"/>
    <w:rsid w:val="00E53A00"/>
    <w:rsid w:val="00E54129"/>
    <w:rsid w:val="00E54798"/>
    <w:rsid w:val="00E54BB4"/>
    <w:rsid w:val="00E55C7A"/>
    <w:rsid w:val="00E55DFF"/>
    <w:rsid w:val="00E56E46"/>
    <w:rsid w:val="00E57691"/>
    <w:rsid w:val="00E579B8"/>
    <w:rsid w:val="00E6025E"/>
    <w:rsid w:val="00E60804"/>
    <w:rsid w:val="00E60B82"/>
    <w:rsid w:val="00E6153D"/>
    <w:rsid w:val="00E6281E"/>
    <w:rsid w:val="00E6356B"/>
    <w:rsid w:val="00E63C19"/>
    <w:rsid w:val="00E6410F"/>
    <w:rsid w:val="00E64A0F"/>
    <w:rsid w:val="00E655F5"/>
    <w:rsid w:val="00E65820"/>
    <w:rsid w:val="00E6588B"/>
    <w:rsid w:val="00E65C12"/>
    <w:rsid w:val="00E65F8A"/>
    <w:rsid w:val="00E662EF"/>
    <w:rsid w:val="00E66A18"/>
    <w:rsid w:val="00E66A9C"/>
    <w:rsid w:val="00E66C5A"/>
    <w:rsid w:val="00E66CDE"/>
    <w:rsid w:val="00E6740C"/>
    <w:rsid w:val="00E70A89"/>
    <w:rsid w:val="00E70AFC"/>
    <w:rsid w:val="00E70BEA"/>
    <w:rsid w:val="00E7207F"/>
    <w:rsid w:val="00E72252"/>
    <w:rsid w:val="00E73367"/>
    <w:rsid w:val="00E737EB"/>
    <w:rsid w:val="00E74A97"/>
    <w:rsid w:val="00E74D22"/>
    <w:rsid w:val="00E75893"/>
    <w:rsid w:val="00E76BAC"/>
    <w:rsid w:val="00E76DEA"/>
    <w:rsid w:val="00E76E01"/>
    <w:rsid w:val="00E80238"/>
    <w:rsid w:val="00E81FA5"/>
    <w:rsid w:val="00E82659"/>
    <w:rsid w:val="00E8276C"/>
    <w:rsid w:val="00E82816"/>
    <w:rsid w:val="00E82869"/>
    <w:rsid w:val="00E82C7D"/>
    <w:rsid w:val="00E837D4"/>
    <w:rsid w:val="00E837EC"/>
    <w:rsid w:val="00E84842"/>
    <w:rsid w:val="00E8529B"/>
    <w:rsid w:val="00E85C24"/>
    <w:rsid w:val="00E86D64"/>
    <w:rsid w:val="00E8735C"/>
    <w:rsid w:val="00E874A2"/>
    <w:rsid w:val="00E8769C"/>
    <w:rsid w:val="00E903B6"/>
    <w:rsid w:val="00E90688"/>
    <w:rsid w:val="00E90ABA"/>
    <w:rsid w:val="00E90C59"/>
    <w:rsid w:val="00E92CA6"/>
    <w:rsid w:val="00E92DCF"/>
    <w:rsid w:val="00E932D7"/>
    <w:rsid w:val="00E936C1"/>
    <w:rsid w:val="00E937D4"/>
    <w:rsid w:val="00E95194"/>
    <w:rsid w:val="00E9619D"/>
    <w:rsid w:val="00E9670C"/>
    <w:rsid w:val="00E96AA9"/>
    <w:rsid w:val="00E970BA"/>
    <w:rsid w:val="00E975BF"/>
    <w:rsid w:val="00EA0485"/>
    <w:rsid w:val="00EA0770"/>
    <w:rsid w:val="00EA0F56"/>
    <w:rsid w:val="00EA15D0"/>
    <w:rsid w:val="00EA1A05"/>
    <w:rsid w:val="00EA2BDF"/>
    <w:rsid w:val="00EA3838"/>
    <w:rsid w:val="00EA38F1"/>
    <w:rsid w:val="00EA3C79"/>
    <w:rsid w:val="00EA42CD"/>
    <w:rsid w:val="00EA46BF"/>
    <w:rsid w:val="00EA4E4E"/>
    <w:rsid w:val="00EA5ED2"/>
    <w:rsid w:val="00EA6739"/>
    <w:rsid w:val="00EA6A69"/>
    <w:rsid w:val="00EA6DC8"/>
    <w:rsid w:val="00EA7257"/>
    <w:rsid w:val="00EA79C9"/>
    <w:rsid w:val="00EB01C3"/>
    <w:rsid w:val="00EB0D21"/>
    <w:rsid w:val="00EB10B4"/>
    <w:rsid w:val="00EB2AB3"/>
    <w:rsid w:val="00EB2D31"/>
    <w:rsid w:val="00EB3427"/>
    <w:rsid w:val="00EB38CC"/>
    <w:rsid w:val="00EB445C"/>
    <w:rsid w:val="00EB4509"/>
    <w:rsid w:val="00EB574C"/>
    <w:rsid w:val="00EB5AB6"/>
    <w:rsid w:val="00EB631B"/>
    <w:rsid w:val="00EB67DC"/>
    <w:rsid w:val="00EB76BD"/>
    <w:rsid w:val="00EC07D7"/>
    <w:rsid w:val="00EC0F81"/>
    <w:rsid w:val="00EC1636"/>
    <w:rsid w:val="00EC1FAA"/>
    <w:rsid w:val="00EC223E"/>
    <w:rsid w:val="00EC2C31"/>
    <w:rsid w:val="00EC4B59"/>
    <w:rsid w:val="00EC53F9"/>
    <w:rsid w:val="00EC6174"/>
    <w:rsid w:val="00EC6870"/>
    <w:rsid w:val="00EC6BEE"/>
    <w:rsid w:val="00EC70B4"/>
    <w:rsid w:val="00EC738A"/>
    <w:rsid w:val="00EC76B1"/>
    <w:rsid w:val="00EC7704"/>
    <w:rsid w:val="00ED05D4"/>
    <w:rsid w:val="00ED06F5"/>
    <w:rsid w:val="00ED0EA8"/>
    <w:rsid w:val="00ED140F"/>
    <w:rsid w:val="00ED2419"/>
    <w:rsid w:val="00ED32B2"/>
    <w:rsid w:val="00ED3763"/>
    <w:rsid w:val="00ED37F2"/>
    <w:rsid w:val="00ED380A"/>
    <w:rsid w:val="00ED3AB9"/>
    <w:rsid w:val="00ED3C90"/>
    <w:rsid w:val="00ED3E1D"/>
    <w:rsid w:val="00ED4179"/>
    <w:rsid w:val="00ED624B"/>
    <w:rsid w:val="00ED7EE6"/>
    <w:rsid w:val="00EE0B66"/>
    <w:rsid w:val="00EE1B59"/>
    <w:rsid w:val="00EE26F6"/>
    <w:rsid w:val="00EE2F5F"/>
    <w:rsid w:val="00EE4053"/>
    <w:rsid w:val="00EE4D90"/>
    <w:rsid w:val="00EE67AA"/>
    <w:rsid w:val="00EE7388"/>
    <w:rsid w:val="00EE7F71"/>
    <w:rsid w:val="00EF0FA3"/>
    <w:rsid w:val="00EF1DA8"/>
    <w:rsid w:val="00EF2BC8"/>
    <w:rsid w:val="00EF2EEC"/>
    <w:rsid w:val="00EF318F"/>
    <w:rsid w:val="00EF3D3F"/>
    <w:rsid w:val="00EF4A3A"/>
    <w:rsid w:val="00EF5173"/>
    <w:rsid w:val="00EF51E4"/>
    <w:rsid w:val="00EF5607"/>
    <w:rsid w:val="00EF66F1"/>
    <w:rsid w:val="00EF7934"/>
    <w:rsid w:val="00F002D5"/>
    <w:rsid w:val="00F00665"/>
    <w:rsid w:val="00F01515"/>
    <w:rsid w:val="00F0168B"/>
    <w:rsid w:val="00F01C1D"/>
    <w:rsid w:val="00F030DE"/>
    <w:rsid w:val="00F03CE1"/>
    <w:rsid w:val="00F05B7F"/>
    <w:rsid w:val="00F06154"/>
    <w:rsid w:val="00F06981"/>
    <w:rsid w:val="00F069D7"/>
    <w:rsid w:val="00F06ADD"/>
    <w:rsid w:val="00F0735A"/>
    <w:rsid w:val="00F10492"/>
    <w:rsid w:val="00F1063B"/>
    <w:rsid w:val="00F11239"/>
    <w:rsid w:val="00F1151C"/>
    <w:rsid w:val="00F118D1"/>
    <w:rsid w:val="00F121BE"/>
    <w:rsid w:val="00F12380"/>
    <w:rsid w:val="00F13B10"/>
    <w:rsid w:val="00F14F9F"/>
    <w:rsid w:val="00F1509D"/>
    <w:rsid w:val="00F1552A"/>
    <w:rsid w:val="00F15C4E"/>
    <w:rsid w:val="00F164DA"/>
    <w:rsid w:val="00F1686B"/>
    <w:rsid w:val="00F16898"/>
    <w:rsid w:val="00F201C6"/>
    <w:rsid w:val="00F205FF"/>
    <w:rsid w:val="00F2218E"/>
    <w:rsid w:val="00F225BD"/>
    <w:rsid w:val="00F229CA"/>
    <w:rsid w:val="00F2312E"/>
    <w:rsid w:val="00F237CE"/>
    <w:rsid w:val="00F23C01"/>
    <w:rsid w:val="00F24071"/>
    <w:rsid w:val="00F248E6"/>
    <w:rsid w:val="00F24BB0"/>
    <w:rsid w:val="00F24D43"/>
    <w:rsid w:val="00F24F32"/>
    <w:rsid w:val="00F264CE"/>
    <w:rsid w:val="00F27CBE"/>
    <w:rsid w:val="00F30C1B"/>
    <w:rsid w:val="00F31B23"/>
    <w:rsid w:val="00F32299"/>
    <w:rsid w:val="00F323E5"/>
    <w:rsid w:val="00F32414"/>
    <w:rsid w:val="00F32E6D"/>
    <w:rsid w:val="00F331F7"/>
    <w:rsid w:val="00F33F5A"/>
    <w:rsid w:val="00F3456C"/>
    <w:rsid w:val="00F34A22"/>
    <w:rsid w:val="00F34B6F"/>
    <w:rsid w:val="00F34F02"/>
    <w:rsid w:val="00F37CC7"/>
    <w:rsid w:val="00F409D4"/>
    <w:rsid w:val="00F40E93"/>
    <w:rsid w:val="00F41E6B"/>
    <w:rsid w:val="00F4379E"/>
    <w:rsid w:val="00F437F0"/>
    <w:rsid w:val="00F4474A"/>
    <w:rsid w:val="00F448E9"/>
    <w:rsid w:val="00F4694F"/>
    <w:rsid w:val="00F46B7F"/>
    <w:rsid w:val="00F46D84"/>
    <w:rsid w:val="00F471CF"/>
    <w:rsid w:val="00F47818"/>
    <w:rsid w:val="00F5083E"/>
    <w:rsid w:val="00F5137F"/>
    <w:rsid w:val="00F525CA"/>
    <w:rsid w:val="00F54068"/>
    <w:rsid w:val="00F543EC"/>
    <w:rsid w:val="00F54774"/>
    <w:rsid w:val="00F55B87"/>
    <w:rsid w:val="00F562A2"/>
    <w:rsid w:val="00F56A97"/>
    <w:rsid w:val="00F56CC3"/>
    <w:rsid w:val="00F56E70"/>
    <w:rsid w:val="00F6143B"/>
    <w:rsid w:val="00F61828"/>
    <w:rsid w:val="00F62DEF"/>
    <w:rsid w:val="00F62EA9"/>
    <w:rsid w:val="00F62F34"/>
    <w:rsid w:val="00F63368"/>
    <w:rsid w:val="00F64641"/>
    <w:rsid w:val="00F651C6"/>
    <w:rsid w:val="00F65570"/>
    <w:rsid w:val="00F65EC0"/>
    <w:rsid w:val="00F662CA"/>
    <w:rsid w:val="00F66E03"/>
    <w:rsid w:val="00F6782E"/>
    <w:rsid w:val="00F67FB6"/>
    <w:rsid w:val="00F708A9"/>
    <w:rsid w:val="00F70A16"/>
    <w:rsid w:val="00F7123F"/>
    <w:rsid w:val="00F71242"/>
    <w:rsid w:val="00F716EA"/>
    <w:rsid w:val="00F71CF8"/>
    <w:rsid w:val="00F73491"/>
    <w:rsid w:val="00F7419E"/>
    <w:rsid w:val="00F744E1"/>
    <w:rsid w:val="00F74B98"/>
    <w:rsid w:val="00F75ED9"/>
    <w:rsid w:val="00F76CEE"/>
    <w:rsid w:val="00F778D5"/>
    <w:rsid w:val="00F80CE7"/>
    <w:rsid w:val="00F8296B"/>
    <w:rsid w:val="00F8310C"/>
    <w:rsid w:val="00F83642"/>
    <w:rsid w:val="00F841CE"/>
    <w:rsid w:val="00F8592F"/>
    <w:rsid w:val="00F8608B"/>
    <w:rsid w:val="00F8635C"/>
    <w:rsid w:val="00F87A3B"/>
    <w:rsid w:val="00F91246"/>
    <w:rsid w:val="00F91D1F"/>
    <w:rsid w:val="00F91F9B"/>
    <w:rsid w:val="00F92ECC"/>
    <w:rsid w:val="00F92F51"/>
    <w:rsid w:val="00F93E34"/>
    <w:rsid w:val="00F94F7E"/>
    <w:rsid w:val="00F95482"/>
    <w:rsid w:val="00F95D28"/>
    <w:rsid w:val="00F95FED"/>
    <w:rsid w:val="00F963DE"/>
    <w:rsid w:val="00F96629"/>
    <w:rsid w:val="00F969AC"/>
    <w:rsid w:val="00F97758"/>
    <w:rsid w:val="00F97A3C"/>
    <w:rsid w:val="00F97B72"/>
    <w:rsid w:val="00FA0B49"/>
    <w:rsid w:val="00FA0BE4"/>
    <w:rsid w:val="00FA0D6C"/>
    <w:rsid w:val="00FA0FB6"/>
    <w:rsid w:val="00FA390D"/>
    <w:rsid w:val="00FA43EB"/>
    <w:rsid w:val="00FA4AB0"/>
    <w:rsid w:val="00FA4BFC"/>
    <w:rsid w:val="00FA4D5B"/>
    <w:rsid w:val="00FA4D62"/>
    <w:rsid w:val="00FA596A"/>
    <w:rsid w:val="00FA5CCE"/>
    <w:rsid w:val="00FA6828"/>
    <w:rsid w:val="00FA7A9C"/>
    <w:rsid w:val="00FB0212"/>
    <w:rsid w:val="00FB0416"/>
    <w:rsid w:val="00FB0A73"/>
    <w:rsid w:val="00FB1732"/>
    <w:rsid w:val="00FB1D82"/>
    <w:rsid w:val="00FB2E4A"/>
    <w:rsid w:val="00FB384E"/>
    <w:rsid w:val="00FB48AE"/>
    <w:rsid w:val="00FB4BB1"/>
    <w:rsid w:val="00FB4CBA"/>
    <w:rsid w:val="00FB647B"/>
    <w:rsid w:val="00FB6A8A"/>
    <w:rsid w:val="00FC0272"/>
    <w:rsid w:val="00FC2AB2"/>
    <w:rsid w:val="00FC3236"/>
    <w:rsid w:val="00FC35FC"/>
    <w:rsid w:val="00FC383F"/>
    <w:rsid w:val="00FC4A80"/>
    <w:rsid w:val="00FC4E14"/>
    <w:rsid w:val="00FC5117"/>
    <w:rsid w:val="00FC5B45"/>
    <w:rsid w:val="00FC5B81"/>
    <w:rsid w:val="00FC6A46"/>
    <w:rsid w:val="00FC6D7B"/>
    <w:rsid w:val="00FC73DE"/>
    <w:rsid w:val="00FC7B0A"/>
    <w:rsid w:val="00FD0818"/>
    <w:rsid w:val="00FD20AB"/>
    <w:rsid w:val="00FD2311"/>
    <w:rsid w:val="00FD370E"/>
    <w:rsid w:val="00FD3ACD"/>
    <w:rsid w:val="00FD40C1"/>
    <w:rsid w:val="00FD4D46"/>
    <w:rsid w:val="00FD5075"/>
    <w:rsid w:val="00FD51AE"/>
    <w:rsid w:val="00FD6BCF"/>
    <w:rsid w:val="00FD6F95"/>
    <w:rsid w:val="00FD756E"/>
    <w:rsid w:val="00FE0F54"/>
    <w:rsid w:val="00FE1953"/>
    <w:rsid w:val="00FE1A6B"/>
    <w:rsid w:val="00FE1F69"/>
    <w:rsid w:val="00FE2E17"/>
    <w:rsid w:val="00FE2FCA"/>
    <w:rsid w:val="00FE3446"/>
    <w:rsid w:val="00FE3B88"/>
    <w:rsid w:val="00FE4EC8"/>
    <w:rsid w:val="00FE510D"/>
    <w:rsid w:val="00FE5463"/>
    <w:rsid w:val="00FE5584"/>
    <w:rsid w:val="00FE6998"/>
    <w:rsid w:val="00FE69F0"/>
    <w:rsid w:val="00FE711C"/>
    <w:rsid w:val="00FF031A"/>
    <w:rsid w:val="00FF097C"/>
    <w:rsid w:val="00FF0A97"/>
    <w:rsid w:val="00FF0D95"/>
    <w:rsid w:val="00FF1104"/>
    <w:rsid w:val="00FF156B"/>
    <w:rsid w:val="00FF18BD"/>
    <w:rsid w:val="00FF27AE"/>
    <w:rsid w:val="00FF31ED"/>
    <w:rsid w:val="00FF470C"/>
    <w:rsid w:val="00FF55B7"/>
    <w:rsid w:val="00FF6BA6"/>
    <w:rsid w:val="00FF6EE6"/>
    <w:rsid w:val="00FF727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D0D0802-B537-4670-9591-B16A2C88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D69"/>
    <w:rPr>
      <w:sz w:val="22"/>
      <w:szCs w:val="22"/>
      <w:lang w:eastAsia="en-US"/>
    </w:rPr>
  </w:style>
  <w:style w:type="paragraph" w:styleId="Ttulo1">
    <w:name w:val="heading 1"/>
    <w:basedOn w:val="Normal"/>
    <w:link w:val="Ttulo1Car"/>
    <w:uiPriority w:val="9"/>
    <w:qFormat/>
    <w:rsid w:val="00216D76"/>
    <w:pPr>
      <w:spacing w:before="100" w:beforeAutospacing="1" w:after="100" w:afterAutospacing="1"/>
      <w:outlineLvl w:val="0"/>
    </w:pPr>
    <w:rPr>
      <w:rFonts w:ascii="Times New Roman" w:eastAsiaTheme="minorEastAsia" w:hAnsi="Times New Roman"/>
      <w:b/>
      <w:bCs/>
      <w:kern w:val="36"/>
      <w:sz w:val="48"/>
      <w:szCs w:val="48"/>
      <w:lang w:eastAsia="es-PE"/>
    </w:rPr>
  </w:style>
  <w:style w:type="paragraph" w:styleId="Ttulo2">
    <w:name w:val="heading 2"/>
    <w:basedOn w:val="Normal"/>
    <w:next w:val="Normal"/>
    <w:link w:val="Ttulo2Car"/>
    <w:uiPriority w:val="9"/>
    <w:semiHidden/>
    <w:unhideWhenUsed/>
    <w:qFormat/>
    <w:rsid w:val="00C00D5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BB29CA"/>
    <w:pPr>
      <w:spacing w:before="100" w:beforeAutospacing="1" w:after="100" w:afterAutospacing="1"/>
      <w:ind w:left="454"/>
      <w:jc w:val="both"/>
      <w:outlineLvl w:val="0"/>
    </w:pPr>
    <w:rPr>
      <w:rFonts w:ascii="Arial Unicode MS" w:eastAsia="Arial Unicode MS" w:hAnsi="Arial Unicode MS" w:cs="Arial Unicode MS"/>
      <w:sz w:val="24"/>
      <w:szCs w:val="24"/>
      <w:lang w:val="es-ES" w:eastAsia="es-ES"/>
    </w:rPr>
  </w:style>
  <w:style w:type="paragraph" w:styleId="Prrafodelista">
    <w:name w:val="List Paragraph"/>
    <w:aliases w:val="Footnote,List Paragraph1"/>
    <w:basedOn w:val="Normal"/>
    <w:link w:val="PrrafodelistaCar"/>
    <w:uiPriority w:val="34"/>
    <w:qFormat/>
    <w:rsid w:val="00E65C12"/>
    <w:pPr>
      <w:ind w:left="720"/>
      <w:contextualSpacing/>
    </w:pPr>
  </w:style>
  <w:style w:type="paragraph" w:styleId="Sangra2detindependiente">
    <w:name w:val="Body Text Indent 2"/>
    <w:basedOn w:val="Normal"/>
    <w:link w:val="Sangra2detindependienteCar"/>
    <w:semiHidden/>
    <w:rsid w:val="00172397"/>
    <w:pPr>
      <w:ind w:firstLine="720"/>
      <w:jc w:val="both"/>
    </w:pPr>
    <w:rPr>
      <w:rFonts w:ascii="Arial" w:eastAsia="Times New Roman" w:hAnsi="Arial" w:cs="Arial"/>
      <w:sz w:val="24"/>
      <w:szCs w:val="20"/>
      <w:lang w:val="es-ES" w:eastAsia="es-ES"/>
    </w:rPr>
  </w:style>
  <w:style w:type="character" w:customStyle="1" w:styleId="Sangra2detindependienteCar">
    <w:name w:val="Sangría 2 de t. independiente Car"/>
    <w:basedOn w:val="Fuentedeprrafopredeter"/>
    <w:link w:val="Sangra2detindependiente"/>
    <w:semiHidden/>
    <w:rsid w:val="00172397"/>
    <w:rPr>
      <w:rFonts w:ascii="Arial" w:eastAsia="Times New Roman" w:hAnsi="Arial" w:cs="Arial"/>
      <w:sz w:val="24"/>
      <w:szCs w:val="20"/>
      <w:lang w:val="es-ES" w:eastAsia="es-ES"/>
    </w:rPr>
  </w:style>
  <w:style w:type="paragraph" w:styleId="Textocomentario">
    <w:name w:val="annotation text"/>
    <w:basedOn w:val="Normal"/>
    <w:link w:val="TextocomentarioCar"/>
    <w:uiPriority w:val="99"/>
    <w:rsid w:val="00A14B51"/>
    <w:pPr>
      <w:autoSpaceDE w:val="0"/>
      <w:autoSpaceDN w:val="0"/>
    </w:pPr>
    <w:rPr>
      <w:rFonts w:ascii="Times New Roman" w:eastAsia="Times New Roman" w:hAnsi="Times New Roman" w:cs="Arial"/>
      <w:noProof/>
      <w:sz w:val="24"/>
      <w:szCs w:val="20"/>
      <w:lang w:val="es-ES" w:eastAsia="es-ES"/>
    </w:rPr>
  </w:style>
  <w:style w:type="character" w:customStyle="1" w:styleId="TextocomentarioCar">
    <w:name w:val="Texto comentario Car"/>
    <w:basedOn w:val="Fuentedeprrafopredeter"/>
    <w:link w:val="Textocomentario"/>
    <w:uiPriority w:val="99"/>
    <w:rsid w:val="00A14B51"/>
    <w:rPr>
      <w:rFonts w:ascii="Times New Roman" w:eastAsia="Times New Roman" w:hAnsi="Times New Roman" w:cs="Arial"/>
      <w:noProof/>
      <w:sz w:val="24"/>
      <w:szCs w:val="20"/>
      <w:lang w:val="es-ES" w:eastAsia="es-ES"/>
    </w:rPr>
  </w:style>
  <w:style w:type="character" w:customStyle="1" w:styleId="PrrafodelistaCar">
    <w:name w:val="Párrafo de lista Car"/>
    <w:aliases w:val="Footnote Car,List Paragraph1 Car"/>
    <w:link w:val="Prrafodelista"/>
    <w:uiPriority w:val="34"/>
    <w:rsid w:val="00A14B51"/>
  </w:style>
  <w:style w:type="table" w:styleId="Tablaconcuadrcula">
    <w:name w:val="Table Grid"/>
    <w:basedOn w:val="Tablanormal"/>
    <w:uiPriority w:val="59"/>
    <w:rsid w:val="00E72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47C34"/>
    <w:rPr>
      <w:color w:val="0000FF"/>
      <w:u w:val="single"/>
    </w:rPr>
  </w:style>
  <w:style w:type="character" w:styleId="Textoennegrita">
    <w:name w:val="Strong"/>
    <w:basedOn w:val="Fuentedeprrafopredeter"/>
    <w:uiPriority w:val="22"/>
    <w:qFormat/>
    <w:rsid w:val="008B7A37"/>
    <w:rPr>
      <w:b/>
      <w:bCs/>
    </w:rPr>
  </w:style>
  <w:style w:type="paragraph" w:customStyle="1" w:styleId="cuerpo">
    <w:name w:val="cuerpo"/>
    <w:basedOn w:val="Normal"/>
    <w:rsid w:val="0010712A"/>
    <w:pPr>
      <w:spacing w:after="138"/>
      <w:jc w:val="both"/>
    </w:pPr>
    <w:rPr>
      <w:rFonts w:ascii="Arial" w:eastAsia="Times New Roman" w:hAnsi="Arial" w:cs="Arial"/>
      <w:sz w:val="24"/>
      <w:szCs w:val="24"/>
      <w:lang w:eastAsia="es-PE"/>
    </w:rPr>
  </w:style>
  <w:style w:type="character" w:customStyle="1" w:styleId="no-style-override-1">
    <w:name w:val="no-style-override-1"/>
    <w:basedOn w:val="Fuentedeprrafopredeter"/>
    <w:rsid w:val="0010712A"/>
  </w:style>
  <w:style w:type="paragraph" w:styleId="Encabezado">
    <w:name w:val="header"/>
    <w:basedOn w:val="Normal"/>
    <w:link w:val="EncabezadoCar"/>
    <w:uiPriority w:val="99"/>
    <w:unhideWhenUsed/>
    <w:rsid w:val="00B726E2"/>
    <w:pPr>
      <w:tabs>
        <w:tab w:val="center" w:pos="4419"/>
        <w:tab w:val="right" w:pos="8838"/>
      </w:tabs>
    </w:pPr>
  </w:style>
  <w:style w:type="character" w:customStyle="1" w:styleId="EncabezadoCar">
    <w:name w:val="Encabezado Car"/>
    <w:basedOn w:val="Fuentedeprrafopredeter"/>
    <w:link w:val="Encabezado"/>
    <w:uiPriority w:val="99"/>
    <w:rsid w:val="00B726E2"/>
  </w:style>
  <w:style w:type="paragraph" w:styleId="Piedepgina">
    <w:name w:val="footer"/>
    <w:basedOn w:val="Normal"/>
    <w:link w:val="PiedepginaCar"/>
    <w:uiPriority w:val="99"/>
    <w:unhideWhenUsed/>
    <w:rsid w:val="00B726E2"/>
    <w:pPr>
      <w:tabs>
        <w:tab w:val="center" w:pos="4419"/>
        <w:tab w:val="right" w:pos="8838"/>
      </w:tabs>
    </w:pPr>
  </w:style>
  <w:style w:type="character" w:customStyle="1" w:styleId="PiedepginaCar">
    <w:name w:val="Pie de página Car"/>
    <w:basedOn w:val="Fuentedeprrafopredeter"/>
    <w:link w:val="Piedepgina"/>
    <w:uiPriority w:val="99"/>
    <w:rsid w:val="00B726E2"/>
  </w:style>
  <w:style w:type="paragraph" w:styleId="Textodeglobo">
    <w:name w:val="Balloon Text"/>
    <w:basedOn w:val="Normal"/>
    <w:link w:val="TextodegloboCar"/>
    <w:uiPriority w:val="99"/>
    <w:semiHidden/>
    <w:unhideWhenUsed/>
    <w:rsid w:val="00D364E5"/>
    <w:rPr>
      <w:rFonts w:ascii="Tahoma" w:hAnsi="Tahoma" w:cs="Tahoma"/>
      <w:sz w:val="16"/>
      <w:szCs w:val="16"/>
    </w:rPr>
  </w:style>
  <w:style w:type="character" w:customStyle="1" w:styleId="TextodegloboCar">
    <w:name w:val="Texto de globo Car"/>
    <w:basedOn w:val="Fuentedeprrafopredeter"/>
    <w:link w:val="Textodeglobo"/>
    <w:uiPriority w:val="99"/>
    <w:semiHidden/>
    <w:rsid w:val="00D364E5"/>
    <w:rPr>
      <w:rFonts w:ascii="Tahoma" w:hAnsi="Tahoma" w:cs="Tahoma"/>
      <w:sz w:val="16"/>
      <w:szCs w:val="16"/>
    </w:rPr>
  </w:style>
  <w:style w:type="character" w:styleId="Refdecomentario">
    <w:name w:val="annotation reference"/>
    <w:basedOn w:val="Fuentedeprrafopredeter"/>
    <w:unhideWhenUsed/>
    <w:rsid w:val="001D48F8"/>
    <w:rPr>
      <w:sz w:val="16"/>
      <w:szCs w:val="16"/>
    </w:rPr>
  </w:style>
  <w:style w:type="paragraph" w:styleId="Asuntodelcomentario">
    <w:name w:val="annotation subject"/>
    <w:basedOn w:val="Textocomentario"/>
    <w:next w:val="Textocomentario"/>
    <w:link w:val="AsuntodelcomentarioCar"/>
    <w:uiPriority w:val="99"/>
    <w:semiHidden/>
    <w:unhideWhenUsed/>
    <w:rsid w:val="001D48F8"/>
    <w:pPr>
      <w:autoSpaceDE/>
      <w:autoSpaceDN/>
    </w:pPr>
    <w:rPr>
      <w:rFonts w:ascii="Calibri" w:eastAsia="Calibri" w:hAnsi="Calibri" w:cs="Times New Roman"/>
      <w:b/>
      <w:bCs/>
      <w:noProof w:val="0"/>
      <w:sz w:val="20"/>
      <w:lang w:val="es-PE" w:eastAsia="en-US"/>
    </w:rPr>
  </w:style>
  <w:style w:type="character" w:customStyle="1" w:styleId="AsuntodelcomentarioCar">
    <w:name w:val="Asunto del comentario Car"/>
    <w:basedOn w:val="TextocomentarioCar"/>
    <w:link w:val="Asuntodelcomentario"/>
    <w:uiPriority w:val="99"/>
    <w:semiHidden/>
    <w:rsid w:val="001D48F8"/>
    <w:rPr>
      <w:rFonts w:ascii="Times New Roman" w:eastAsia="Times New Roman" w:hAnsi="Times New Roman" w:cs="Arial"/>
      <w:b/>
      <w:bCs/>
      <w:noProof/>
      <w:sz w:val="20"/>
      <w:szCs w:val="20"/>
      <w:lang w:val="es-ES" w:eastAsia="es-ES"/>
    </w:rPr>
  </w:style>
  <w:style w:type="character" w:customStyle="1" w:styleId="modartculofecha">
    <w:name w:val="modartculofecha"/>
    <w:basedOn w:val="Fuentedeprrafopredeter"/>
    <w:rsid w:val="00216973"/>
  </w:style>
  <w:style w:type="character" w:customStyle="1" w:styleId="Ttulo1Car">
    <w:name w:val="Título 1 Car"/>
    <w:basedOn w:val="Fuentedeprrafopredeter"/>
    <w:link w:val="Ttulo1"/>
    <w:uiPriority w:val="9"/>
    <w:rsid w:val="00216D76"/>
    <w:rPr>
      <w:rFonts w:ascii="Times New Roman" w:eastAsiaTheme="minorEastAsia" w:hAnsi="Times New Roman"/>
      <w:b/>
      <w:bCs/>
      <w:kern w:val="36"/>
      <w:sz w:val="48"/>
      <w:szCs w:val="48"/>
    </w:rPr>
  </w:style>
  <w:style w:type="paragraph" w:customStyle="1" w:styleId="Default">
    <w:name w:val="Default"/>
    <w:rsid w:val="00895AE9"/>
    <w:pPr>
      <w:autoSpaceDE w:val="0"/>
      <w:autoSpaceDN w:val="0"/>
      <w:adjustRightInd w:val="0"/>
    </w:pPr>
    <w:rPr>
      <w:rFonts w:ascii="Arial" w:hAnsi="Arial" w:cs="Arial"/>
      <w:color w:val="000000"/>
      <w:sz w:val="24"/>
      <w:szCs w:val="24"/>
    </w:rPr>
  </w:style>
  <w:style w:type="paragraph" w:styleId="Textoindependiente">
    <w:name w:val="Body Text"/>
    <w:basedOn w:val="Normal"/>
    <w:link w:val="TextoindependienteCar"/>
    <w:uiPriority w:val="99"/>
    <w:semiHidden/>
    <w:unhideWhenUsed/>
    <w:rsid w:val="0001741C"/>
    <w:pPr>
      <w:spacing w:after="120"/>
    </w:pPr>
  </w:style>
  <w:style w:type="character" w:customStyle="1" w:styleId="TextoindependienteCar">
    <w:name w:val="Texto independiente Car"/>
    <w:basedOn w:val="Fuentedeprrafopredeter"/>
    <w:link w:val="Textoindependiente"/>
    <w:uiPriority w:val="99"/>
    <w:semiHidden/>
    <w:rsid w:val="0001741C"/>
    <w:rPr>
      <w:sz w:val="22"/>
      <w:szCs w:val="22"/>
      <w:lang w:eastAsia="en-US"/>
    </w:rPr>
  </w:style>
  <w:style w:type="character" w:customStyle="1" w:styleId="Ttulo2Car">
    <w:name w:val="Título 2 Car"/>
    <w:basedOn w:val="Fuentedeprrafopredeter"/>
    <w:link w:val="Ttulo2"/>
    <w:uiPriority w:val="9"/>
    <w:semiHidden/>
    <w:rsid w:val="00C00D56"/>
    <w:rPr>
      <w:rFonts w:asciiTheme="majorHAnsi" w:eastAsiaTheme="majorEastAsia" w:hAnsiTheme="majorHAnsi" w:cstheme="majorBidi"/>
      <w:b/>
      <w:bCs/>
      <w:color w:val="4F81BD" w:themeColor="accent1"/>
      <w:sz w:val="26"/>
      <w:szCs w:val="26"/>
      <w:lang w:eastAsia="en-US"/>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
    <w:basedOn w:val="Normal"/>
    <w:link w:val="TextonotapieCar"/>
    <w:uiPriority w:val="99"/>
    <w:qFormat/>
    <w:rsid w:val="0075577C"/>
    <w:rPr>
      <w:rFonts w:ascii="Arial" w:eastAsia="Times New Roman" w:hAnsi="Arial"/>
      <w:sz w:val="16"/>
      <w:szCs w:val="20"/>
      <w:lang w:val="es-ES" w:eastAsia="es-ES"/>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basedOn w:val="Fuentedeprrafopredeter"/>
    <w:link w:val="Textonotapie"/>
    <w:uiPriority w:val="99"/>
    <w:rsid w:val="0075577C"/>
    <w:rPr>
      <w:rFonts w:ascii="Arial" w:eastAsia="Times New Roman" w:hAnsi="Arial"/>
      <w:sz w:val="16"/>
      <w:lang w:val="es-ES" w:eastAsia="es-ES"/>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basedOn w:val="Fuentedeprrafopredeter"/>
    <w:uiPriority w:val="99"/>
    <w:rsid w:val="0075577C"/>
    <w:rPr>
      <w:vertAlign w:val="superscript"/>
    </w:rPr>
  </w:style>
  <w:style w:type="paragraph" w:styleId="Revisin">
    <w:name w:val="Revision"/>
    <w:hidden/>
    <w:uiPriority w:val="99"/>
    <w:semiHidden/>
    <w:rsid w:val="00C51886"/>
    <w:rPr>
      <w:sz w:val="22"/>
      <w:szCs w:val="22"/>
      <w:lang w:eastAsia="en-US"/>
    </w:rPr>
  </w:style>
  <w:style w:type="character" w:styleId="nfasis">
    <w:name w:val="Emphasis"/>
    <w:basedOn w:val="Fuentedeprrafopredeter"/>
    <w:uiPriority w:val="20"/>
    <w:qFormat/>
    <w:rsid w:val="008D58BB"/>
    <w:rPr>
      <w:i/>
      <w:iCs/>
    </w:rPr>
  </w:style>
  <w:style w:type="paragraph" w:styleId="Sinespaciado">
    <w:name w:val="No Spacing"/>
    <w:uiPriority w:val="1"/>
    <w:qFormat/>
    <w:rsid w:val="0018204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195138">
      <w:bodyDiv w:val="1"/>
      <w:marLeft w:val="0"/>
      <w:marRight w:val="0"/>
      <w:marTop w:val="0"/>
      <w:marBottom w:val="0"/>
      <w:divBdr>
        <w:top w:val="none" w:sz="0" w:space="0" w:color="auto"/>
        <w:left w:val="none" w:sz="0" w:space="0" w:color="auto"/>
        <w:bottom w:val="none" w:sz="0" w:space="0" w:color="auto"/>
        <w:right w:val="none" w:sz="0" w:space="0" w:color="auto"/>
      </w:divBdr>
    </w:div>
    <w:div w:id="246037194">
      <w:bodyDiv w:val="1"/>
      <w:marLeft w:val="0"/>
      <w:marRight w:val="0"/>
      <w:marTop w:val="0"/>
      <w:marBottom w:val="0"/>
      <w:divBdr>
        <w:top w:val="none" w:sz="0" w:space="0" w:color="auto"/>
        <w:left w:val="none" w:sz="0" w:space="0" w:color="auto"/>
        <w:bottom w:val="none" w:sz="0" w:space="0" w:color="auto"/>
        <w:right w:val="none" w:sz="0" w:space="0" w:color="auto"/>
      </w:divBdr>
    </w:div>
    <w:div w:id="315032322">
      <w:bodyDiv w:val="1"/>
      <w:marLeft w:val="0"/>
      <w:marRight w:val="0"/>
      <w:marTop w:val="0"/>
      <w:marBottom w:val="0"/>
      <w:divBdr>
        <w:top w:val="none" w:sz="0" w:space="0" w:color="auto"/>
        <w:left w:val="none" w:sz="0" w:space="0" w:color="auto"/>
        <w:bottom w:val="none" w:sz="0" w:space="0" w:color="auto"/>
        <w:right w:val="none" w:sz="0" w:space="0" w:color="auto"/>
      </w:divBdr>
    </w:div>
    <w:div w:id="350575327">
      <w:bodyDiv w:val="1"/>
      <w:marLeft w:val="0"/>
      <w:marRight w:val="0"/>
      <w:marTop w:val="0"/>
      <w:marBottom w:val="0"/>
      <w:divBdr>
        <w:top w:val="none" w:sz="0" w:space="0" w:color="auto"/>
        <w:left w:val="none" w:sz="0" w:space="0" w:color="auto"/>
        <w:bottom w:val="none" w:sz="0" w:space="0" w:color="auto"/>
        <w:right w:val="none" w:sz="0" w:space="0" w:color="auto"/>
      </w:divBdr>
    </w:div>
    <w:div w:id="386078268">
      <w:bodyDiv w:val="1"/>
      <w:marLeft w:val="0"/>
      <w:marRight w:val="0"/>
      <w:marTop w:val="0"/>
      <w:marBottom w:val="0"/>
      <w:divBdr>
        <w:top w:val="none" w:sz="0" w:space="0" w:color="auto"/>
        <w:left w:val="none" w:sz="0" w:space="0" w:color="auto"/>
        <w:bottom w:val="none" w:sz="0" w:space="0" w:color="auto"/>
        <w:right w:val="none" w:sz="0" w:space="0" w:color="auto"/>
      </w:divBdr>
    </w:div>
    <w:div w:id="429474216">
      <w:bodyDiv w:val="1"/>
      <w:marLeft w:val="0"/>
      <w:marRight w:val="0"/>
      <w:marTop w:val="0"/>
      <w:marBottom w:val="0"/>
      <w:divBdr>
        <w:top w:val="none" w:sz="0" w:space="0" w:color="auto"/>
        <w:left w:val="none" w:sz="0" w:space="0" w:color="auto"/>
        <w:bottom w:val="none" w:sz="0" w:space="0" w:color="auto"/>
        <w:right w:val="none" w:sz="0" w:space="0" w:color="auto"/>
      </w:divBdr>
    </w:div>
    <w:div w:id="437674267">
      <w:bodyDiv w:val="1"/>
      <w:marLeft w:val="0"/>
      <w:marRight w:val="0"/>
      <w:marTop w:val="0"/>
      <w:marBottom w:val="0"/>
      <w:divBdr>
        <w:top w:val="none" w:sz="0" w:space="0" w:color="auto"/>
        <w:left w:val="none" w:sz="0" w:space="0" w:color="auto"/>
        <w:bottom w:val="none" w:sz="0" w:space="0" w:color="auto"/>
        <w:right w:val="none" w:sz="0" w:space="0" w:color="auto"/>
      </w:divBdr>
    </w:div>
    <w:div w:id="577635078">
      <w:bodyDiv w:val="1"/>
      <w:marLeft w:val="0"/>
      <w:marRight w:val="0"/>
      <w:marTop w:val="0"/>
      <w:marBottom w:val="0"/>
      <w:divBdr>
        <w:top w:val="none" w:sz="0" w:space="0" w:color="auto"/>
        <w:left w:val="none" w:sz="0" w:space="0" w:color="auto"/>
        <w:bottom w:val="none" w:sz="0" w:space="0" w:color="auto"/>
        <w:right w:val="none" w:sz="0" w:space="0" w:color="auto"/>
      </w:divBdr>
    </w:div>
    <w:div w:id="589169043">
      <w:bodyDiv w:val="1"/>
      <w:marLeft w:val="0"/>
      <w:marRight w:val="0"/>
      <w:marTop w:val="0"/>
      <w:marBottom w:val="0"/>
      <w:divBdr>
        <w:top w:val="none" w:sz="0" w:space="0" w:color="auto"/>
        <w:left w:val="none" w:sz="0" w:space="0" w:color="auto"/>
        <w:bottom w:val="none" w:sz="0" w:space="0" w:color="auto"/>
        <w:right w:val="none" w:sz="0" w:space="0" w:color="auto"/>
      </w:divBdr>
    </w:div>
    <w:div w:id="862205653">
      <w:bodyDiv w:val="1"/>
      <w:marLeft w:val="0"/>
      <w:marRight w:val="0"/>
      <w:marTop w:val="0"/>
      <w:marBottom w:val="0"/>
      <w:divBdr>
        <w:top w:val="none" w:sz="0" w:space="0" w:color="auto"/>
        <w:left w:val="none" w:sz="0" w:space="0" w:color="auto"/>
        <w:bottom w:val="none" w:sz="0" w:space="0" w:color="auto"/>
        <w:right w:val="none" w:sz="0" w:space="0" w:color="auto"/>
      </w:divBdr>
    </w:div>
    <w:div w:id="880094947">
      <w:bodyDiv w:val="1"/>
      <w:marLeft w:val="0"/>
      <w:marRight w:val="0"/>
      <w:marTop w:val="0"/>
      <w:marBottom w:val="0"/>
      <w:divBdr>
        <w:top w:val="none" w:sz="0" w:space="0" w:color="auto"/>
        <w:left w:val="none" w:sz="0" w:space="0" w:color="auto"/>
        <w:bottom w:val="none" w:sz="0" w:space="0" w:color="auto"/>
        <w:right w:val="none" w:sz="0" w:space="0" w:color="auto"/>
      </w:divBdr>
    </w:div>
    <w:div w:id="993335237">
      <w:bodyDiv w:val="1"/>
      <w:marLeft w:val="0"/>
      <w:marRight w:val="0"/>
      <w:marTop w:val="0"/>
      <w:marBottom w:val="0"/>
      <w:divBdr>
        <w:top w:val="none" w:sz="0" w:space="0" w:color="auto"/>
        <w:left w:val="none" w:sz="0" w:space="0" w:color="auto"/>
        <w:bottom w:val="none" w:sz="0" w:space="0" w:color="auto"/>
        <w:right w:val="none" w:sz="0" w:space="0" w:color="auto"/>
      </w:divBdr>
    </w:div>
    <w:div w:id="1083337810">
      <w:bodyDiv w:val="1"/>
      <w:marLeft w:val="0"/>
      <w:marRight w:val="0"/>
      <w:marTop w:val="0"/>
      <w:marBottom w:val="0"/>
      <w:divBdr>
        <w:top w:val="none" w:sz="0" w:space="0" w:color="auto"/>
        <w:left w:val="none" w:sz="0" w:space="0" w:color="auto"/>
        <w:bottom w:val="none" w:sz="0" w:space="0" w:color="auto"/>
        <w:right w:val="none" w:sz="0" w:space="0" w:color="auto"/>
      </w:divBdr>
    </w:div>
    <w:div w:id="1142692907">
      <w:bodyDiv w:val="1"/>
      <w:marLeft w:val="0"/>
      <w:marRight w:val="0"/>
      <w:marTop w:val="0"/>
      <w:marBottom w:val="0"/>
      <w:divBdr>
        <w:top w:val="none" w:sz="0" w:space="0" w:color="auto"/>
        <w:left w:val="none" w:sz="0" w:space="0" w:color="auto"/>
        <w:bottom w:val="none" w:sz="0" w:space="0" w:color="auto"/>
        <w:right w:val="none" w:sz="0" w:space="0" w:color="auto"/>
      </w:divBdr>
    </w:div>
    <w:div w:id="1163592926">
      <w:bodyDiv w:val="1"/>
      <w:marLeft w:val="0"/>
      <w:marRight w:val="0"/>
      <w:marTop w:val="0"/>
      <w:marBottom w:val="0"/>
      <w:divBdr>
        <w:top w:val="none" w:sz="0" w:space="0" w:color="auto"/>
        <w:left w:val="none" w:sz="0" w:space="0" w:color="auto"/>
        <w:bottom w:val="none" w:sz="0" w:space="0" w:color="auto"/>
        <w:right w:val="none" w:sz="0" w:space="0" w:color="auto"/>
      </w:divBdr>
    </w:div>
    <w:div w:id="1393315122">
      <w:bodyDiv w:val="1"/>
      <w:marLeft w:val="0"/>
      <w:marRight w:val="0"/>
      <w:marTop w:val="0"/>
      <w:marBottom w:val="0"/>
      <w:divBdr>
        <w:top w:val="none" w:sz="0" w:space="0" w:color="auto"/>
        <w:left w:val="none" w:sz="0" w:space="0" w:color="auto"/>
        <w:bottom w:val="none" w:sz="0" w:space="0" w:color="auto"/>
        <w:right w:val="none" w:sz="0" w:space="0" w:color="auto"/>
      </w:divBdr>
    </w:div>
    <w:div w:id="1515609038">
      <w:bodyDiv w:val="1"/>
      <w:marLeft w:val="0"/>
      <w:marRight w:val="0"/>
      <w:marTop w:val="0"/>
      <w:marBottom w:val="0"/>
      <w:divBdr>
        <w:top w:val="none" w:sz="0" w:space="0" w:color="auto"/>
        <w:left w:val="none" w:sz="0" w:space="0" w:color="auto"/>
        <w:bottom w:val="none" w:sz="0" w:space="0" w:color="auto"/>
        <w:right w:val="none" w:sz="0" w:space="0" w:color="auto"/>
      </w:divBdr>
    </w:div>
    <w:div w:id="1612665843">
      <w:bodyDiv w:val="1"/>
      <w:marLeft w:val="0"/>
      <w:marRight w:val="0"/>
      <w:marTop w:val="0"/>
      <w:marBottom w:val="0"/>
      <w:divBdr>
        <w:top w:val="none" w:sz="0" w:space="0" w:color="auto"/>
        <w:left w:val="none" w:sz="0" w:space="0" w:color="auto"/>
        <w:bottom w:val="none" w:sz="0" w:space="0" w:color="auto"/>
        <w:right w:val="none" w:sz="0" w:space="0" w:color="auto"/>
      </w:divBdr>
    </w:div>
    <w:div w:id="1715229931">
      <w:bodyDiv w:val="1"/>
      <w:marLeft w:val="0"/>
      <w:marRight w:val="0"/>
      <w:marTop w:val="0"/>
      <w:marBottom w:val="0"/>
      <w:divBdr>
        <w:top w:val="none" w:sz="0" w:space="0" w:color="auto"/>
        <w:left w:val="none" w:sz="0" w:space="0" w:color="auto"/>
        <w:bottom w:val="none" w:sz="0" w:space="0" w:color="auto"/>
        <w:right w:val="none" w:sz="0" w:space="0" w:color="auto"/>
      </w:divBdr>
    </w:div>
    <w:div w:id="1735616731">
      <w:bodyDiv w:val="1"/>
      <w:marLeft w:val="0"/>
      <w:marRight w:val="0"/>
      <w:marTop w:val="0"/>
      <w:marBottom w:val="0"/>
      <w:divBdr>
        <w:top w:val="none" w:sz="0" w:space="0" w:color="auto"/>
        <w:left w:val="none" w:sz="0" w:space="0" w:color="auto"/>
        <w:bottom w:val="none" w:sz="0" w:space="0" w:color="auto"/>
        <w:right w:val="none" w:sz="0" w:space="0" w:color="auto"/>
      </w:divBdr>
    </w:div>
    <w:div w:id="205665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9EA21-BA6A-469D-A96E-FC662F175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43</Pages>
  <Words>11349</Words>
  <Characters>62421</Characters>
  <Application>Microsoft Office Word</Application>
  <DocSecurity>0</DocSecurity>
  <Lines>520</Lines>
  <Paragraphs>147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SUNAT</Company>
  <LinksUpToDate>false</LinksUpToDate>
  <CharactersWithSpaces>73623</CharactersWithSpaces>
  <SharedDoc>false</SharedDoc>
  <HLinks>
    <vt:vector size="6" baseType="variant">
      <vt:variant>
        <vt:i4>7012469</vt:i4>
      </vt:variant>
      <vt:variant>
        <vt:i4>0</vt:i4>
      </vt:variant>
      <vt:variant>
        <vt:i4>0</vt:i4>
      </vt:variant>
      <vt:variant>
        <vt:i4>5</vt:i4>
      </vt:variant>
      <vt:variant>
        <vt:lpwstr>http://www.oasis-/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Vasquez Pacherres Miguel Angel</cp:lastModifiedBy>
  <cp:revision>5</cp:revision>
  <cp:lastPrinted>2019-08-21T15:27:00Z</cp:lastPrinted>
  <dcterms:created xsi:type="dcterms:W3CDTF">2019-08-21T15:29:00Z</dcterms:created>
  <dcterms:modified xsi:type="dcterms:W3CDTF">2019-08-23T22:43:00Z</dcterms:modified>
</cp:coreProperties>
</file>