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1F79" w:rsidRPr="00E27C63" w:rsidRDefault="00951F79" w:rsidP="00951F79">
      <w:pPr>
        <w:pStyle w:val="Ttulo"/>
        <w:rPr>
          <w:rFonts w:cs="Arial"/>
          <w:sz w:val="22"/>
          <w:lang w:val="es-PE"/>
        </w:rPr>
      </w:pPr>
      <w:r w:rsidRPr="00E27C63">
        <w:rPr>
          <w:rFonts w:cs="Arial"/>
          <w:sz w:val="22"/>
          <w:lang w:val="es-PE"/>
        </w:rPr>
        <w:t>N.°           -2019/SUNAT</w:t>
      </w:r>
    </w:p>
    <w:p w:rsidR="00951F79" w:rsidRPr="00E27C63" w:rsidRDefault="00951F79" w:rsidP="00951F79">
      <w:pPr>
        <w:pStyle w:val="Ttulo"/>
        <w:rPr>
          <w:rFonts w:cs="Arial"/>
          <w:sz w:val="22"/>
          <w:szCs w:val="22"/>
          <w:lang w:val="es-PE"/>
        </w:rPr>
      </w:pPr>
    </w:p>
    <w:p w:rsidR="00951F79" w:rsidRPr="00E27C63" w:rsidRDefault="00404743" w:rsidP="00997ED9">
      <w:pPr>
        <w:pStyle w:val="Ttulo"/>
        <w:rPr>
          <w:rFonts w:cs="Arial"/>
          <w:sz w:val="22"/>
          <w:szCs w:val="22"/>
          <w:lang w:val="es-PE"/>
        </w:rPr>
      </w:pPr>
      <w:r w:rsidRPr="00E27C63">
        <w:rPr>
          <w:rFonts w:cs="Arial"/>
          <w:sz w:val="22"/>
          <w:szCs w:val="22"/>
          <w:lang w:val="es-PE"/>
        </w:rPr>
        <w:t xml:space="preserve">PROYECTO DE </w:t>
      </w:r>
      <w:r w:rsidR="00997ED9" w:rsidRPr="00E27C63">
        <w:rPr>
          <w:rFonts w:cs="Arial"/>
          <w:sz w:val="22"/>
          <w:szCs w:val="22"/>
          <w:lang w:val="es-PE"/>
        </w:rPr>
        <w:t xml:space="preserve">RESOLUCIÓN DE SUPERINTENDENCIA QUE </w:t>
      </w:r>
      <w:r w:rsidR="00951F79" w:rsidRPr="00E27C63">
        <w:rPr>
          <w:rFonts w:cs="Arial"/>
          <w:sz w:val="22"/>
          <w:szCs w:val="22"/>
          <w:lang w:val="es-PE"/>
        </w:rPr>
        <w:t>MODIFICA</w:t>
      </w:r>
      <w:r w:rsidR="00997ED9" w:rsidRPr="00E27C63">
        <w:rPr>
          <w:rFonts w:cs="Arial"/>
          <w:sz w:val="22"/>
          <w:szCs w:val="22"/>
          <w:lang w:val="es-PE"/>
        </w:rPr>
        <w:t xml:space="preserve"> </w:t>
      </w:r>
      <w:r w:rsidR="005F2BCA" w:rsidRPr="00E27C63">
        <w:rPr>
          <w:rFonts w:cs="Arial"/>
          <w:sz w:val="22"/>
          <w:szCs w:val="22"/>
          <w:lang w:val="es-PE"/>
        </w:rPr>
        <w:t xml:space="preserve">EL </w:t>
      </w:r>
      <w:r w:rsidR="00951F79" w:rsidRPr="00E27C63">
        <w:rPr>
          <w:rFonts w:cs="Arial"/>
          <w:sz w:val="22"/>
          <w:szCs w:val="22"/>
          <w:lang w:val="es-PE"/>
        </w:rPr>
        <w:t xml:space="preserve">REGLAMENTO DEL RÉGIMEN DE GRADUALIDAD APLICABLE A INFRACCIONES DEL CÓDIGO TRIBUTARIO RESPECTO DE LAS INFRACCIONES TIPIFICADAS EN LOS NUMERALES 1, 2 Y 3 DEL ARTÍCULO 174 </w:t>
      </w:r>
      <w:r w:rsidR="008F6E63" w:rsidRPr="00E27C63">
        <w:rPr>
          <w:rFonts w:cs="Arial"/>
          <w:sz w:val="22"/>
          <w:szCs w:val="22"/>
          <w:lang w:val="es-PE"/>
        </w:rPr>
        <w:t>E INCORPORA A DICHO RÉGIMEN</w:t>
      </w:r>
      <w:r w:rsidR="00951F79" w:rsidRPr="00E27C63">
        <w:rPr>
          <w:rFonts w:cs="Arial"/>
          <w:sz w:val="22"/>
          <w:szCs w:val="22"/>
          <w:lang w:val="es-PE"/>
        </w:rPr>
        <w:t xml:space="preserve"> EL NUMERAL 10 DEL ARTÍCULO 175 DEL CÓDIGO TRIBUTARIO </w:t>
      </w:r>
    </w:p>
    <w:p w:rsidR="00951F79" w:rsidRPr="00E27C63" w:rsidRDefault="00951F79" w:rsidP="00951F79">
      <w:pPr>
        <w:pStyle w:val="Ttulo"/>
        <w:rPr>
          <w:rFonts w:cs="Arial"/>
          <w:sz w:val="22"/>
          <w:szCs w:val="22"/>
          <w:lang w:val="es-PE"/>
        </w:rPr>
      </w:pPr>
    </w:p>
    <w:p w:rsidR="00951F79" w:rsidRPr="00E27C63" w:rsidRDefault="00951F79" w:rsidP="00951F79">
      <w:pPr>
        <w:pStyle w:val="Ttulo"/>
        <w:jc w:val="both"/>
        <w:rPr>
          <w:rFonts w:cs="Arial"/>
          <w:sz w:val="22"/>
          <w:szCs w:val="22"/>
        </w:rPr>
      </w:pPr>
    </w:p>
    <w:p w:rsidR="00951F79" w:rsidRPr="00E27C63" w:rsidRDefault="00951F79" w:rsidP="00951F79">
      <w:pPr>
        <w:pStyle w:val="Sangra2detindependiente1"/>
        <w:ind w:firstLine="0"/>
        <w:rPr>
          <w:rFonts w:cs="Arial"/>
          <w:sz w:val="22"/>
          <w:szCs w:val="22"/>
          <w:lang w:val="es-PE"/>
        </w:rPr>
      </w:pPr>
      <w:r w:rsidRPr="00E27C63">
        <w:rPr>
          <w:rFonts w:cs="Arial"/>
          <w:sz w:val="22"/>
          <w:szCs w:val="22"/>
          <w:lang w:val="es-PE"/>
        </w:rPr>
        <w:t xml:space="preserve">Lima, </w:t>
      </w:r>
    </w:p>
    <w:p w:rsidR="00951F79" w:rsidRPr="00E27C63" w:rsidRDefault="00951F79" w:rsidP="00951F79">
      <w:pPr>
        <w:jc w:val="both"/>
        <w:rPr>
          <w:rFonts w:cs="Arial"/>
          <w:b/>
          <w:sz w:val="22"/>
          <w:szCs w:val="22"/>
          <w:lang w:val="es-PE"/>
        </w:rPr>
      </w:pPr>
    </w:p>
    <w:p w:rsidR="00951F79" w:rsidRPr="00E27C63" w:rsidRDefault="00951F79" w:rsidP="00951F79">
      <w:pPr>
        <w:jc w:val="both"/>
        <w:rPr>
          <w:rFonts w:cs="Arial"/>
          <w:b/>
          <w:sz w:val="22"/>
          <w:szCs w:val="22"/>
        </w:rPr>
      </w:pPr>
      <w:r w:rsidRPr="00E27C63">
        <w:rPr>
          <w:rFonts w:cs="Arial"/>
          <w:b/>
          <w:sz w:val="22"/>
          <w:szCs w:val="22"/>
        </w:rPr>
        <w:t>CONSIDERANDO:</w:t>
      </w:r>
    </w:p>
    <w:p w:rsidR="00951F79" w:rsidRPr="00E27C63" w:rsidRDefault="00951F79" w:rsidP="00951F79">
      <w:pPr>
        <w:jc w:val="both"/>
        <w:rPr>
          <w:rFonts w:cs="Arial"/>
          <w:sz w:val="22"/>
          <w:szCs w:val="22"/>
        </w:rPr>
      </w:pPr>
      <w:r w:rsidRPr="00E27C63">
        <w:rPr>
          <w:rFonts w:cs="Arial"/>
          <w:sz w:val="22"/>
          <w:szCs w:val="22"/>
        </w:rPr>
        <w:t xml:space="preserve"> </w:t>
      </w:r>
    </w:p>
    <w:p w:rsidR="00951F79" w:rsidRPr="00E27C63" w:rsidRDefault="00951F79" w:rsidP="00951F79">
      <w:pPr>
        <w:jc w:val="both"/>
        <w:rPr>
          <w:rFonts w:cs="Arial"/>
          <w:sz w:val="22"/>
          <w:szCs w:val="22"/>
          <w:lang w:eastAsia="es-PE"/>
        </w:rPr>
      </w:pPr>
      <w:r w:rsidRPr="00E27C63">
        <w:rPr>
          <w:rFonts w:cs="Arial"/>
          <w:sz w:val="22"/>
          <w:szCs w:val="22"/>
        </w:rPr>
        <w:t>Que el Decreto Legislativo N.° 1420 modific</w:t>
      </w:r>
      <w:r w:rsidR="00CD1824" w:rsidRPr="00E27C63">
        <w:rPr>
          <w:rFonts w:cs="Arial"/>
          <w:sz w:val="22"/>
          <w:szCs w:val="22"/>
        </w:rPr>
        <w:t>a</w:t>
      </w:r>
      <w:r w:rsidRPr="00E27C63">
        <w:rPr>
          <w:rFonts w:cs="Arial"/>
          <w:sz w:val="22"/>
          <w:szCs w:val="22"/>
        </w:rPr>
        <w:t xml:space="preserve"> el Código Tributario, en los extremos referidos a los numerales 1, 2 y 3 del artículo 174 -en los que se incluyen expresamente nuevos supuestos  y/o se hacen ajustes a la tipificación existente-; al primer, segundo y tercer ítem del rubro 2 de las Tablas de Infracciones y Sanciones (Tablas) -en los que se adecúan esos ítems a los cambios en los numerales antes indicados-; a la nota (4) de las Tablas I y II y a la nota (5) de la Tabla III -en las que se añade una oportunidad más para la presentación del acta de reconocimiento respecto de las infracciones tipificadas en los numerales 2 y 3 del artículo 174- y al artículo 175. En este último caso, se incluye el numeral 10 con una nueva infracción consistente en </w:t>
      </w:r>
      <w:r w:rsidRPr="00E27C63">
        <w:rPr>
          <w:rFonts w:cs="Arial"/>
          <w:sz w:val="22"/>
          <w:szCs w:val="22"/>
          <w:lang w:eastAsia="es-PE"/>
        </w:rPr>
        <w:t>no registrar o anotar dentro de los plazos máximo</w:t>
      </w:r>
      <w:r w:rsidR="00902A7D" w:rsidRPr="00E27C63">
        <w:rPr>
          <w:rFonts w:cs="Arial"/>
          <w:sz w:val="22"/>
          <w:szCs w:val="22"/>
          <w:lang w:eastAsia="es-PE"/>
        </w:rPr>
        <w:t>s</w:t>
      </w:r>
      <w:r w:rsidRPr="00E27C63">
        <w:rPr>
          <w:rFonts w:cs="Arial"/>
          <w:sz w:val="22"/>
          <w:szCs w:val="22"/>
          <w:lang w:eastAsia="es-PE"/>
        </w:rPr>
        <w:t xml:space="preserve"> de atraso, ingresos, renta</w:t>
      </w:r>
      <w:r w:rsidR="008F6E63" w:rsidRPr="00E27C63">
        <w:rPr>
          <w:rFonts w:cs="Arial"/>
          <w:sz w:val="22"/>
          <w:szCs w:val="22"/>
          <w:lang w:eastAsia="es-PE"/>
        </w:rPr>
        <w:t>s</w:t>
      </w:r>
      <w:r w:rsidRPr="00E27C63">
        <w:rPr>
          <w:rFonts w:cs="Arial"/>
          <w:sz w:val="22"/>
          <w:szCs w:val="22"/>
          <w:lang w:eastAsia="es-PE"/>
        </w:rPr>
        <w:t>, patrimonio, bienes, ventas, remuneraciones o actos gravados, o registrarlos o anotarlos por montos inferiores en el libro y/o registro electrónico que se encuentra obligado a llevar de dicha manera de conformidad con las leyes, reglamentos o Resolución de Superintendencia de la SUNAT;</w:t>
      </w:r>
    </w:p>
    <w:p w:rsidR="00951F79" w:rsidRPr="00E27C63" w:rsidRDefault="00951F79" w:rsidP="00951F79">
      <w:pPr>
        <w:jc w:val="both"/>
        <w:rPr>
          <w:rFonts w:cs="Arial"/>
          <w:sz w:val="22"/>
          <w:szCs w:val="22"/>
        </w:rPr>
      </w:pPr>
    </w:p>
    <w:p w:rsidR="00951F79" w:rsidRPr="00E27C63" w:rsidRDefault="00951F79" w:rsidP="00951F79">
      <w:pPr>
        <w:jc w:val="both"/>
        <w:rPr>
          <w:rFonts w:cs="Arial"/>
          <w:sz w:val="22"/>
          <w:szCs w:val="22"/>
        </w:rPr>
      </w:pPr>
      <w:r w:rsidRPr="00E27C63">
        <w:rPr>
          <w:rFonts w:cs="Arial"/>
          <w:sz w:val="22"/>
          <w:szCs w:val="22"/>
        </w:rPr>
        <w:t>Que, según las Tablas, corresponde aplicar por la infracción tipificada en el numeral 1 del artículo 174 del Código Tributario la sanción de cierre -excepto en un supuesto, en el que se aplica una multa- y por las infracciones tipificadas en los numerales 2 y 3 del artículo 174 y el numeral 10 del artículo 175 del Código Tributario la sanción de multa o cierre. En todos los casos el monto de la multa es fijado en las Tabla</w:t>
      </w:r>
      <w:r w:rsidRPr="00E27C63">
        <w:rPr>
          <w:rFonts w:cs="Arial"/>
          <w:color w:val="FF0000"/>
          <w:sz w:val="22"/>
          <w:szCs w:val="22"/>
        </w:rPr>
        <w:t>s,</w:t>
      </w:r>
      <w:r w:rsidRPr="00E27C63">
        <w:rPr>
          <w:rFonts w:cs="Arial"/>
          <w:sz w:val="22"/>
          <w:szCs w:val="22"/>
        </w:rPr>
        <w:t xml:space="preserve"> en tanto que, según la primera nota sin número de esas tablas, la sanción de cierre temporal de establecimiento u oficina de profesionales independientes (cierre) se aplica con un máximo de diez (10) días calendario, salvo </w:t>
      </w:r>
      <w:r w:rsidR="00E633DD" w:rsidRPr="00E27C63">
        <w:rPr>
          <w:rFonts w:cs="Arial"/>
          <w:sz w:val="22"/>
          <w:szCs w:val="22"/>
        </w:rPr>
        <w:t xml:space="preserve">para </w:t>
      </w:r>
      <w:r w:rsidRPr="00E27C63">
        <w:rPr>
          <w:rFonts w:cs="Arial"/>
          <w:sz w:val="22"/>
          <w:szCs w:val="22"/>
        </w:rPr>
        <w:t xml:space="preserve">aquellas infracciones vinculadas al Impuesto a los Juegos de Casino y Máquinas Tragamonedas en que se aplicará el máximo de noventa (90) días calendario; conforme a la tabla aprobada por la SUNAT, en función a la infracción y respecto a la situación del deudor; </w:t>
      </w:r>
    </w:p>
    <w:p w:rsidR="00951F79" w:rsidRPr="00E27C63" w:rsidRDefault="00951F79" w:rsidP="00951F79">
      <w:pPr>
        <w:jc w:val="both"/>
        <w:rPr>
          <w:rFonts w:cs="Arial"/>
          <w:sz w:val="22"/>
          <w:szCs w:val="22"/>
        </w:rPr>
      </w:pPr>
      <w:r w:rsidRPr="00E27C63">
        <w:rPr>
          <w:rFonts w:cs="Arial"/>
          <w:sz w:val="22"/>
          <w:szCs w:val="22"/>
        </w:rPr>
        <w:t xml:space="preserve"> </w:t>
      </w:r>
    </w:p>
    <w:p w:rsidR="00951F79" w:rsidRPr="00E27C63" w:rsidRDefault="00951F79" w:rsidP="00951F79">
      <w:pPr>
        <w:jc w:val="both"/>
        <w:rPr>
          <w:rFonts w:cs="Arial"/>
          <w:sz w:val="22"/>
          <w:szCs w:val="22"/>
        </w:rPr>
      </w:pPr>
      <w:r w:rsidRPr="00E27C63">
        <w:rPr>
          <w:rFonts w:cs="Arial"/>
          <w:sz w:val="22"/>
          <w:szCs w:val="22"/>
        </w:rPr>
        <w:t xml:space="preserve">Que la única disposición complementaria final del Decreto Legislativo N.° 1420 señaló que ese decreto entra en vigencia al día siguiente de su publicación con excepción de las modificaciones referidas, entre otras, a los numerales 1, 2 y 3 del artículo 174 del </w:t>
      </w:r>
      <w:r w:rsidRPr="00E27C63">
        <w:rPr>
          <w:rFonts w:cs="Arial"/>
          <w:sz w:val="22"/>
          <w:szCs w:val="22"/>
        </w:rPr>
        <w:lastRenderedPageBreak/>
        <w:t xml:space="preserve">Código Tributario y al primer, segundo y tercer ítem del rubro 2 de las Tablas; las cuales regirán desde el día siguiente de la entrada en vigencia de la resolución de superintendencia que apruebe la tabla a que se refiere la primera nota sin número de las Tablas; </w:t>
      </w:r>
    </w:p>
    <w:p w:rsidR="00951F79" w:rsidRPr="00E27C63" w:rsidRDefault="00951F79" w:rsidP="00951F79">
      <w:pPr>
        <w:jc w:val="both"/>
        <w:rPr>
          <w:rFonts w:cs="Arial"/>
          <w:sz w:val="22"/>
          <w:szCs w:val="22"/>
        </w:rPr>
      </w:pPr>
    </w:p>
    <w:p w:rsidR="00951F79" w:rsidRPr="00E27C63" w:rsidRDefault="00951F79" w:rsidP="00951F79">
      <w:pPr>
        <w:jc w:val="both"/>
        <w:rPr>
          <w:rFonts w:cs="Arial"/>
          <w:sz w:val="22"/>
          <w:szCs w:val="22"/>
        </w:rPr>
      </w:pPr>
      <w:r w:rsidRPr="00E27C63">
        <w:rPr>
          <w:rFonts w:cs="Arial"/>
          <w:sz w:val="22"/>
          <w:szCs w:val="22"/>
        </w:rPr>
        <w:t xml:space="preserve">Que la Resolución de Superintendencia N.° 063-2007/SUNAT y normas modificatorias, que aprueba el Reglamento del Régimen de Gradualidad aplicable a las infracciones del Código Tributario (Reglamento), además de graduar, entre otras sanciones, las aplicadas por las infracciones vinculadas al incumplimiento de las obligaciones relativas a la emisión y otorgamiento de comprobantes de pago y al llevado de libros y registros, fija los días de cierre, cuando corresponde su aplicación según las Tablas; </w:t>
      </w:r>
    </w:p>
    <w:p w:rsidR="00951F79" w:rsidRPr="00E27C63" w:rsidRDefault="00951F79" w:rsidP="00951F79">
      <w:pPr>
        <w:jc w:val="both"/>
        <w:rPr>
          <w:rFonts w:cs="Arial"/>
          <w:sz w:val="22"/>
          <w:szCs w:val="22"/>
        </w:rPr>
      </w:pPr>
    </w:p>
    <w:p w:rsidR="00951F79" w:rsidRPr="00E27C63" w:rsidRDefault="00951F79" w:rsidP="00951F79">
      <w:pPr>
        <w:jc w:val="both"/>
        <w:rPr>
          <w:rFonts w:cs="Arial"/>
          <w:sz w:val="22"/>
          <w:szCs w:val="22"/>
        </w:rPr>
      </w:pPr>
      <w:r w:rsidRPr="00E27C63">
        <w:rPr>
          <w:rFonts w:cs="Arial"/>
          <w:sz w:val="22"/>
          <w:szCs w:val="22"/>
        </w:rPr>
        <w:t>Que, en atención a las modificaciones que introdujo el Decreto Legislativo N.° 1420 en el Código Tributario, es preciso modificar el Reglamento, para fijar los días de cierre y graduar esa sanción y la multa, considerando la infracción, la situación del deudor y la necesidad de fomentar la regularización de la obligación incumplida;</w:t>
      </w:r>
    </w:p>
    <w:p w:rsidR="00951F79" w:rsidRPr="00E27C63" w:rsidRDefault="00951F79" w:rsidP="00951F79">
      <w:pPr>
        <w:jc w:val="both"/>
        <w:rPr>
          <w:rFonts w:cs="Arial"/>
          <w:sz w:val="22"/>
          <w:szCs w:val="22"/>
        </w:rPr>
      </w:pPr>
    </w:p>
    <w:p w:rsidR="00951F79" w:rsidRPr="00E27C63" w:rsidRDefault="00951F79" w:rsidP="00951F79">
      <w:pPr>
        <w:jc w:val="both"/>
        <w:rPr>
          <w:rFonts w:cs="Arial"/>
          <w:sz w:val="22"/>
          <w:szCs w:val="22"/>
        </w:rPr>
      </w:pPr>
      <w:r w:rsidRPr="00E27C63">
        <w:rPr>
          <w:rFonts w:cs="Arial"/>
          <w:sz w:val="22"/>
          <w:szCs w:val="22"/>
        </w:rPr>
        <w:t xml:space="preserve">Que, en lo que se refiere a las sanciones por las infracciones tipificadas en los numerales 1, 2 y 3 del artículo 174 del Código Tributario, el Reglamento considera a la frecuencia como criterio para graduar dichas sanciones y para fijar los días cierre. El referido criterio consiste, según el artículo 5, en el número de oportunidades en que el infractor incurre en una misma infracción a partir del 6.7.2012 o 24.7.2012 -esta última </w:t>
      </w:r>
      <w:r w:rsidR="00AE7A79" w:rsidRPr="00E27C63">
        <w:rPr>
          <w:rFonts w:cs="Arial"/>
          <w:sz w:val="22"/>
          <w:szCs w:val="22"/>
        </w:rPr>
        <w:t xml:space="preserve">fecha </w:t>
      </w:r>
      <w:r w:rsidRPr="00E27C63">
        <w:rPr>
          <w:rFonts w:cs="Arial"/>
          <w:sz w:val="22"/>
          <w:szCs w:val="22"/>
        </w:rPr>
        <w:t xml:space="preserve">respecto a la infracción tipificada en el numeral 3-, considerando lo previsto en los artículos 6 </w:t>
      </w:r>
      <w:r w:rsidR="00AE7A79" w:rsidRPr="00E27C63">
        <w:rPr>
          <w:rFonts w:cs="Arial"/>
          <w:sz w:val="22"/>
          <w:szCs w:val="22"/>
        </w:rPr>
        <w:t xml:space="preserve">y 8, </w:t>
      </w:r>
      <w:r w:rsidRPr="00E27C63">
        <w:rPr>
          <w:rFonts w:cs="Arial"/>
          <w:sz w:val="22"/>
          <w:szCs w:val="22"/>
        </w:rPr>
        <w:t>que regula</w:t>
      </w:r>
      <w:r w:rsidR="00AE7A79" w:rsidRPr="00E27C63">
        <w:rPr>
          <w:rFonts w:cs="Arial"/>
          <w:sz w:val="22"/>
          <w:szCs w:val="22"/>
        </w:rPr>
        <w:t>n</w:t>
      </w:r>
      <w:r w:rsidRPr="00E27C63">
        <w:rPr>
          <w:rFonts w:cs="Arial"/>
          <w:sz w:val="22"/>
          <w:szCs w:val="22"/>
        </w:rPr>
        <w:t xml:space="preserve"> la primera oportunidad y la segunda oportunidad y siguientes</w:t>
      </w:r>
      <w:r w:rsidR="00AE7A79" w:rsidRPr="00E27C63">
        <w:rPr>
          <w:rFonts w:cs="Arial"/>
          <w:sz w:val="22"/>
          <w:szCs w:val="22"/>
        </w:rPr>
        <w:t>, respectivamente;</w:t>
      </w:r>
    </w:p>
    <w:p w:rsidR="00951F79" w:rsidRPr="00E27C63" w:rsidRDefault="00951F79" w:rsidP="00951F79">
      <w:pPr>
        <w:jc w:val="both"/>
        <w:rPr>
          <w:rFonts w:cs="Arial"/>
          <w:sz w:val="22"/>
          <w:szCs w:val="22"/>
        </w:rPr>
      </w:pPr>
    </w:p>
    <w:p w:rsidR="00951F79" w:rsidRPr="00E27C63" w:rsidRDefault="00951F79" w:rsidP="00951F79">
      <w:pPr>
        <w:jc w:val="both"/>
        <w:rPr>
          <w:rFonts w:cs="Arial"/>
          <w:sz w:val="22"/>
          <w:szCs w:val="22"/>
        </w:rPr>
      </w:pPr>
      <w:r w:rsidRPr="00E27C63">
        <w:rPr>
          <w:rFonts w:cs="Arial"/>
          <w:sz w:val="22"/>
          <w:szCs w:val="22"/>
        </w:rPr>
        <w:t xml:space="preserve">Que, a partir de los cambios realizados en el Código Tributario respecto de las infracciones señaladas en el considerando precedente y en el artículo 183, se evidencia que la SUNAT también podrá detectar esas infracciones sin intervención de agentes fiscalizadores o sin </w:t>
      </w:r>
      <w:r w:rsidR="00C37ECC" w:rsidRPr="00E27C63">
        <w:rPr>
          <w:rFonts w:cs="Arial"/>
          <w:sz w:val="22"/>
          <w:szCs w:val="22"/>
        </w:rPr>
        <w:t>que estos la presencien</w:t>
      </w:r>
      <w:r w:rsidRPr="00E27C63">
        <w:rPr>
          <w:rFonts w:cs="Arial"/>
          <w:sz w:val="22"/>
          <w:szCs w:val="22"/>
        </w:rPr>
        <w:t>, por lo que se considera pertinente que el cómputo de la frecuencia se realice por lapsos determinados</w:t>
      </w:r>
      <w:r w:rsidR="005A140C" w:rsidRPr="00E27C63">
        <w:rPr>
          <w:rFonts w:cs="Arial"/>
          <w:sz w:val="22"/>
          <w:szCs w:val="22"/>
        </w:rPr>
        <w:t>,</w:t>
      </w:r>
      <w:r w:rsidRPr="00E27C63">
        <w:rPr>
          <w:rFonts w:cs="Arial"/>
          <w:sz w:val="22"/>
          <w:szCs w:val="22"/>
        </w:rPr>
        <w:t xml:space="preserve"> en vista que, con el énfasis que se le dará a esa forma de detección, el infractor puede llegar, en menos tiempo, a tener las oportunidades que le impiden gozar de los beneficios de gradualidad. Además, es necesario que se reinicie el cómputo de la frecuencia, a fin de que se considere desde el inicio únicamente lo relativo a las infracciones reguladas en los numerales 1, 2 y 3 del artículo 174 del Código Tributario modificado por el Decreto Legislativo N.° 1420; </w:t>
      </w:r>
    </w:p>
    <w:p w:rsidR="00951F79" w:rsidRPr="00E27C63" w:rsidRDefault="00951F79" w:rsidP="00951F79">
      <w:pPr>
        <w:jc w:val="both"/>
        <w:rPr>
          <w:rFonts w:cs="Arial"/>
          <w:i/>
          <w:color w:val="0070C0"/>
          <w:sz w:val="22"/>
          <w:szCs w:val="22"/>
        </w:rPr>
      </w:pPr>
    </w:p>
    <w:p w:rsidR="00951F79" w:rsidRPr="00E27C63" w:rsidRDefault="00951F79" w:rsidP="00951F79">
      <w:pPr>
        <w:jc w:val="both"/>
        <w:rPr>
          <w:rFonts w:cs="Arial"/>
          <w:strike/>
          <w:sz w:val="22"/>
          <w:szCs w:val="22"/>
        </w:rPr>
      </w:pPr>
      <w:r w:rsidRPr="00E27C63">
        <w:rPr>
          <w:rFonts w:cs="Arial"/>
          <w:sz w:val="22"/>
          <w:szCs w:val="22"/>
        </w:rPr>
        <w:t>En uso de las facultades conferidas en el artículo 166 y la primera nota sin número de las Tablas</w:t>
      </w:r>
      <w:r w:rsidR="00006963" w:rsidRPr="00E27C63">
        <w:rPr>
          <w:rFonts w:cs="Arial"/>
          <w:sz w:val="22"/>
          <w:szCs w:val="22"/>
        </w:rPr>
        <w:t xml:space="preserve"> del Código Tributario, aprobado por el Decreto Legislativo N.° 816 cuyo último Texto Único Ordenado ha sido aprobado por el Decreto Supremo N.° 133-2013-EF y normas modificatorias</w:t>
      </w:r>
      <w:r w:rsidRPr="00E27C63">
        <w:rPr>
          <w:rFonts w:cs="Arial"/>
          <w:sz w:val="22"/>
          <w:szCs w:val="22"/>
        </w:rPr>
        <w:t xml:space="preserve">; el artículo 11 del Decreto Legislativo N.° 501, Ley General de la SUNAT, y normas modificatorias; el artículo 5 de la Ley N.° 29816, Ley de Fortalecimiento de la SUNAT, y normas modificatorias; y el inciso o) del artículo 8 del </w:t>
      </w:r>
      <w:r w:rsidRPr="00E27C63">
        <w:rPr>
          <w:rFonts w:cs="Arial"/>
          <w:sz w:val="22"/>
          <w:szCs w:val="22"/>
        </w:rPr>
        <w:lastRenderedPageBreak/>
        <w:t>Reglamento de Organización y Funciones de la SUNAT, aprobado por la Resolución de Superintendencia N.° 122-2014/SUNAT y normas modificatorias;</w:t>
      </w:r>
    </w:p>
    <w:p w:rsidR="00951F79" w:rsidRPr="00E27C63" w:rsidRDefault="00951F79" w:rsidP="00951F79">
      <w:pPr>
        <w:jc w:val="both"/>
        <w:rPr>
          <w:rFonts w:cs="Arial"/>
          <w:strike/>
          <w:sz w:val="22"/>
          <w:szCs w:val="22"/>
        </w:rPr>
      </w:pPr>
    </w:p>
    <w:p w:rsidR="00951F79" w:rsidRPr="00E27C63" w:rsidRDefault="00951F79" w:rsidP="00951F79">
      <w:pPr>
        <w:jc w:val="both"/>
        <w:rPr>
          <w:rFonts w:cs="Arial"/>
          <w:b/>
          <w:bCs/>
          <w:sz w:val="22"/>
          <w:szCs w:val="22"/>
        </w:rPr>
      </w:pPr>
      <w:r w:rsidRPr="00E27C63">
        <w:rPr>
          <w:rFonts w:cs="Arial"/>
          <w:b/>
          <w:bCs/>
          <w:sz w:val="22"/>
          <w:szCs w:val="22"/>
        </w:rPr>
        <w:t>SE RESUELVE:</w:t>
      </w:r>
    </w:p>
    <w:p w:rsidR="00951F79" w:rsidRPr="00E27C63" w:rsidRDefault="00951F79" w:rsidP="00951F79">
      <w:pPr>
        <w:jc w:val="both"/>
        <w:rPr>
          <w:rFonts w:cs="Arial"/>
          <w:b/>
          <w:sz w:val="22"/>
          <w:szCs w:val="22"/>
        </w:rPr>
      </w:pPr>
    </w:p>
    <w:p w:rsidR="00006963" w:rsidRPr="00E27C63" w:rsidRDefault="00951F79" w:rsidP="00951F79">
      <w:pPr>
        <w:jc w:val="both"/>
        <w:rPr>
          <w:rFonts w:cs="Arial"/>
          <w:b/>
          <w:sz w:val="22"/>
          <w:szCs w:val="22"/>
        </w:rPr>
      </w:pPr>
      <w:r w:rsidRPr="00E27C63">
        <w:rPr>
          <w:rFonts w:cs="Arial"/>
          <w:b/>
          <w:sz w:val="22"/>
          <w:szCs w:val="22"/>
        </w:rPr>
        <w:t xml:space="preserve">Artículo </w:t>
      </w:r>
      <w:r w:rsidR="00006963" w:rsidRPr="00E27C63">
        <w:rPr>
          <w:rFonts w:cs="Arial"/>
          <w:b/>
          <w:sz w:val="22"/>
          <w:szCs w:val="22"/>
        </w:rPr>
        <w:t>1</w:t>
      </w:r>
      <w:r w:rsidRPr="00E27C63">
        <w:rPr>
          <w:rFonts w:cs="Arial"/>
          <w:b/>
          <w:sz w:val="22"/>
          <w:szCs w:val="22"/>
        </w:rPr>
        <w:t xml:space="preserve">. </w:t>
      </w:r>
      <w:r w:rsidR="00006963" w:rsidRPr="00E27C63">
        <w:rPr>
          <w:rFonts w:cs="Arial"/>
          <w:b/>
          <w:sz w:val="22"/>
          <w:szCs w:val="22"/>
        </w:rPr>
        <w:t>DEFINICI</w:t>
      </w:r>
      <w:r w:rsidR="00D72CAB" w:rsidRPr="00E27C63">
        <w:rPr>
          <w:rFonts w:cs="Arial"/>
          <w:b/>
          <w:sz w:val="22"/>
          <w:szCs w:val="22"/>
        </w:rPr>
        <w:t>Ó</w:t>
      </w:r>
      <w:r w:rsidR="00006963" w:rsidRPr="00E27C63">
        <w:rPr>
          <w:rFonts w:cs="Arial"/>
          <w:b/>
          <w:sz w:val="22"/>
          <w:szCs w:val="22"/>
        </w:rPr>
        <w:t>N</w:t>
      </w:r>
    </w:p>
    <w:p w:rsidR="00006963" w:rsidRPr="00E27C63" w:rsidRDefault="00006963" w:rsidP="00951F79">
      <w:pPr>
        <w:jc w:val="both"/>
        <w:rPr>
          <w:rFonts w:cs="Arial"/>
          <w:b/>
          <w:sz w:val="22"/>
          <w:szCs w:val="22"/>
        </w:rPr>
      </w:pPr>
    </w:p>
    <w:p w:rsidR="00006963" w:rsidRPr="00E27C63" w:rsidRDefault="00006963" w:rsidP="00951F79">
      <w:pPr>
        <w:jc w:val="both"/>
        <w:rPr>
          <w:rFonts w:cs="Arial"/>
          <w:sz w:val="22"/>
          <w:szCs w:val="22"/>
        </w:rPr>
      </w:pPr>
      <w:r w:rsidRPr="00E27C63">
        <w:rPr>
          <w:rFonts w:cs="Arial"/>
          <w:sz w:val="22"/>
          <w:szCs w:val="22"/>
        </w:rPr>
        <w:t>Para efecto de esta resolución, se entiende por “Reglamento” al Reglamento del Régimen de Gradualidad aplicable a las infracciones del Código Tributario, aprobado por la Resolución de Superintendencia N.° 063-2007/SUNAT y normas modificatorias.</w:t>
      </w:r>
    </w:p>
    <w:p w:rsidR="00006963" w:rsidRPr="00E27C63" w:rsidRDefault="00006963" w:rsidP="00951F79">
      <w:pPr>
        <w:jc w:val="both"/>
        <w:rPr>
          <w:rFonts w:cs="Arial"/>
          <w:b/>
          <w:sz w:val="22"/>
          <w:szCs w:val="22"/>
        </w:rPr>
      </w:pPr>
    </w:p>
    <w:p w:rsidR="00951F79" w:rsidRPr="00E27C63" w:rsidRDefault="00006963" w:rsidP="00951F79">
      <w:pPr>
        <w:jc w:val="both"/>
        <w:rPr>
          <w:rFonts w:cs="Arial"/>
          <w:b/>
          <w:sz w:val="22"/>
          <w:szCs w:val="22"/>
        </w:rPr>
      </w:pPr>
      <w:r w:rsidRPr="00E27C63">
        <w:rPr>
          <w:rFonts w:cs="Arial"/>
          <w:b/>
          <w:sz w:val="22"/>
          <w:szCs w:val="22"/>
        </w:rPr>
        <w:t xml:space="preserve">Artículo 2. </w:t>
      </w:r>
      <w:r w:rsidR="00951F79" w:rsidRPr="00E27C63">
        <w:rPr>
          <w:rFonts w:cs="Arial"/>
          <w:b/>
          <w:sz w:val="22"/>
          <w:szCs w:val="22"/>
        </w:rPr>
        <w:t>MODIFICACIÓN D</w:t>
      </w:r>
      <w:r w:rsidRPr="00E27C63">
        <w:rPr>
          <w:rFonts w:cs="Arial"/>
          <w:b/>
          <w:sz w:val="22"/>
          <w:szCs w:val="22"/>
        </w:rPr>
        <w:t>EL ARTICULADO DEL REGLAMENTO</w:t>
      </w:r>
    </w:p>
    <w:p w:rsidR="00951F79" w:rsidRPr="00E27C63" w:rsidRDefault="00951F79" w:rsidP="00951F79">
      <w:pPr>
        <w:jc w:val="both"/>
        <w:rPr>
          <w:rFonts w:cs="Arial"/>
          <w:sz w:val="22"/>
          <w:szCs w:val="22"/>
        </w:rPr>
      </w:pPr>
    </w:p>
    <w:p w:rsidR="00951F79" w:rsidRPr="00E27C63" w:rsidRDefault="00951F79" w:rsidP="00006963">
      <w:pPr>
        <w:jc w:val="both"/>
        <w:rPr>
          <w:rFonts w:cs="Arial"/>
          <w:sz w:val="22"/>
          <w:szCs w:val="22"/>
        </w:rPr>
      </w:pPr>
      <w:r w:rsidRPr="00E27C63">
        <w:rPr>
          <w:rFonts w:cs="Arial"/>
          <w:sz w:val="22"/>
          <w:szCs w:val="22"/>
        </w:rPr>
        <w:t>Sustitúyase el inciso a) del artículo 1 y los artículos 5, 6, 7 y 8 d</w:t>
      </w:r>
      <w:r w:rsidR="00006963" w:rsidRPr="00E27C63">
        <w:rPr>
          <w:rFonts w:cs="Arial"/>
          <w:sz w:val="22"/>
          <w:szCs w:val="22"/>
        </w:rPr>
        <w:t>el Reglamento</w:t>
      </w:r>
      <w:r w:rsidRPr="00E27C63">
        <w:rPr>
          <w:rFonts w:cs="Arial"/>
          <w:sz w:val="22"/>
          <w:szCs w:val="22"/>
        </w:rPr>
        <w:t>, en los términos siguientes:</w:t>
      </w:r>
    </w:p>
    <w:p w:rsidR="00951F79" w:rsidRPr="00E27C63" w:rsidRDefault="00951F79" w:rsidP="00951F79">
      <w:pPr>
        <w:jc w:val="both"/>
        <w:rPr>
          <w:rFonts w:cs="Arial"/>
          <w:sz w:val="22"/>
          <w:szCs w:val="22"/>
        </w:rPr>
      </w:pPr>
    </w:p>
    <w:p w:rsidR="00951F79" w:rsidRPr="00E27C63" w:rsidRDefault="00951F79" w:rsidP="00951F79">
      <w:pPr>
        <w:jc w:val="both"/>
        <w:rPr>
          <w:rFonts w:cs="Arial"/>
          <w:sz w:val="22"/>
          <w:szCs w:val="22"/>
        </w:rPr>
      </w:pPr>
      <w:r w:rsidRPr="00E27C63">
        <w:rPr>
          <w:rFonts w:cs="Arial"/>
          <w:sz w:val="22"/>
          <w:szCs w:val="22"/>
        </w:rPr>
        <w:t>“Artículo 1. DEFINICIONES</w:t>
      </w:r>
    </w:p>
    <w:p w:rsidR="00951F79" w:rsidRPr="00E27C63" w:rsidRDefault="00951F79" w:rsidP="00951F79">
      <w:pPr>
        <w:jc w:val="both"/>
        <w:rPr>
          <w:rFonts w:cs="Arial"/>
          <w:sz w:val="22"/>
          <w:szCs w:val="22"/>
        </w:rPr>
      </w:pPr>
    </w:p>
    <w:p w:rsidR="00951F79" w:rsidRPr="00E27C63" w:rsidRDefault="00951F79" w:rsidP="00951F79">
      <w:pPr>
        <w:jc w:val="both"/>
        <w:rPr>
          <w:rFonts w:cs="Arial"/>
          <w:sz w:val="22"/>
          <w:szCs w:val="22"/>
        </w:rPr>
      </w:pPr>
      <w:r w:rsidRPr="00E27C63">
        <w:rPr>
          <w:rFonts w:cs="Arial"/>
          <w:sz w:val="22"/>
          <w:szCs w:val="22"/>
        </w:rPr>
        <w:t>(…)</w:t>
      </w:r>
    </w:p>
    <w:p w:rsidR="00951F79" w:rsidRPr="00E27C63" w:rsidRDefault="00951F79" w:rsidP="00951F79">
      <w:pPr>
        <w:pStyle w:val="NormalWeb"/>
        <w:spacing w:before="0" w:beforeAutospacing="0" w:after="0" w:afterAutospacing="0"/>
        <w:jc w:val="both"/>
        <w:rPr>
          <w:rFonts w:ascii="Arial" w:hAnsi="Arial" w:cs="Arial"/>
          <w:sz w:val="22"/>
          <w:szCs w:val="22"/>
        </w:rPr>
      </w:pPr>
    </w:p>
    <w:tbl>
      <w:tblPr>
        <w:tblW w:w="0" w:type="auto"/>
        <w:tblInd w:w="70" w:type="dxa"/>
        <w:tblCellMar>
          <w:left w:w="70" w:type="dxa"/>
          <w:right w:w="70" w:type="dxa"/>
        </w:tblCellMar>
        <w:tblLook w:val="04A0" w:firstRow="1" w:lastRow="0" w:firstColumn="1" w:lastColumn="0" w:noHBand="0" w:noVBand="1"/>
      </w:tblPr>
      <w:tblGrid>
        <w:gridCol w:w="425"/>
        <w:gridCol w:w="2934"/>
        <w:gridCol w:w="206"/>
        <w:gridCol w:w="4613"/>
      </w:tblGrid>
      <w:tr w:rsidR="00951F79" w:rsidRPr="00E27C63" w:rsidTr="00951F79">
        <w:tc>
          <w:tcPr>
            <w:tcW w:w="425" w:type="dxa"/>
            <w:hideMark/>
          </w:tcPr>
          <w:p w:rsidR="00951F79" w:rsidRPr="00E27C63" w:rsidRDefault="00951F79">
            <w:pPr>
              <w:ind w:left="-75"/>
              <w:rPr>
                <w:rFonts w:cs="Arial"/>
                <w:sz w:val="22"/>
                <w:szCs w:val="22"/>
              </w:rPr>
            </w:pPr>
            <w:r w:rsidRPr="00E27C63">
              <w:rPr>
                <w:rFonts w:cs="Arial"/>
                <w:sz w:val="22"/>
                <w:szCs w:val="22"/>
              </w:rPr>
              <w:t>a)</w:t>
            </w:r>
          </w:p>
        </w:tc>
        <w:tc>
          <w:tcPr>
            <w:tcW w:w="2934" w:type="dxa"/>
            <w:hideMark/>
          </w:tcPr>
          <w:p w:rsidR="00951F79" w:rsidRPr="00E27C63" w:rsidRDefault="00951F79">
            <w:pPr>
              <w:jc w:val="both"/>
              <w:rPr>
                <w:rFonts w:cs="Arial"/>
                <w:sz w:val="22"/>
                <w:szCs w:val="22"/>
              </w:rPr>
            </w:pPr>
            <w:r w:rsidRPr="00E27C63">
              <w:rPr>
                <w:rFonts w:cs="Arial"/>
                <w:sz w:val="22"/>
                <w:szCs w:val="22"/>
              </w:rPr>
              <w:t>Acta de Reconocimiento</w:t>
            </w:r>
          </w:p>
        </w:tc>
        <w:tc>
          <w:tcPr>
            <w:tcW w:w="206" w:type="dxa"/>
            <w:hideMark/>
          </w:tcPr>
          <w:p w:rsidR="00951F79" w:rsidRPr="00E27C63" w:rsidRDefault="00951F79">
            <w:pPr>
              <w:jc w:val="both"/>
              <w:rPr>
                <w:rFonts w:cs="Arial"/>
                <w:sz w:val="22"/>
                <w:szCs w:val="22"/>
              </w:rPr>
            </w:pPr>
            <w:r w:rsidRPr="00E27C63">
              <w:rPr>
                <w:rFonts w:cs="Arial"/>
                <w:sz w:val="22"/>
                <w:szCs w:val="22"/>
              </w:rPr>
              <w:t>:</w:t>
            </w:r>
          </w:p>
        </w:tc>
        <w:tc>
          <w:tcPr>
            <w:tcW w:w="4613" w:type="dxa"/>
            <w:hideMark/>
          </w:tcPr>
          <w:p w:rsidR="00951F79" w:rsidRPr="00E27C63" w:rsidRDefault="00951F79">
            <w:pPr>
              <w:jc w:val="both"/>
              <w:rPr>
                <w:rFonts w:cs="Arial"/>
                <w:sz w:val="22"/>
                <w:szCs w:val="22"/>
              </w:rPr>
            </w:pPr>
            <w:r w:rsidRPr="00E27C63">
              <w:rPr>
                <w:rFonts w:cs="Arial"/>
                <w:sz w:val="22"/>
                <w:szCs w:val="22"/>
              </w:rPr>
              <w:t xml:space="preserve">Al Formulario N.° 0880 mediante el cual el infractor reconoce que ha incurrido en una primera infracción tipificada en los numerales 2 y 3 del </w:t>
            </w:r>
            <w:r w:rsidR="00C37ECC" w:rsidRPr="00E27C63">
              <w:rPr>
                <w:rFonts w:cs="Arial"/>
                <w:sz w:val="22"/>
                <w:szCs w:val="22"/>
              </w:rPr>
              <w:t>a</w:t>
            </w:r>
            <w:r w:rsidRPr="00E27C63">
              <w:rPr>
                <w:rFonts w:cs="Arial"/>
                <w:sz w:val="22"/>
                <w:szCs w:val="22"/>
              </w:rPr>
              <w:t xml:space="preserve">rtículo 174 del Código Tributario, según lo establecido en las Notas de las Tablas.  A tal fin, se considera como primera infracción, a la primera que se haya cometido o detectado a partir del </w:t>
            </w:r>
            <w:r w:rsidR="000202BD" w:rsidRPr="00E27C63">
              <w:rPr>
                <w:rFonts w:cs="Arial"/>
                <w:sz w:val="22"/>
                <w:szCs w:val="22"/>
              </w:rPr>
              <w:t>3</w:t>
            </w:r>
            <w:r w:rsidR="008508E0" w:rsidRPr="00E27C63">
              <w:rPr>
                <w:rFonts w:cs="Arial"/>
                <w:sz w:val="22"/>
                <w:szCs w:val="22"/>
              </w:rPr>
              <w:t xml:space="preserve"> de enero de </w:t>
            </w:r>
            <w:r w:rsidRPr="00E27C63">
              <w:rPr>
                <w:rFonts w:cs="Arial"/>
                <w:sz w:val="22"/>
                <w:szCs w:val="22"/>
              </w:rPr>
              <w:t>2020.</w:t>
            </w:r>
            <w:r w:rsidR="008F6E63" w:rsidRPr="00E27C63">
              <w:rPr>
                <w:rFonts w:cs="Arial"/>
                <w:sz w:val="22"/>
                <w:szCs w:val="22"/>
              </w:rPr>
              <w:t>”</w:t>
            </w:r>
            <w:r w:rsidRPr="00E27C63">
              <w:rPr>
                <w:rFonts w:cs="Arial"/>
                <w:sz w:val="22"/>
                <w:szCs w:val="22"/>
              </w:rPr>
              <w:t xml:space="preserve"> </w:t>
            </w:r>
          </w:p>
        </w:tc>
      </w:tr>
    </w:tbl>
    <w:p w:rsidR="00951F79" w:rsidRPr="00E27C63" w:rsidRDefault="00951F79" w:rsidP="00951F79">
      <w:pPr>
        <w:jc w:val="both"/>
        <w:rPr>
          <w:rFonts w:cs="Arial"/>
          <w:i/>
          <w:sz w:val="22"/>
          <w:szCs w:val="22"/>
        </w:rPr>
      </w:pPr>
    </w:p>
    <w:p w:rsidR="00951F79" w:rsidRPr="00E27C63" w:rsidRDefault="00951F79" w:rsidP="00951F79">
      <w:pPr>
        <w:pStyle w:val="Textodebloque"/>
        <w:ind w:left="0"/>
        <w:rPr>
          <w:bCs/>
          <w:sz w:val="22"/>
          <w:szCs w:val="22"/>
        </w:rPr>
      </w:pPr>
      <w:r w:rsidRPr="00E27C63">
        <w:rPr>
          <w:bCs/>
          <w:sz w:val="22"/>
          <w:szCs w:val="22"/>
        </w:rPr>
        <w:t xml:space="preserve">“Artículo 5. Criterio de Gradualidad </w:t>
      </w:r>
    </w:p>
    <w:p w:rsidR="00951F79" w:rsidRPr="00E27C63" w:rsidRDefault="00951F79" w:rsidP="00951F79">
      <w:pPr>
        <w:pStyle w:val="Textodebloque"/>
        <w:ind w:left="0" w:firstLine="680"/>
        <w:rPr>
          <w:b/>
          <w:bCs/>
          <w:sz w:val="22"/>
          <w:szCs w:val="22"/>
        </w:rPr>
      </w:pPr>
    </w:p>
    <w:p w:rsidR="00951F79" w:rsidRPr="00E27C63" w:rsidRDefault="00951F79" w:rsidP="00951F79">
      <w:pPr>
        <w:pStyle w:val="Textodebloque"/>
        <w:ind w:left="0" w:right="33"/>
        <w:rPr>
          <w:sz w:val="22"/>
          <w:szCs w:val="22"/>
        </w:rPr>
      </w:pPr>
      <w:r w:rsidRPr="00E27C63">
        <w:rPr>
          <w:sz w:val="22"/>
          <w:szCs w:val="22"/>
        </w:rPr>
        <w:t xml:space="preserve">Las sanciones por infracciones comprendidas en el presente Título se aplicarán de manera gradual considerando el criterio de Frecuencia, el cual consiste en el número de oportunidades en que el infractor incurre en una misma infracción a partir del </w:t>
      </w:r>
      <w:r w:rsidR="000202BD" w:rsidRPr="00E27C63">
        <w:rPr>
          <w:sz w:val="22"/>
          <w:szCs w:val="22"/>
        </w:rPr>
        <w:t>3</w:t>
      </w:r>
      <w:r w:rsidR="008508E0" w:rsidRPr="00E27C63">
        <w:rPr>
          <w:sz w:val="22"/>
          <w:szCs w:val="22"/>
        </w:rPr>
        <w:t xml:space="preserve"> de enero de </w:t>
      </w:r>
      <w:r w:rsidRPr="00E27C63">
        <w:rPr>
          <w:sz w:val="22"/>
          <w:szCs w:val="22"/>
        </w:rPr>
        <w:t xml:space="preserve">2020, considerando lo previsto en los </w:t>
      </w:r>
      <w:r w:rsidR="00C37ECC" w:rsidRPr="00E27C63">
        <w:rPr>
          <w:sz w:val="22"/>
          <w:szCs w:val="22"/>
        </w:rPr>
        <w:t>a</w:t>
      </w:r>
      <w:r w:rsidRPr="00E27C63">
        <w:rPr>
          <w:sz w:val="22"/>
          <w:szCs w:val="22"/>
        </w:rPr>
        <w:t>rtículos 6 y 8.”</w:t>
      </w:r>
    </w:p>
    <w:p w:rsidR="00951F79" w:rsidRPr="00E27C63" w:rsidRDefault="00951F79" w:rsidP="00951F79">
      <w:pPr>
        <w:pStyle w:val="Textodebloque"/>
        <w:ind w:left="0" w:right="33"/>
        <w:rPr>
          <w:sz w:val="22"/>
          <w:szCs w:val="22"/>
        </w:rPr>
      </w:pPr>
    </w:p>
    <w:p w:rsidR="00951F79" w:rsidRPr="00E27C63" w:rsidRDefault="00951F79" w:rsidP="00951F79">
      <w:pPr>
        <w:pStyle w:val="Textodebloque"/>
        <w:ind w:left="0"/>
        <w:rPr>
          <w:bCs/>
          <w:sz w:val="22"/>
          <w:szCs w:val="22"/>
        </w:rPr>
      </w:pPr>
      <w:r w:rsidRPr="00E27C63">
        <w:rPr>
          <w:bCs/>
          <w:sz w:val="22"/>
          <w:szCs w:val="22"/>
        </w:rPr>
        <w:t xml:space="preserve">“Artículo 6. Primera oportunidad </w:t>
      </w:r>
    </w:p>
    <w:p w:rsidR="00951F79" w:rsidRPr="00E27C63" w:rsidRDefault="00951F79" w:rsidP="00951F79">
      <w:pPr>
        <w:pStyle w:val="Textodebloque"/>
        <w:tabs>
          <w:tab w:val="left" w:pos="708"/>
        </w:tabs>
        <w:ind w:left="1105" w:right="-1" w:firstLine="680"/>
        <w:rPr>
          <w:sz w:val="22"/>
          <w:szCs w:val="22"/>
        </w:rPr>
      </w:pPr>
    </w:p>
    <w:p w:rsidR="00951F79" w:rsidRPr="00E27C63" w:rsidRDefault="00951F79" w:rsidP="00951F79">
      <w:pPr>
        <w:pStyle w:val="Textodebloque"/>
        <w:tabs>
          <w:tab w:val="left" w:pos="708"/>
        </w:tabs>
        <w:ind w:left="0" w:right="-1"/>
        <w:rPr>
          <w:sz w:val="22"/>
          <w:szCs w:val="22"/>
        </w:rPr>
      </w:pPr>
      <w:r w:rsidRPr="00E27C63">
        <w:rPr>
          <w:sz w:val="22"/>
          <w:szCs w:val="22"/>
        </w:rPr>
        <w:t xml:space="preserve">Las infracciones se considerarán cometidas o detectadas en una primera oportunidad si, en los últimos cuatro años, no existen infracciones con la misma tipificación que cuenten con sanción firme y consentida, en el caso de la infracción tipificada en el numeral 1 del artículo 174 del Código Tributario, o no existen infracciones con la misma tipificación que cuenten con sanción firme y consentida o una infracción reconocida </w:t>
      </w:r>
      <w:r w:rsidRPr="00E27C63">
        <w:rPr>
          <w:sz w:val="22"/>
          <w:szCs w:val="22"/>
        </w:rPr>
        <w:lastRenderedPageBreak/>
        <w:t xml:space="preserve">mediante Acta de Reconocimiento, tratándose de las infracciones tipificadas en los numerales 2 y 3 del citado </w:t>
      </w:r>
      <w:r w:rsidR="00C37ECC" w:rsidRPr="00E27C63">
        <w:rPr>
          <w:sz w:val="22"/>
          <w:szCs w:val="22"/>
        </w:rPr>
        <w:t>artículo</w:t>
      </w:r>
      <w:r w:rsidRPr="00E27C63">
        <w:rPr>
          <w:sz w:val="22"/>
          <w:szCs w:val="22"/>
        </w:rPr>
        <w:t xml:space="preserve">. </w:t>
      </w:r>
    </w:p>
    <w:p w:rsidR="00951F79" w:rsidRPr="00E27C63" w:rsidRDefault="00951F79" w:rsidP="00951F79">
      <w:pPr>
        <w:pStyle w:val="Textodebloque"/>
        <w:ind w:left="0" w:right="-1" w:firstLine="680"/>
        <w:rPr>
          <w:color w:val="FF0000"/>
          <w:sz w:val="22"/>
          <w:szCs w:val="22"/>
        </w:rPr>
      </w:pPr>
    </w:p>
    <w:p w:rsidR="00951F79" w:rsidRPr="00E27C63" w:rsidRDefault="00951F79" w:rsidP="00951F79">
      <w:pPr>
        <w:pStyle w:val="Textodebloque"/>
        <w:ind w:left="0" w:right="-1"/>
        <w:rPr>
          <w:sz w:val="22"/>
          <w:szCs w:val="22"/>
          <w:lang w:val="es-PE"/>
        </w:rPr>
      </w:pPr>
      <w:r w:rsidRPr="00E27C63">
        <w:rPr>
          <w:sz w:val="22"/>
          <w:szCs w:val="22"/>
          <w:lang w:val="es-PE"/>
        </w:rPr>
        <w:t>Para tal efecto, se deberá considerar lo siguiente:</w:t>
      </w:r>
    </w:p>
    <w:p w:rsidR="00951F79" w:rsidRPr="00E27C63" w:rsidRDefault="00951F79" w:rsidP="00951F79">
      <w:pPr>
        <w:pStyle w:val="Textodebloque"/>
        <w:ind w:left="1105" w:right="-1"/>
        <w:rPr>
          <w:sz w:val="22"/>
          <w:szCs w:val="22"/>
          <w:lang w:val="es-PE"/>
        </w:rPr>
      </w:pPr>
    </w:p>
    <w:p w:rsidR="00951F79" w:rsidRPr="00E27C63" w:rsidRDefault="00951F79" w:rsidP="00951F79">
      <w:pPr>
        <w:pStyle w:val="Textodebloque"/>
        <w:tabs>
          <w:tab w:val="left" w:pos="426"/>
        </w:tabs>
        <w:ind w:left="0" w:right="-1"/>
        <w:rPr>
          <w:sz w:val="22"/>
          <w:szCs w:val="22"/>
        </w:rPr>
      </w:pPr>
      <w:r w:rsidRPr="00E27C63">
        <w:rPr>
          <w:sz w:val="22"/>
          <w:szCs w:val="22"/>
          <w:lang w:val="es-PE"/>
        </w:rPr>
        <w:t>6.1.</w:t>
      </w:r>
      <w:r w:rsidRPr="00E27C63">
        <w:rPr>
          <w:sz w:val="22"/>
          <w:szCs w:val="22"/>
          <w:lang w:val="es-PE"/>
        </w:rPr>
        <w:tab/>
      </w:r>
      <w:r w:rsidRPr="00E27C63">
        <w:rPr>
          <w:sz w:val="22"/>
          <w:szCs w:val="22"/>
        </w:rPr>
        <w:t>Infracciones con la misma tipificación</w:t>
      </w:r>
    </w:p>
    <w:p w:rsidR="00951F79" w:rsidRPr="00E27C63" w:rsidRDefault="00951F79" w:rsidP="00951F79">
      <w:pPr>
        <w:pStyle w:val="Textodebloque"/>
        <w:ind w:left="1105" w:right="-1"/>
        <w:rPr>
          <w:i/>
          <w:iCs/>
          <w:sz w:val="22"/>
          <w:szCs w:val="22"/>
        </w:rPr>
      </w:pPr>
    </w:p>
    <w:p w:rsidR="00951F79" w:rsidRPr="00E27C63" w:rsidRDefault="00951F79" w:rsidP="00951F79">
      <w:pPr>
        <w:pStyle w:val="Textodebloque"/>
        <w:tabs>
          <w:tab w:val="left" w:pos="708"/>
        </w:tabs>
        <w:ind w:left="426" w:right="-1"/>
        <w:rPr>
          <w:sz w:val="22"/>
          <w:szCs w:val="22"/>
        </w:rPr>
      </w:pPr>
      <w:r w:rsidRPr="00E27C63">
        <w:rPr>
          <w:sz w:val="22"/>
          <w:szCs w:val="22"/>
        </w:rPr>
        <w:t xml:space="preserve">En cada casillero del cuadro que obra a continuación se mencionan los supuestos que originan la existencia de infracciones con la misma tipificación: </w:t>
      </w:r>
    </w:p>
    <w:p w:rsidR="00951F79" w:rsidRPr="00E27C63" w:rsidRDefault="00951F79" w:rsidP="00951F79">
      <w:pPr>
        <w:pStyle w:val="Textodebloque"/>
        <w:ind w:left="1105" w:right="-1" w:hanging="425"/>
        <w:rPr>
          <w:sz w:val="22"/>
          <w:szCs w:val="22"/>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45"/>
        <w:gridCol w:w="6753"/>
      </w:tblGrid>
      <w:tr w:rsidR="00951F79" w:rsidRPr="00E27C63" w:rsidTr="00951F79">
        <w:trPr>
          <w:tblHeader/>
        </w:trPr>
        <w:tc>
          <w:tcPr>
            <w:tcW w:w="1275" w:type="dxa"/>
            <w:tcBorders>
              <w:top w:val="single" w:sz="4" w:space="0" w:color="auto"/>
              <w:left w:val="single" w:sz="4" w:space="0" w:color="auto"/>
              <w:bottom w:val="single" w:sz="4" w:space="0" w:color="auto"/>
              <w:right w:val="single" w:sz="4" w:space="0" w:color="auto"/>
            </w:tcBorders>
            <w:shd w:val="clear" w:color="auto" w:fill="CCCCCC"/>
            <w:hideMark/>
          </w:tcPr>
          <w:p w:rsidR="00951F79" w:rsidRPr="00E27C63" w:rsidRDefault="00951F79">
            <w:pPr>
              <w:pStyle w:val="Textodebloque"/>
              <w:ind w:left="0" w:right="-1"/>
              <w:jc w:val="center"/>
              <w:rPr>
                <w:b/>
                <w:bCs/>
                <w:sz w:val="20"/>
              </w:rPr>
            </w:pPr>
            <w:r w:rsidRPr="00E27C63">
              <w:rPr>
                <w:b/>
                <w:bCs/>
                <w:sz w:val="20"/>
              </w:rPr>
              <w:t>Base Legal</w:t>
            </w:r>
          </w:p>
        </w:tc>
        <w:tc>
          <w:tcPr>
            <w:tcW w:w="7157" w:type="dxa"/>
            <w:tcBorders>
              <w:top w:val="single" w:sz="4" w:space="0" w:color="auto"/>
              <w:left w:val="single" w:sz="4" w:space="0" w:color="auto"/>
              <w:bottom w:val="single" w:sz="4" w:space="0" w:color="auto"/>
              <w:right w:val="single" w:sz="4" w:space="0" w:color="auto"/>
            </w:tcBorders>
            <w:shd w:val="clear" w:color="auto" w:fill="CCCCCC"/>
            <w:hideMark/>
          </w:tcPr>
          <w:p w:rsidR="00951F79" w:rsidRPr="00E27C63" w:rsidRDefault="00951F79">
            <w:pPr>
              <w:pStyle w:val="Textodebloque"/>
              <w:ind w:left="0" w:right="-1"/>
              <w:jc w:val="center"/>
              <w:rPr>
                <w:b/>
                <w:bCs/>
                <w:sz w:val="20"/>
              </w:rPr>
            </w:pPr>
            <w:r w:rsidRPr="00E27C63">
              <w:rPr>
                <w:b/>
                <w:bCs/>
                <w:sz w:val="20"/>
              </w:rPr>
              <w:t>Supuestos comprendidos en la infracción</w:t>
            </w:r>
          </w:p>
        </w:tc>
      </w:tr>
      <w:tr w:rsidR="00951F79" w:rsidRPr="00E27C63" w:rsidTr="00951F79">
        <w:trPr>
          <w:trHeight w:val="1328"/>
        </w:trPr>
        <w:tc>
          <w:tcPr>
            <w:tcW w:w="1275" w:type="dxa"/>
            <w:tcBorders>
              <w:top w:val="single" w:sz="4" w:space="0" w:color="auto"/>
              <w:left w:val="single" w:sz="4" w:space="0" w:color="auto"/>
              <w:bottom w:val="single" w:sz="4" w:space="0" w:color="auto"/>
              <w:right w:val="single" w:sz="4" w:space="0" w:color="auto"/>
            </w:tcBorders>
            <w:hideMark/>
          </w:tcPr>
          <w:p w:rsidR="00951F79" w:rsidRPr="00E27C63" w:rsidRDefault="00951F79">
            <w:pPr>
              <w:pStyle w:val="Textodebloque"/>
              <w:ind w:left="0" w:right="-1"/>
              <w:jc w:val="center"/>
              <w:rPr>
                <w:sz w:val="20"/>
              </w:rPr>
            </w:pPr>
            <w:r w:rsidRPr="00E27C63">
              <w:rPr>
                <w:sz w:val="20"/>
              </w:rPr>
              <w:t>Art. 174°,</w:t>
            </w:r>
          </w:p>
          <w:p w:rsidR="00951F79" w:rsidRPr="00E27C63" w:rsidRDefault="00951F79">
            <w:pPr>
              <w:pStyle w:val="Textodebloque"/>
              <w:ind w:left="0" w:right="-1"/>
              <w:jc w:val="center"/>
              <w:rPr>
                <w:sz w:val="20"/>
              </w:rPr>
            </w:pPr>
            <w:r w:rsidRPr="00E27C63">
              <w:rPr>
                <w:sz w:val="20"/>
              </w:rPr>
              <w:t>numeral 1</w:t>
            </w:r>
          </w:p>
        </w:tc>
        <w:tc>
          <w:tcPr>
            <w:tcW w:w="7157" w:type="dxa"/>
            <w:tcBorders>
              <w:top w:val="single" w:sz="4" w:space="0" w:color="auto"/>
              <w:left w:val="single" w:sz="4" w:space="0" w:color="auto"/>
              <w:bottom w:val="single" w:sz="4" w:space="0" w:color="auto"/>
              <w:right w:val="single" w:sz="4" w:space="0" w:color="auto"/>
            </w:tcBorders>
            <w:hideMark/>
          </w:tcPr>
          <w:p w:rsidR="00951F79" w:rsidRPr="00E27C63" w:rsidRDefault="00951F79">
            <w:pPr>
              <w:pStyle w:val="Textodebloque"/>
              <w:ind w:left="0" w:right="-1"/>
              <w:rPr>
                <w:sz w:val="20"/>
              </w:rPr>
            </w:pPr>
            <w:r w:rsidRPr="00E27C63">
              <w:rPr>
                <w:sz w:val="20"/>
              </w:rPr>
              <w:t>No emitir y/o no otorgar comprobantes de pago o documentos complementarios a</w:t>
            </w:r>
            <w:r w:rsidR="00C37ECC" w:rsidRPr="00E27C63">
              <w:rPr>
                <w:sz w:val="20"/>
              </w:rPr>
              <w:t xml:space="preserve"> e</w:t>
            </w:r>
            <w:r w:rsidRPr="00E27C63">
              <w:rPr>
                <w:sz w:val="20"/>
              </w:rPr>
              <w:t>stos, distintos a la guía de remisión, o emitir y/u otorgar documentos no previstos como comprobantes de pago por la legislación vigente, o emitir y/u otorgar documentos cuya impresión y/o importación se hubiera realizado sin cumplir con lo dispuesto en las normas vigentes, o emitir y/u otorgar documentos que no cumplen con las condiciones de emisión para ser considerados documentos electrónicos que soportan los comprobantes de pago electrónicos y documentos complementari</w:t>
            </w:r>
            <w:r w:rsidR="00CD1824" w:rsidRPr="00E27C63">
              <w:rPr>
                <w:sz w:val="20"/>
              </w:rPr>
              <w:t>o</w:t>
            </w:r>
            <w:r w:rsidRPr="00E27C63">
              <w:rPr>
                <w:sz w:val="20"/>
              </w:rPr>
              <w:t xml:space="preserve">s a estos.  </w:t>
            </w:r>
          </w:p>
        </w:tc>
      </w:tr>
      <w:tr w:rsidR="00951F79" w:rsidRPr="00E27C63" w:rsidTr="00951F79">
        <w:tc>
          <w:tcPr>
            <w:tcW w:w="1275" w:type="dxa"/>
            <w:tcBorders>
              <w:top w:val="single" w:sz="4" w:space="0" w:color="auto"/>
              <w:left w:val="single" w:sz="4" w:space="0" w:color="auto"/>
              <w:bottom w:val="single" w:sz="4" w:space="0" w:color="auto"/>
              <w:right w:val="single" w:sz="4" w:space="0" w:color="auto"/>
            </w:tcBorders>
            <w:hideMark/>
          </w:tcPr>
          <w:p w:rsidR="00951F79" w:rsidRPr="00E27C63" w:rsidRDefault="00951F79">
            <w:pPr>
              <w:pStyle w:val="Textodebloque"/>
              <w:ind w:left="0" w:right="-1"/>
              <w:jc w:val="center"/>
              <w:rPr>
                <w:sz w:val="20"/>
              </w:rPr>
            </w:pPr>
            <w:r w:rsidRPr="00E27C63">
              <w:rPr>
                <w:sz w:val="20"/>
              </w:rPr>
              <w:t>Art. 174°,</w:t>
            </w:r>
          </w:p>
          <w:p w:rsidR="00951F79" w:rsidRPr="00E27C63" w:rsidRDefault="00951F79">
            <w:pPr>
              <w:pStyle w:val="Textodebloque"/>
              <w:ind w:left="0" w:right="-1"/>
              <w:jc w:val="center"/>
              <w:rPr>
                <w:sz w:val="20"/>
              </w:rPr>
            </w:pPr>
            <w:r w:rsidRPr="00E27C63">
              <w:rPr>
                <w:sz w:val="20"/>
              </w:rPr>
              <w:t>numeral 2</w:t>
            </w:r>
          </w:p>
        </w:tc>
        <w:tc>
          <w:tcPr>
            <w:tcW w:w="7157" w:type="dxa"/>
            <w:tcBorders>
              <w:top w:val="single" w:sz="4" w:space="0" w:color="auto"/>
              <w:left w:val="single" w:sz="4" w:space="0" w:color="auto"/>
              <w:bottom w:val="single" w:sz="4" w:space="0" w:color="auto"/>
              <w:right w:val="single" w:sz="4" w:space="0" w:color="auto"/>
            </w:tcBorders>
            <w:hideMark/>
          </w:tcPr>
          <w:p w:rsidR="00951F79" w:rsidRPr="00E27C63" w:rsidRDefault="00951F79">
            <w:pPr>
              <w:pStyle w:val="Textodebloque"/>
              <w:ind w:left="0" w:right="-1"/>
              <w:rPr>
                <w:sz w:val="20"/>
              </w:rPr>
            </w:pPr>
            <w:r w:rsidRPr="00E27C63">
              <w:rPr>
                <w:sz w:val="20"/>
              </w:rPr>
              <w:t xml:space="preserve">Emitir y/u otorgar documentos cuya impresión y/o importación se hubiera realizado cumpliendo lo dispuesto en las normas legales o cumpliendo las condiciones de emisión, pero que no reúnen los requisitos y características para ser considerados como comprobantes de pago o como documentos complementarios a </w:t>
            </w:r>
            <w:r w:rsidR="00C37ECC" w:rsidRPr="00E27C63">
              <w:rPr>
                <w:sz w:val="20"/>
              </w:rPr>
              <w:t>e</w:t>
            </w:r>
            <w:r w:rsidRPr="00E27C63">
              <w:rPr>
                <w:sz w:val="20"/>
              </w:rPr>
              <w:t>stos, distintos a la guía de remisión.</w:t>
            </w:r>
          </w:p>
        </w:tc>
      </w:tr>
      <w:tr w:rsidR="00951F79" w:rsidRPr="00E27C63" w:rsidTr="00951F79">
        <w:tc>
          <w:tcPr>
            <w:tcW w:w="1275" w:type="dxa"/>
            <w:tcBorders>
              <w:top w:val="single" w:sz="4" w:space="0" w:color="auto"/>
              <w:left w:val="single" w:sz="4" w:space="0" w:color="auto"/>
              <w:bottom w:val="single" w:sz="4" w:space="0" w:color="auto"/>
              <w:right w:val="single" w:sz="4" w:space="0" w:color="auto"/>
            </w:tcBorders>
            <w:hideMark/>
          </w:tcPr>
          <w:p w:rsidR="00951F79" w:rsidRPr="00E27C63" w:rsidRDefault="00951F79">
            <w:pPr>
              <w:pStyle w:val="Textodebloque"/>
              <w:ind w:left="0" w:right="-1"/>
              <w:jc w:val="center"/>
              <w:rPr>
                <w:sz w:val="20"/>
                <w:lang w:val="es-PE"/>
              </w:rPr>
            </w:pPr>
            <w:r w:rsidRPr="00E27C63">
              <w:rPr>
                <w:sz w:val="20"/>
                <w:lang w:val="es-PE"/>
              </w:rPr>
              <w:t>Art. 174°,</w:t>
            </w:r>
          </w:p>
          <w:p w:rsidR="00951F79" w:rsidRPr="00E27C63" w:rsidRDefault="00951F79">
            <w:pPr>
              <w:pStyle w:val="Textodebloque"/>
              <w:ind w:left="0" w:right="-1"/>
              <w:jc w:val="center"/>
              <w:rPr>
                <w:sz w:val="20"/>
                <w:lang w:val="es-PE"/>
              </w:rPr>
            </w:pPr>
            <w:r w:rsidRPr="00E27C63">
              <w:rPr>
                <w:sz w:val="20"/>
                <w:lang w:val="es-PE"/>
              </w:rPr>
              <w:t>numeral 3</w:t>
            </w:r>
          </w:p>
        </w:tc>
        <w:tc>
          <w:tcPr>
            <w:tcW w:w="7157" w:type="dxa"/>
            <w:tcBorders>
              <w:top w:val="single" w:sz="4" w:space="0" w:color="auto"/>
              <w:left w:val="single" w:sz="4" w:space="0" w:color="auto"/>
              <w:bottom w:val="single" w:sz="4" w:space="0" w:color="auto"/>
              <w:right w:val="single" w:sz="4" w:space="0" w:color="auto"/>
            </w:tcBorders>
            <w:hideMark/>
          </w:tcPr>
          <w:p w:rsidR="00951F79" w:rsidRPr="00E27C63" w:rsidRDefault="00951F79">
            <w:pPr>
              <w:pStyle w:val="Textodebloque"/>
              <w:ind w:left="0" w:right="-1"/>
              <w:rPr>
                <w:sz w:val="20"/>
                <w:lang w:val="es-PE"/>
              </w:rPr>
            </w:pPr>
            <w:r w:rsidRPr="00E27C63">
              <w:rPr>
                <w:sz w:val="20"/>
              </w:rPr>
              <w:t xml:space="preserve">Emitir y/u otorgar comprobantes de pago o documentos complementarios a </w:t>
            </w:r>
            <w:r w:rsidR="00C37ECC" w:rsidRPr="00E27C63">
              <w:rPr>
                <w:sz w:val="20"/>
              </w:rPr>
              <w:t>e</w:t>
            </w:r>
            <w:r w:rsidRPr="00E27C63">
              <w:rPr>
                <w:sz w:val="20"/>
              </w:rPr>
              <w:t>stos, distintos a la guía de remisión, que no correspondan al régimen del deudor tributario, al tipo de operación realizada o sin respetar los límites establecidos, de conformidad con las leyes, reglamentos o Resolución de Superintendencia de la SUNAT.</w:t>
            </w:r>
          </w:p>
        </w:tc>
      </w:tr>
    </w:tbl>
    <w:p w:rsidR="00951F79" w:rsidRPr="00E27C63" w:rsidRDefault="00951F79" w:rsidP="00951F79">
      <w:pPr>
        <w:pStyle w:val="Textodebloque"/>
        <w:tabs>
          <w:tab w:val="left" w:pos="708"/>
        </w:tabs>
        <w:ind w:left="0" w:right="-1" w:firstLine="595"/>
        <w:rPr>
          <w:sz w:val="22"/>
          <w:szCs w:val="22"/>
          <w:lang w:val="es-PE"/>
        </w:rPr>
      </w:pPr>
    </w:p>
    <w:p w:rsidR="00951F79" w:rsidRPr="00E27C63" w:rsidRDefault="00951F79" w:rsidP="00951F79">
      <w:pPr>
        <w:pStyle w:val="Textodebloque"/>
        <w:tabs>
          <w:tab w:val="left" w:pos="708"/>
        </w:tabs>
        <w:ind w:left="426" w:right="-1"/>
        <w:rPr>
          <w:sz w:val="22"/>
          <w:szCs w:val="22"/>
          <w:lang w:val="es-PE"/>
        </w:rPr>
      </w:pPr>
      <w:r w:rsidRPr="00E27C63">
        <w:rPr>
          <w:sz w:val="22"/>
          <w:szCs w:val="22"/>
          <w:lang w:val="es-PE"/>
        </w:rPr>
        <w:t>Se considera que existe una infracción con la misma tipificación a las derivadas de los supuestos comprendidos en un mismo numeral. Tratándose de las infracciones tipificadas en los numerales 2 y 3 del artículo 174 del Código Tributario, se considera que existe una infracción con la misma tipificación aun cuando se haya eximido al infractor de la multa a consecuencia del reconocimiento de la infracción.</w:t>
      </w:r>
    </w:p>
    <w:p w:rsidR="00951F79" w:rsidRPr="00E27C63" w:rsidRDefault="00951F79" w:rsidP="00951F79">
      <w:pPr>
        <w:pStyle w:val="Textodebloque"/>
        <w:tabs>
          <w:tab w:val="left" w:pos="708"/>
        </w:tabs>
        <w:ind w:left="0" w:right="-1" w:firstLine="595"/>
        <w:rPr>
          <w:sz w:val="22"/>
          <w:szCs w:val="22"/>
          <w:lang w:val="es-PE"/>
        </w:rPr>
      </w:pPr>
    </w:p>
    <w:p w:rsidR="00951F79" w:rsidRPr="00E27C63" w:rsidRDefault="00951F79" w:rsidP="00951F79">
      <w:pPr>
        <w:pStyle w:val="Textodebloque"/>
        <w:tabs>
          <w:tab w:val="left" w:pos="595"/>
        </w:tabs>
        <w:ind w:left="426" w:right="-1" w:hanging="426"/>
        <w:rPr>
          <w:sz w:val="22"/>
          <w:szCs w:val="22"/>
          <w:lang w:val="es-PE"/>
        </w:rPr>
      </w:pPr>
      <w:r w:rsidRPr="00E27C63">
        <w:rPr>
          <w:sz w:val="22"/>
          <w:szCs w:val="22"/>
          <w:lang w:val="es-PE"/>
        </w:rPr>
        <w:t>6.2.</w:t>
      </w:r>
      <w:r w:rsidRPr="00E27C63">
        <w:rPr>
          <w:sz w:val="22"/>
          <w:szCs w:val="22"/>
          <w:lang w:val="es-PE"/>
        </w:rPr>
        <w:tab/>
        <w:t>Infracciones cuyas Resoluciones de Cierre o Resoluciones de Multa están firmes y consentidas</w:t>
      </w:r>
    </w:p>
    <w:p w:rsidR="00951F79" w:rsidRPr="00E27C63" w:rsidRDefault="00951F79" w:rsidP="00951F79">
      <w:pPr>
        <w:pStyle w:val="Textodebloque"/>
        <w:tabs>
          <w:tab w:val="left" w:pos="708"/>
        </w:tabs>
        <w:ind w:left="426" w:right="-1"/>
        <w:rPr>
          <w:sz w:val="22"/>
          <w:szCs w:val="22"/>
          <w:lang w:val="es-PE"/>
        </w:rPr>
      </w:pPr>
    </w:p>
    <w:p w:rsidR="00951F79" w:rsidRPr="00E27C63" w:rsidRDefault="00951F79" w:rsidP="00951F79">
      <w:pPr>
        <w:pStyle w:val="Textodebloque"/>
        <w:tabs>
          <w:tab w:val="left" w:pos="595"/>
        </w:tabs>
        <w:ind w:left="426" w:right="-1"/>
        <w:rPr>
          <w:sz w:val="22"/>
          <w:szCs w:val="22"/>
          <w:lang w:val="es-PE"/>
        </w:rPr>
      </w:pPr>
      <w:r w:rsidRPr="00E27C63">
        <w:rPr>
          <w:sz w:val="22"/>
          <w:szCs w:val="22"/>
          <w:lang w:val="es-PE"/>
        </w:rPr>
        <w:t>La Resolución de Cierre o de Multa est</w:t>
      </w:r>
      <w:r w:rsidR="008F6E63" w:rsidRPr="00E27C63">
        <w:rPr>
          <w:sz w:val="22"/>
          <w:szCs w:val="22"/>
          <w:lang w:val="es-PE"/>
        </w:rPr>
        <w:t>á</w:t>
      </w:r>
      <w:r w:rsidRPr="00E27C63">
        <w:rPr>
          <w:sz w:val="22"/>
          <w:szCs w:val="22"/>
          <w:lang w:val="es-PE"/>
        </w:rPr>
        <w:t>n firmes o consentidas en la vía administrativa cuando:</w:t>
      </w:r>
    </w:p>
    <w:p w:rsidR="00951F79" w:rsidRPr="00E27C63" w:rsidRDefault="00951F79" w:rsidP="00951F79">
      <w:pPr>
        <w:pStyle w:val="Textodebloque"/>
        <w:ind w:left="426" w:right="-1" w:hanging="340"/>
        <w:rPr>
          <w:sz w:val="22"/>
          <w:szCs w:val="22"/>
          <w:lang w:val="es-PE"/>
        </w:rPr>
      </w:pPr>
    </w:p>
    <w:p w:rsidR="00951F79" w:rsidRPr="00E27C63" w:rsidRDefault="00951F79" w:rsidP="00951F79">
      <w:pPr>
        <w:pStyle w:val="Textodebloque"/>
        <w:numPr>
          <w:ilvl w:val="0"/>
          <w:numId w:val="1"/>
        </w:numPr>
        <w:tabs>
          <w:tab w:val="left" w:pos="708"/>
        </w:tabs>
        <w:ind w:left="426" w:right="-1" w:firstLine="0"/>
        <w:rPr>
          <w:sz w:val="22"/>
          <w:szCs w:val="22"/>
          <w:lang w:val="es-PE"/>
        </w:rPr>
      </w:pPr>
      <w:r w:rsidRPr="00E27C63">
        <w:rPr>
          <w:sz w:val="22"/>
          <w:szCs w:val="22"/>
          <w:lang w:val="es-PE"/>
        </w:rPr>
        <w:lastRenderedPageBreak/>
        <w:t>El plazo para impugnar la Resolución de Cierre ha vencido sin que se interponga el recurso respectivo.</w:t>
      </w:r>
    </w:p>
    <w:p w:rsidR="00951F79" w:rsidRPr="00E27C63" w:rsidRDefault="00951F79" w:rsidP="00951F79">
      <w:pPr>
        <w:pStyle w:val="Textodebloque"/>
        <w:tabs>
          <w:tab w:val="left" w:pos="708"/>
        </w:tabs>
        <w:ind w:left="426" w:right="-1"/>
        <w:rPr>
          <w:sz w:val="22"/>
          <w:szCs w:val="22"/>
          <w:lang w:val="es-PE"/>
        </w:rPr>
      </w:pPr>
    </w:p>
    <w:p w:rsidR="00951F79" w:rsidRPr="00E27C63" w:rsidRDefault="00951F79" w:rsidP="00951F79">
      <w:pPr>
        <w:pStyle w:val="Textodebloque"/>
        <w:numPr>
          <w:ilvl w:val="0"/>
          <w:numId w:val="1"/>
        </w:numPr>
        <w:tabs>
          <w:tab w:val="left" w:pos="708"/>
        </w:tabs>
        <w:ind w:left="426" w:right="-1" w:firstLine="0"/>
        <w:rPr>
          <w:sz w:val="22"/>
          <w:szCs w:val="22"/>
          <w:lang w:val="es-PE"/>
        </w:rPr>
      </w:pPr>
      <w:r w:rsidRPr="00E27C63">
        <w:rPr>
          <w:sz w:val="22"/>
          <w:szCs w:val="22"/>
          <w:lang w:val="es-PE"/>
        </w:rPr>
        <w:t>El plazo para impugnar la Resolución de Multa sin pagar ha vencido, sin que se interponga el recurso respectivo.</w:t>
      </w:r>
    </w:p>
    <w:p w:rsidR="00951F79" w:rsidRPr="00E27C63" w:rsidRDefault="00951F79" w:rsidP="00951F79">
      <w:pPr>
        <w:pStyle w:val="Textodebloque"/>
        <w:tabs>
          <w:tab w:val="left" w:pos="708"/>
        </w:tabs>
        <w:ind w:left="426" w:right="-1"/>
        <w:rPr>
          <w:sz w:val="22"/>
          <w:szCs w:val="22"/>
          <w:lang w:val="es-PE"/>
        </w:rPr>
      </w:pPr>
    </w:p>
    <w:p w:rsidR="00951F79" w:rsidRPr="00E27C63" w:rsidRDefault="00951F79" w:rsidP="00951F79">
      <w:pPr>
        <w:pStyle w:val="Textodebloque"/>
        <w:numPr>
          <w:ilvl w:val="0"/>
          <w:numId w:val="1"/>
        </w:numPr>
        <w:tabs>
          <w:tab w:val="left" w:pos="708"/>
        </w:tabs>
        <w:ind w:left="426" w:right="-1" w:firstLine="0"/>
        <w:rPr>
          <w:sz w:val="22"/>
          <w:szCs w:val="22"/>
        </w:rPr>
      </w:pPr>
      <w:r w:rsidRPr="00E27C63">
        <w:rPr>
          <w:sz w:val="22"/>
          <w:szCs w:val="22"/>
          <w:lang w:val="es-PE"/>
        </w:rPr>
        <w:t>Habiendo</w:t>
      </w:r>
      <w:r w:rsidRPr="00E27C63">
        <w:rPr>
          <w:sz w:val="22"/>
          <w:szCs w:val="22"/>
        </w:rPr>
        <w:t xml:space="preserve"> sido impugnadas, se presenta el desistimiento y este es aceptado mediante resolución; o,</w:t>
      </w:r>
    </w:p>
    <w:p w:rsidR="00951F79" w:rsidRPr="00E27C63" w:rsidRDefault="00951F79" w:rsidP="00951F79">
      <w:pPr>
        <w:pStyle w:val="Textodebloque"/>
        <w:tabs>
          <w:tab w:val="left" w:pos="708"/>
        </w:tabs>
        <w:ind w:left="426" w:right="-1"/>
        <w:rPr>
          <w:sz w:val="22"/>
          <w:szCs w:val="22"/>
        </w:rPr>
      </w:pPr>
    </w:p>
    <w:p w:rsidR="00951F79" w:rsidRPr="00E27C63" w:rsidRDefault="00951F79" w:rsidP="00951F79">
      <w:pPr>
        <w:pStyle w:val="Textodebloque"/>
        <w:tabs>
          <w:tab w:val="left" w:pos="708"/>
        </w:tabs>
        <w:ind w:left="426" w:right="-1"/>
        <w:rPr>
          <w:sz w:val="22"/>
          <w:szCs w:val="22"/>
          <w:lang w:val="es-PE"/>
        </w:rPr>
      </w:pPr>
      <w:r w:rsidRPr="00E27C63">
        <w:rPr>
          <w:sz w:val="22"/>
          <w:szCs w:val="22"/>
        </w:rPr>
        <w:t>iv) Se ha notificado una resolución que pone fin a la vía administrativa.</w:t>
      </w:r>
    </w:p>
    <w:p w:rsidR="00951F79" w:rsidRPr="00E27C63" w:rsidRDefault="00951F79" w:rsidP="00951F79">
      <w:pPr>
        <w:pStyle w:val="Textodebloque"/>
        <w:tabs>
          <w:tab w:val="left" w:pos="708"/>
        </w:tabs>
        <w:ind w:left="1105" w:right="-1" w:hanging="510"/>
        <w:rPr>
          <w:sz w:val="22"/>
          <w:szCs w:val="22"/>
          <w:lang w:val="es-PE"/>
        </w:rPr>
      </w:pPr>
    </w:p>
    <w:p w:rsidR="00951F79" w:rsidRPr="00E27C63" w:rsidRDefault="00951F79" w:rsidP="00951F79">
      <w:pPr>
        <w:pStyle w:val="Textodebloque"/>
        <w:tabs>
          <w:tab w:val="left" w:pos="284"/>
        </w:tabs>
        <w:ind w:left="0" w:right="-1"/>
        <w:rPr>
          <w:sz w:val="22"/>
          <w:szCs w:val="22"/>
        </w:rPr>
      </w:pPr>
      <w:r w:rsidRPr="00E27C63">
        <w:rPr>
          <w:sz w:val="22"/>
          <w:szCs w:val="22"/>
        </w:rPr>
        <w:t xml:space="preserve">6.3. </w:t>
      </w:r>
      <w:r w:rsidRPr="00E27C63">
        <w:rPr>
          <w:sz w:val="22"/>
          <w:szCs w:val="22"/>
          <w:lang w:val="es-PE"/>
        </w:rPr>
        <w:t>Infracción</w:t>
      </w:r>
      <w:r w:rsidRPr="00E27C63">
        <w:rPr>
          <w:sz w:val="22"/>
          <w:szCs w:val="22"/>
        </w:rPr>
        <w:t xml:space="preserve"> reconocida mediante Acta de Reconocimiento</w:t>
      </w:r>
    </w:p>
    <w:p w:rsidR="00951F79" w:rsidRPr="00E27C63" w:rsidRDefault="00951F79" w:rsidP="00951F79">
      <w:pPr>
        <w:pStyle w:val="Textodebloque"/>
        <w:ind w:left="1105" w:right="-1" w:hanging="425"/>
        <w:rPr>
          <w:sz w:val="22"/>
          <w:szCs w:val="22"/>
        </w:rPr>
      </w:pPr>
    </w:p>
    <w:p w:rsidR="00951F79" w:rsidRPr="00E27C63" w:rsidRDefault="00951F79" w:rsidP="00951F79">
      <w:pPr>
        <w:pStyle w:val="Textodebloque"/>
        <w:tabs>
          <w:tab w:val="left" w:pos="708"/>
        </w:tabs>
        <w:ind w:left="426" w:right="-1"/>
        <w:rPr>
          <w:sz w:val="22"/>
          <w:szCs w:val="22"/>
        </w:rPr>
      </w:pPr>
      <w:r w:rsidRPr="00E27C63">
        <w:rPr>
          <w:sz w:val="22"/>
          <w:szCs w:val="22"/>
        </w:rPr>
        <w:t xml:space="preserve">La infracción se considera reconocida cuando se presenta el Acta de Reconocimiento según lo previsto en el </w:t>
      </w:r>
      <w:r w:rsidR="00C37ECC" w:rsidRPr="00E27C63">
        <w:rPr>
          <w:sz w:val="22"/>
          <w:szCs w:val="22"/>
        </w:rPr>
        <w:t>a</w:t>
      </w:r>
      <w:r w:rsidRPr="00E27C63">
        <w:rPr>
          <w:sz w:val="22"/>
          <w:szCs w:val="22"/>
        </w:rPr>
        <w:t xml:space="preserve">rtículo 7. </w:t>
      </w:r>
    </w:p>
    <w:p w:rsidR="00951F79" w:rsidRPr="00E27C63" w:rsidRDefault="00951F79" w:rsidP="00951F79">
      <w:pPr>
        <w:pStyle w:val="Textodebloque"/>
        <w:tabs>
          <w:tab w:val="left" w:pos="708"/>
        </w:tabs>
        <w:ind w:left="0" w:right="-1"/>
        <w:rPr>
          <w:sz w:val="22"/>
          <w:szCs w:val="22"/>
        </w:rPr>
      </w:pPr>
    </w:p>
    <w:p w:rsidR="00951F79" w:rsidRPr="00E27C63" w:rsidRDefault="00951F79" w:rsidP="00951F79">
      <w:pPr>
        <w:pStyle w:val="Textodebloque"/>
        <w:tabs>
          <w:tab w:val="left" w:pos="708"/>
        </w:tabs>
        <w:ind w:left="0" w:right="-1"/>
        <w:rPr>
          <w:sz w:val="22"/>
          <w:szCs w:val="22"/>
        </w:rPr>
      </w:pPr>
      <w:r w:rsidRPr="00E27C63">
        <w:rPr>
          <w:sz w:val="22"/>
          <w:szCs w:val="22"/>
        </w:rPr>
        <w:t>6.4. Últimos cuatro años</w:t>
      </w:r>
    </w:p>
    <w:p w:rsidR="00951F79" w:rsidRPr="00E27C63" w:rsidRDefault="00951F79" w:rsidP="00951F79">
      <w:pPr>
        <w:pStyle w:val="Textodebloque"/>
        <w:tabs>
          <w:tab w:val="left" w:pos="708"/>
        </w:tabs>
        <w:ind w:left="0" w:right="-1"/>
        <w:rPr>
          <w:sz w:val="22"/>
          <w:szCs w:val="22"/>
        </w:rPr>
      </w:pPr>
    </w:p>
    <w:p w:rsidR="00951F79" w:rsidRPr="00E27C63" w:rsidRDefault="00951F79" w:rsidP="00951F79">
      <w:pPr>
        <w:pStyle w:val="Textodebloque"/>
        <w:tabs>
          <w:tab w:val="left" w:pos="708"/>
        </w:tabs>
        <w:ind w:left="426" w:right="-1"/>
        <w:rPr>
          <w:sz w:val="22"/>
          <w:szCs w:val="22"/>
        </w:rPr>
      </w:pPr>
      <w:r w:rsidRPr="00E27C63">
        <w:rPr>
          <w:sz w:val="22"/>
          <w:szCs w:val="22"/>
        </w:rPr>
        <w:t xml:space="preserve">Cada infractor computará los últimos cuatro años desde la fecha de comisión de la infracción que es materia de acogimiento o, de no ser posible establecer esa fecha, desde su detección. A tal efecto, se consideran infracciones cometidas o detectadas a partir del </w:t>
      </w:r>
      <w:r w:rsidR="000202BD" w:rsidRPr="00E27C63">
        <w:rPr>
          <w:sz w:val="22"/>
          <w:szCs w:val="22"/>
        </w:rPr>
        <w:t>3</w:t>
      </w:r>
      <w:r w:rsidR="008508E0" w:rsidRPr="00E27C63">
        <w:rPr>
          <w:sz w:val="22"/>
          <w:szCs w:val="22"/>
        </w:rPr>
        <w:t xml:space="preserve"> de enero de </w:t>
      </w:r>
      <w:r w:rsidRPr="00E27C63">
        <w:rPr>
          <w:sz w:val="22"/>
          <w:szCs w:val="22"/>
        </w:rPr>
        <w:t xml:space="preserve">2020.” </w:t>
      </w:r>
    </w:p>
    <w:p w:rsidR="00951F79" w:rsidRPr="00E27C63" w:rsidRDefault="00951F79" w:rsidP="00951F79">
      <w:pPr>
        <w:pStyle w:val="Textodebloque"/>
        <w:tabs>
          <w:tab w:val="left" w:pos="708"/>
        </w:tabs>
        <w:ind w:left="0" w:right="-1"/>
        <w:rPr>
          <w:sz w:val="22"/>
          <w:szCs w:val="22"/>
        </w:rPr>
      </w:pPr>
    </w:p>
    <w:p w:rsidR="00951F79" w:rsidRPr="00E27C63" w:rsidRDefault="00951F79" w:rsidP="00951F79">
      <w:pPr>
        <w:pStyle w:val="Textodebloque"/>
        <w:ind w:left="0" w:right="-1"/>
        <w:rPr>
          <w:bCs/>
          <w:sz w:val="22"/>
          <w:szCs w:val="22"/>
        </w:rPr>
      </w:pPr>
      <w:r w:rsidRPr="00E27C63">
        <w:rPr>
          <w:bCs/>
          <w:sz w:val="22"/>
          <w:szCs w:val="22"/>
        </w:rPr>
        <w:t xml:space="preserve">“Artículo 7. Acta de Reconocimiento </w:t>
      </w:r>
    </w:p>
    <w:p w:rsidR="00951F79" w:rsidRPr="00E27C63" w:rsidRDefault="00951F79" w:rsidP="00951F79">
      <w:pPr>
        <w:pStyle w:val="Textodebloque"/>
        <w:tabs>
          <w:tab w:val="left" w:pos="708"/>
        </w:tabs>
        <w:ind w:left="0" w:right="-1" w:firstLine="595"/>
        <w:rPr>
          <w:sz w:val="22"/>
          <w:szCs w:val="22"/>
        </w:rPr>
      </w:pPr>
      <w:r w:rsidRPr="00E27C63">
        <w:rPr>
          <w:sz w:val="22"/>
          <w:szCs w:val="22"/>
        </w:rPr>
        <w:t xml:space="preserve"> </w:t>
      </w:r>
    </w:p>
    <w:p w:rsidR="00951F79" w:rsidRPr="00E27C63" w:rsidRDefault="00951F79" w:rsidP="00951F79">
      <w:pPr>
        <w:pStyle w:val="Textodebloque"/>
        <w:tabs>
          <w:tab w:val="left" w:pos="708"/>
        </w:tabs>
        <w:ind w:left="0" w:right="-1"/>
        <w:rPr>
          <w:sz w:val="22"/>
          <w:szCs w:val="22"/>
        </w:rPr>
      </w:pPr>
      <w:r w:rsidRPr="00E27C63">
        <w:rPr>
          <w:sz w:val="22"/>
          <w:szCs w:val="22"/>
        </w:rPr>
        <w:t>Para efecto de la presentación del Acta de Reconocimiento, se tendrá en cuenta lo siguiente:</w:t>
      </w:r>
    </w:p>
    <w:p w:rsidR="00951F79" w:rsidRPr="00E27C63" w:rsidRDefault="00951F79" w:rsidP="00951F79">
      <w:pPr>
        <w:pStyle w:val="Textodebloque"/>
        <w:tabs>
          <w:tab w:val="left" w:pos="708"/>
        </w:tabs>
        <w:ind w:left="1020" w:right="-1" w:hanging="425"/>
        <w:rPr>
          <w:sz w:val="22"/>
          <w:szCs w:val="22"/>
        </w:rPr>
      </w:pPr>
    </w:p>
    <w:p w:rsidR="00951F79" w:rsidRPr="00E27C63" w:rsidRDefault="00951F79" w:rsidP="00951F79">
      <w:pPr>
        <w:pStyle w:val="Textodebloque"/>
        <w:tabs>
          <w:tab w:val="left" w:pos="426"/>
        </w:tabs>
        <w:ind w:left="0" w:right="-1"/>
        <w:rPr>
          <w:sz w:val="22"/>
          <w:szCs w:val="22"/>
        </w:rPr>
      </w:pPr>
      <w:r w:rsidRPr="00E27C63">
        <w:rPr>
          <w:sz w:val="22"/>
          <w:szCs w:val="22"/>
        </w:rPr>
        <w:t>7.1. Debe consignarse toda la información requerida.</w:t>
      </w:r>
    </w:p>
    <w:p w:rsidR="00951F79" w:rsidRPr="00E27C63" w:rsidRDefault="00951F79" w:rsidP="00951F79">
      <w:pPr>
        <w:pStyle w:val="Textodebloque"/>
        <w:tabs>
          <w:tab w:val="left" w:pos="426"/>
        </w:tabs>
        <w:ind w:left="595" w:right="-1"/>
        <w:rPr>
          <w:sz w:val="22"/>
          <w:szCs w:val="22"/>
        </w:rPr>
      </w:pPr>
    </w:p>
    <w:p w:rsidR="00951F79" w:rsidRPr="00E27C63" w:rsidRDefault="00951F79" w:rsidP="00951F79">
      <w:pPr>
        <w:pStyle w:val="Textodebloque"/>
        <w:tabs>
          <w:tab w:val="left" w:pos="426"/>
        </w:tabs>
        <w:ind w:left="426" w:right="-1" w:hanging="426"/>
        <w:rPr>
          <w:sz w:val="22"/>
          <w:szCs w:val="22"/>
        </w:rPr>
      </w:pPr>
      <w:r w:rsidRPr="00E27C63">
        <w:rPr>
          <w:sz w:val="22"/>
          <w:szCs w:val="22"/>
        </w:rPr>
        <w:t xml:space="preserve">7.2. Será suscrita por el deudor tributario, su representante legal acreditado en el RUC o apoderado, cuando el medio usado para la presentación así lo requiera. </w:t>
      </w:r>
    </w:p>
    <w:p w:rsidR="00951F79" w:rsidRPr="00E27C63" w:rsidRDefault="00951F79" w:rsidP="00951F79">
      <w:pPr>
        <w:pStyle w:val="Textodebloque"/>
        <w:tabs>
          <w:tab w:val="left" w:pos="426"/>
        </w:tabs>
        <w:ind w:left="0" w:right="-1"/>
        <w:rPr>
          <w:sz w:val="22"/>
          <w:szCs w:val="22"/>
        </w:rPr>
      </w:pPr>
    </w:p>
    <w:p w:rsidR="00951F79" w:rsidRPr="00E27C63" w:rsidRDefault="00951F79" w:rsidP="00951F79">
      <w:pPr>
        <w:pStyle w:val="Textodebloque"/>
        <w:tabs>
          <w:tab w:val="left" w:pos="708"/>
        </w:tabs>
        <w:ind w:left="426" w:right="-1" w:hanging="426"/>
        <w:rPr>
          <w:sz w:val="22"/>
          <w:szCs w:val="22"/>
        </w:rPr>
      </w:pPr>
      <w:r w:rsidRPr="00E27C63">
        <w:rPr>
          <w:sz w:val="22"/>
          <w:szCs w:val="22"/>
        </w:rPr>
        <w:t>7.3. Será presentada:</w:t>
      </w:r>
    </w:p>
    <w:p w:rsidR="00951F79" w:rsidRPr="00E27C63" w:rsidRDefault="00951F79" w:rsidP="00951F79">
      <w:pPr>
        <w:pStyle w:val="Textodebloque"/>
        <w:tabs>
          <w:tab w:val="left" w:pos="567"/>
        </w:tabs>
        <w:ind w:left="595" w:right="-1" w:hanging="595"/>
        <w:rPr>
          <w:sz w:val="22"/>
          <w:szCs w:val="22"/>
        </w:rPr>
      </w:pPr>
    </w:p>
    <w:p w:rsidR="00951F79" w:rsidRPr="00E27C63" w:rsidRDefault="00951F79" w:rsidP="00951F79">
      <w:pPr>
        <w:pStyle w:val="Textodebloque"/>
        <w:tabs>
          <w:tab w:val="left" w:pos="708"/>
        </w:tabs>
        <w:ind w:left="710" w:right="-1" w:hanging="284"/>
        <w:rPr>
          <w:sz w:val="22"/>
          <w:szCs w:val="22"/>
        </w:rPr>
      </w:pPr>
      <w:r w:rsidRPr="00E27C63">
        <w:rPr>
          <w:sz w:val="22"/>
          <w:szCs w:val="22"/>
        </w:rPr>
        <w:t xml:space="preserve">a) </w:t>
      </w:r>
      <w:r w:rsidRPr="00E27C63">
        <w:rPr>
          <w:sz w:val="22"/>
          <w:szCs w:val="22"/>
        </w:rPr>
        <w:tab/>
        <w:t>Al Fedatario Fiscalizador, al concluir la intervención. En este caso, el deudor tributario o representante legal acreditado en el RUC debe exhibir su documento de identidad original.</w:t>
      </w:r>
    </w:p>
    <w:p w:rsidR="00951F79" w:rsidRPr="00E27C63" w:rsidRDefault="00951F79" w:rsidP="00951F79">
      <w:pPr>
        <w:pStyle w:val="Textodebloque"/>
        <w:tabs>
          <w:tab w:val="left" w:pos="708"/>
        </w:tabs>
        <w:ind w:left="710" w:right="-1" w:hanging="284"/>
        <w:rPr>
          <w:sz w:val="22"/>
          <w:szCs w:val="22"/>
        </w:rPr>
      </w:pPr>
      <w:r w:rsidRPr="00E27C63">
        <w:rPr>
          <w:sz w:val="22"/>
          <w:szCs w:val="22"/>
        </w:rPr>
        <w:tab/>
      </w:r>
    </w:p>
    <w:p w:rsidR="00951F79" w:rsidRPr="00E27C63" w:rsidRDefault="00951F79" w:rsidP="00951F79">
      <w:pPr>
        <w:pStyle w:val="Textodebloque"/>
        <w:tabs>
          <w:tab w:val="left" w:pos="708"/>
        </w:tabs>
        <w:ind w:left="710" w:right="-1" w:hanging="284"/>
        <w:rPr>
          <w:sz w:val="22"/>
          <w:szCs w:val="22"/>
        </w:rPr>
      </w:pPr>
      <w:r w:rsidRPr="00E27C63">
        <w:rPr>
          <w:sz w:val="22"/>
          <w:szCs w:val="22"/>
        </w:rPr>
        <w:t>b) En la mesa de partes de la Intendencia</w:t>
      </w:r>
      <w:r w:rsidR="00073D32" w:rsidRPr="00E27C63">
        <w:rPr>
          <w:sz w:val="22"/>
          <w:szCs w:val="22"/>
        </w:rPr>
        <w:t xml:space="preserve"> u</w:t>
      </w:r>
      <w:r w:rsidRPr="00E27C63">
        <w:rPr>
          <w:sz w:val="22"/>
          <w:szCs w:val="22"/>
        </w:rPr>
        <w:t xml:space="preserve"> Oficina Zonal </w:t>
      </w:r>
      <w:r w:rsidR="00073D32" w:rsidRPr="00E27C63">
        <w:rPr>
          <w:sz w:val="22"/>
          <w:szCs w:val="22"/>
        </w:rPr>
        <w:t xml:space="preserve">de </w:t>
      </w:r>
      <w:r w:rsidRPr="00E27C63">
        <w:rPr>
          <w:sz w:val="22"/>
          <w:szCs w:val="22"/>
        </w:rPr>
        <w:t xml:space="preserve">la jurisdicción en que se realizó la intervención o </w:t>
      </w:r>
      <w:r w:rsidR="00073D32" w:rsidRPr="00E27C63">
        <w:rPr>
          <w:sz w:val="22"/>
          <w:szCs w:val="22"/>
        </w:rPr>
        <w:t>de la intendencia u oficina zonal a la que pertenece el contribuyente o en los centros de servicios al</w:t>
      </w:r>
      <w:r w:rsidR="000202BD" w:rsidRPr="00E27C63">
        <w:rPr>
          <w:sz w:val="22"/>
          <w:szCs w:val="22"/>
        </w:rPr>
        <w:t xml:space="preserve"> c</w:t>
      </w:r>
      <w:r w:rsidR="00073D32" w:rsidRPr="00E27C63">
        <w:rPr>
          <w:sz w:val="22"/>
          <w:szCs w:val="22"/>
        </w:rPr>
        <w:t xml:space="preserve">ontribuyente ubicados en la jurisdicción en que se realizó la intervención o del domicilio fiscal del </w:t>
      </w:r>
      <w:r w:rsidR="00073D32" w:rsidRPr="00E27C63">
        <w:rPr>
          <w:sz w:val="22"/>
          <w:szCs w:val="22"/>
        </w:rPr>
        <w:lastRenderedPageBreak/>
        <w:t>contribuyente;</w:t>
      </w:r>
      <w:r w:rsidRPr="00E27C63">
        <w:rPr>
          <w:sz w:val="22"/>
          <w:szCs w:val="22"/>
        </w:rPr>
        <w:t xml:space="preserve"> a partir del mismo día y hasta el quinto día hábil siguiente de levantada el Acta Probatoria respectiva o hasta el quinto día hábil siguiente de que surta efecto la notificación de la comunicación en la que se señale que ha incurrido en infracción.</w:t>
      </w:r>
    </w:p>
    <w:p w:rsidR="00951F79" w:rsidRPr="00E27C63" w:rsidRDefault="00951F79" w:rsidP="00951F79">
      <w:pPr>
        <w:pStyle w:val="Textodebloque"/>
        <w:tabs>
          <w:tab w:val="left" w:pos="708"/>
        </w:tabs>
        <w:ind w:left="710" w:right="-1" w:hanging="284"/>
        <w:rPr>
          <w:sz w:val="22"/>
          <w:szCs w:val="22"/>
        </w:rPr>
      </w:pPr>
    </w:p>
    <w:p w:rsidR="00A573E0" w:rsidRPr="00E27C63" w:rsidRDefault="00951F79" w:rsidP="00A573E0">
      <w:pPr>
        <w:pStyle w:val="Textodebloque"/>
        <w:tabs>
          <w:tab w:val="left" w:pos="708"/>
        </w:tabs>
        <w:ind w:left="710" w:right="-1"/>
        <w:rPr>
          <w:sz w:val="22"/>
          <w:szCs w:val="22"/>
        </w:rPr>
      </w:pPr>
      <w:r w:rsidRPr="00E27C63">
        <w:rPr>
          <w:sz w:val="22"/>
          <w:szCs w:val="22"/>
        </w:rPr>
        <w:t>En este caso, se debe adjuntar copia simple del documento de identidad a que se refiere el artículo 15 de la Resolución de Superintendencia N.° 210-2004/SUNAT y normas modificatoria</w:t>
      </w:r>
      <w:r w:rsidR="00A573E0" w:rsidRPr="00E27C63">
        <w:rPr>
          <w:sz w:val="22"/>
          <w:szCs w:val="22"/>
        </w:rPr>
        <w:t>s, cuando dicho documento sea distinto al documento nacional de identidad o al carné de extranjería.</w:t>
      </w:r>
    </w:p>
    <w:p w:rsidR="00A573E0" w:rsidRPr="00E27C63" w:rsidRDefault="00A573E0" w:rsidP="00A573E0">
      <w:pPr>
        <w:pStyle w:val="Textodebloque"/>
        <w:tabs>
          <w:tab w:val="left" w:pos="708"/>
        </w:tabs>
        <w:ind w:left="0" w:right="-1"/>
        <w:rPr>
          <w:i/>
          <w:color w:val="00B050"/>
          <w:szCs w:val="24"/>
        </w:rPr>
      </w:pPr>
    </w:p>
    <w:p w:rsidR="00A573E0" w:rsidRPr="00E27C63" w:rsidRDefault="00951F79" w:rsidP="00A573E0">
      <w:pPr>
        <w:pStyle w:val="Textodebloque"/>
        <w:tabs>
          <w:tab w:val="left" w:pos="708"/>
        </w:tabs>
        <w:ind w:left="426" w:right="-1"/>
        <w:rPr>
          <w:sz w:val="22"/>
          <w:szCs w:val="22"/>
        </w:rPr>
      </w:pPr>
      <w:r w:rsidRPr="00E27C63">
        <w:rPr>
          <w:sz w:val="22"/>
          <w:szCs w:val="22"/>
        </w:rPr>
        <w:t xml:space="preserve">En los supuestos señalados en los incisos a) y b), si el Acta de Reconocimiento es suscrita por el apoderado, </w:t>
      </w:r>
      <w:r w:rsidR="00A573E0" w:rsidRPr="00E27C63">
        <w:rPr>
          <w:sz w:val="22"/>
          <w:szCs w:val="22"/>
        </w:rPr>
        <w:t xml:space="preserve">se </w:t>
      </w:r>
      <w:r w:rsidRPr="00E27C63">
        <w:rPr>
          <w:sz w:val="22"/>
          <w:szCs w:val="22"/>
        </w:rPr>
        <w:t xml:space="preserve">debe acreditar su representación adjuntando carta poder específica con firma legalizada notarialmente. Además, </w:t>
      </w:r>
      <w:r w:rsidR="00A573E0" w:rsidRPr="00E27C63">
        <w:rPr>
          <w:sz w:val="22"/>
          <w:szCs w:val="22"/>
        </w:rPr>
        <w:t xml:space="preserve">en el supuesto señalado en el inciso b), se </w:t>
      </w:r>
      <w:r w:rsidRPr="00E27C63">
        <w:rPr>
          <w:sz w:val="22"/>
          <w:szCs w:val="22"/>
        </w:rPr>
        <w:t>debe presentar copia simple de</w:t>
      </w:r>
      <w:r w:rsidR="00A573E0" w:rsidRPr="00E27C63">
        <w:rPr>
          <w:sz w:val="22"/>
          <w:szCs w:val="22"/>
        </w:rPr>
        <w:t>l</w:t>
      </w:r>
      <w:r w:rsidRPr="00E27C63">
        <w:rPr>
          <w:sz w:val="22"/>
          <w:szCs w:val="22"/>
        </w:rPr>
        <w:t xml:space="preserve"> documento de identidad a que se refiere el artículo 15 de la Resolución de Superintendencia N.° 210-2004/SUNAT y normas modificatorias,</w:t>
      </w:r>
      <w:r w:rsidR="00A573E0" w:rsidRPr="00E27C63">
        <w:rPr>
          <w:sz w:val="22"/>
          <w:szCs w:val="22"/>
        </w:rPr>
        <w:t xml:space="preserve"> cuando dicho documento sea distinto al documento nacional de identidad o al carné de extranjería.</w:t>
      </w:r>
    </w:p>
    <w:p w:rsidR="00951F79" w:rsidRPr="00E27C63" w:rsidRDefault="00951F79" w:rsidP="00A573E0">
      <w:pPr>
        <w:pStyle w:val="Textodebloque"/>
        <w:ind w:left="426" w:right="-1"/>
        <w:rPr>
          <w:sz w:val="22"/>
          <w:szCs w:val="22"/>
        </w:rPr>
      </w:pPr>
    </w:p>
    <w:p w:rsidR="00951F79" w:rsidRPr="00E27C63" w:rsidRDefault="00951F79" w:rsidP="00951F79">
      <w:pPr>
        <w:overflowPunct/>
        <w:ind w:right="-1"/>
        <w:jc w:val="both"/>
        <w:rPr>
          <w:rFonts w:cs="Arial"/>
          <w:sz w:val="22"/>
          <w:szCs w:val="22"/>
        </w:rPr>
      </w:pPr>
      <w:r w:rsidRPr="00E27C63">
        <w:rPr>
          <w:rFonts w:cs="Arial"/>
          <w:sz w:val="22"/>
          <w:szCs w:val="22"/>
        </w:rPr>
        <w:t>De no cumplirse con lo indicado en los numerales 7.1 o 7.2, o cuando el Acta de Reconocimiento se presente luego de los cinco (5) días hábiles siguientes a la fecha de levantamiento del Acta Probatoria o de que surta efecto la notificación de la comunicación en la que se señale que ha incurrido en infracción, según sea el caso, la referida acta se tendrá por no presentada.”</w:t>
      </w:r>
    </w:p>
    <w:p w:rsidR="00951F79" w:rsidRPr="00E27C63" w:rsidRDefault="00951F79" w:rsidP="00951F79">
      <w:pPr>
        <w:overflowPunct/>
        <w:ind w:right="-1"/>
        <w:jc w:val="both"/>
        <w:rPr>
          <w:rFonts w:cs="Arial"/>
          <w:sz w:val="22"/>
          <w:szCs w:val="22"/>
        </w:rPr>
      </w:pPr>
    </w:p>
    <w:p w:rsidR="00951F79" w:rsidRPr="00E27C63" w:rsidRDefault="00951F79" w:rsidP="00951F79">
      <w:pPr>
        <w:pStyle w:val="Textodebloque"/>
        <w:ind w:left="0" w:right="-1"/>
        <w:rPr>
          <w:bCs/>
          <w:sz w:val="22"/>
          <w:szCs w:val="22"/>
        </w:rPr>
      </w:pPr>
      <w:r w:rsidRPr="00E27C63">
        <w:rPr>
          <w:bCs/>
          <w:sz w:val="22"/>
          <w:szCs w:val="22"/>
        </w:rPr>
        <w:t>“Artículo 8. Segunda oportunidad y siguientes</w:t>
      </w:r>
    </w:p>
    <w:p w:rsidR="00951F79" w:rsidRPr="00E27C63" w:rsidRDefault="00951F79" w:rsidP="00951F79">
      <w:pPr>
        <w:pStyle w:val="Textodebloque"/>
        <w:ind w:left="0" w:right="-1" w:firstLine="680"/>
        <w:rPr>
          <w:sz w:val="22"/>
          <w:szCs w:val="22"/>
        </w:rPr>
      </w:pPr>
    </w:p>
    <w:p w:rsidR="00951F79" w:rsidRPr="00E27C63" w:rsidRDefault="00951F79" w:rsidP="00951F79">
      <w:pPr>
        <w:pStyle w:val="Textodebloque"/>
        <w:ind w:left="0" w:right="-1"/>
        <w:rPr>
          <w:sz w:val="22"/>
          <w:szCs w:val="22"/>
        </w:rPr>
      </w:pPr>
      <w:r w:rsidRPr="00E27C63">
        <w:rPr>
          <w:sz w:val="22"/>
          <w:szCs w:val="22"/>
        </w:rPr>
        <w:t>Para efectuar el cómputo de la frecuencia a partir de la segunda oportunidad en que se cometen o detectan, en los últimos cuatro años, las infracciones comprendidas en el Régimen, se tendrá en cuenta lo siguiente:</w:t>
      </w:r>
    </w:p>
    <w:p w:rsidR="00951F79" w:rsidRPr="00E27C63" w:rsidRDefault="00951F79" w:rsidP="00951F79">
      <w:pPr>
        <w:pStyle w:val="Textodebloque"/>
        <w:ind w:left="0" w:right="-1" w:firstLine="680"/>
        <w:rPr>
          <w:sz w:val="22"/>
          <w:szCs w:val="22"/>
        </w:rPr>
      </w:pPr>
    </w:p>
    <w:p w:rsidR="00951F79" w:rsidRPr="00E27C63" w:rsidRDefault="00951F79" w:rsidP="00951F79">
      <w:pPr>
        <w:pStyle w:val="Textodebloque"/>
        <w:tabs>
          <w:tab w:val="left" w:pos="426"/>
        </w:tabs>
        <w:ind w:left="0" w:right="-1"/>
        <w:rPr>
          <w:sz w:val="22"/>
          <w:szCs w:val="22"/>
        </w:rPr>
      </w:pPr>
      <w:r w:rsidRPr="00E27C63">
        <w:rPr>
          <w:sz w:val="22"/>
          <w:szCs w:val="22"/>
        </w:rPr>
        <w:t>8.1.</w:t>
      </w:r>
      <w:r w:rsidRPr="00E27C63">
        <w:rPr>
          <w:sz w:val="22"/>
          <w:szCs w:val="22"/>
        </w:rPr>
        <w:tab/>
        <w:t>Segunda oportunidad y siguientes:</w:t>
      </w:r>
    </w:p>
    <w:p w:rsidR="00951F79" w:rsidRPr="00E27C63" w:rsidRDefault="00951F79" w:rsidP="00951F79">
      <w:pPr>
        <w:pStyle w:val="Textodebloque"/>
        <w:ind w:left="0" w:right="-1" w:firstLine="680"/>
        <w:rPr>
          <w:sz w:val="22"/>
          <w:szCs w:val="22"/>
        </w:rPr>
      </w:pPr>
    </w:p>
    <w:p w:rsidR="00951F79" w:rsidRPr="00E27C63" w:rsidRDefault="00951F79" w:rsidP="00951F79">
      <w:pPr>
        <w:pStyle w:val="Textodebloque"/>
        <w:ind w:left="426" w:right="-1"/>
        <w:rPr>
          <w:sz w:val="22"/>
          <w:szCs w:val="22"/>
        </w:rPr>
      </w:pPr>
      <w:r w:rsidRPr="00E27C63">
        <w:rPr>
          <w:sz w:val="22"/>
          <w:szCs w:val="22"/>
        </w:rPr>
        <w:t>El infractor incurre en infracción en una segunda oportunidad si, a la fecha en que se comete o detecta la infracción que se acoge al Régimen, existe, en los últimos cuatro años, una Resolución de Cierre firme y consentida en la vía administrativa, tratándose de la infracción tipificada en el numeral 1 del artículo 174 del Código Tributario o, una Resolución de Multa firme y consentida en la vía administrativa o una infracción reconocida mediante Acta de Reconocimiento, tratándose de las infracciones tipificadas en los numerales 2 y 3 del artículo 174 del citado código.</w:t>
      </w:r>
    </w:p>
    <w:p w:rsidR="00951F79" w:rsidRPr="00E27C63" w:rsidRDefault="00951F79" w:rsidP="00951F79">
      <w:pPr>
        <w:pStyle w:val="Textodebloque"/>
        <w:ind w:left="0" w:right="-1"/>
        <w:rPr>
          <w:sz w:val="22"/>
          <w:szCs w:val="22"/>
        </w:rPr>
      </w:pPr>
    </w:p>
    <w:p w:rsidR="00951F79" w:rsidRPr="00E27C63" w:rsidRDefault="00951F79" w:rsidP="00951F79">
      <w:pPr>
        <w:pStyle w:val="Textodebloque"/>
        <w:tabs>
          <w:tab w:val="num" w:pos="1105"/>
        </w:tabs>
        <w:ind w:left="426" w:right="-1"/>
        <w:rPr>
          <w:sz w:val="22"/>
          <w:szCs w:val="22"/>
        </w:rPr>
      </w:pPr>
      <w:r w:rsidRPr="00E27C63">
        <w:rPr>
          <w:sz w:val="22"/>
          <w:szCs w:val="22"/>
        </w:rPr>
        <w:t xml:space="preserve">El infractor incurre en infracción en una tercera oportunidad si, a la fecha en que se comete o detecta la infracción que se acoge al Régimen, existe en los últimos cuatro </w:t>
      </w:r>
      <w:r w:rsidRPr="00E27C63">
        <w:rPr>
          <w:sz w:val="22"/>
          <w:szCs w:val="22"/>
        </w:rPr>
        <w:lastRenderedPageBreak/>
        <w:t xml:space="preserve">años, según el caso, dos sanciones firmes y consentidas en la vía administrativa o una sanción firme y consentida y una infracción reconocida. Las oportunidades siguientes se producirán cuando exista una sanción firme y consentida adicional en ese lapso. </w:t>
      </w:r>
    </w:p>
    <w:p w:rsidR="00951F79" w:rsidRPr="00E27C63" w:rsidRDefault="00951F79" w:rsidP="00951F79">
      <w:pPr>
        <w:pStyle w:val="Textodebloque"/>
        <w:tabs>
          <w:tab w:val="num" w:pos="1105"/>
        </w:tabs>
        <w:ind w:left="1105" w:right="-1"/>
        <w:rPr>
          <w:sz w:val="22"/>
          <w:szCs w:val="22"/>
        </w:rPr>
      </w:pPr>
    </w:p>
    <w:p w:rsidR="00951F79" w:rsidRPr="00E27C63" w:rsidRDefault="00951F79" w:rsidP="00951F79">
      <w:pPr>
        <w:pStyle w:val="Textodebloque"/>
        <w:tabs>
          <w:tab w:val="left" w:pos="426"/>
          <w:tab w:val="left" w:pos="595"/>
        </w:tabs>
        <w:ind w:left="0" w:right="-1"/>
        <w:rPr>
          <w:sz w:val="22"/>
          <w:szCs w:val="22"/>
        </w:rPr>
      </w:pPr>
      <w:r w:rsidRPr="00E27C63">
        <w:rPr>
          <w:sz w:val="22"/>
          <w:szCs w:val="22"/>
        </w:rPr>
        <w:t>8.2.</w:t>
      </w:r>
      <w:r w:rsidRPr="00E27C63">
        <w:rPr>
          <w:sz w:val="22"/>
          <w:szCs w:val="22"/>
        </w:rPr>
        <w:tab/>
        <w:t>Infracciones con la misma tipificación</w:t>
      </w:r>
    </w:p>
    <w:p w:rsidR="00951F79" w:rsidRPr="00E27C63" w:rsidRDefault="00951F79" w:rsidP="00951F79">
      <w:pPr>
        <w:pStyle w:val="Textodebloque"/>
        <w:tabs>
          <w:tab w:val="num" w:pos="1105"/>
        </w:tabs>
        <w:ind w:left="1105" w:right="-1"/>
        <w:rPr>
          <w:sz w:val="22"/>
          <w:szCs w:val="22"/>
        </w:rPr>
      </w:pPr>
    </w:p>
    <w:p w:rsidR="00951F79" w:rsidRPr="00E27C63" w:rsidRDefault="00951F79" w:rsidP="00951F79">
      <w:pPr>
        <w:pStyle w:val="Textodebloque"/>
        <w:tabs>
          <w:tab w:val="left" w:pos="708"/>
        </w:tabs>
        <w:ind w:left="426" w:right="-1"/>
        <w:rPr>
          <w:sz w:val="22"/>
          <w:szCs w:val="22"/>
          <w:lang w:val="es-PE"/>
        </w:rPr>
      </w:pPr>
      <w:r w:rsidRPr="00E27C63">
        <w:rPr>
          <w:sz w:val="22"/>
          <w:szCs w:val="22"/>
        </w:rPr>
        <w:t xml:space="preserve">La infracción a sancionar y las infracciones cometidas o detectadas con anterioridad deben tener la misma tipificación, siendo de aplicación lo señalado en el numeral 6.1. del </w:t>
      </w:r>
      <w:r w:rsidR="00C37ECC" w:rsidRPr="00E27C63">
        <w:rPr>
          <w:sz w:val="22"/>
          <w:szCs w:val="22"/>
        </w:rPr>
        <w:t>a</w:t>
      </w:r>
      <w:r w:rsidRPr="00E27C63">
        <w:rPr>
          <w:sz w:val="22"/>
          <w:szCs w:val="22"/>
        </w:rPr>
        <w:t xml:space="preserve">rtículo 6, considerando adicionalmente que existe la misma tipificación aun cuando </w:t>
      </w:r>
      <w:r w:rsidRPr="00E27C63">
        <w:rPr>
          <w:sz w:val="22"/>
          <w:szCs w:val="22"/>
          <w:lang w:val="es-PE"/>
        </w:rPr>
        <w:t>la sanción sea distinta cada vez o la sanción de cierre que corresponda se aplique en cada ocasión respecto de un establecimiento distinto.</w:t>
      </w:r>
    </w:p>
    <w:p w:rsidR="00951F79" w:rsidRPr="00E27C63" w:rsidRDefault="00951F79" w:rsidP="00951F79">
      <w:pPr>
        <w:pStyle w:val="Textodebloque"/>
        <w:tabs>
          <w:tab w:val="left" w:pos="708"/>
        </w:tabs>
        <w:ind w:left="0" w:right="-1"/>
        <w:rPr>
          <w:sz w:val="22"/>
          <w:szCs w:val="22"/>
          <w:lang w:val="es-PE"/>
        </w:rPr>
      </w:pPr>
    </w:p>
    <w:p w:rsidR="00951F79" w:rsidRPr="00E27C63" w:rsidRDefault="00951F79" w:rsidP="00951F79">
      <w:pPr>
        <w:pStyle w:val="Textodebloque"/>
        <w:tabs>
          <w:tab w:val="left" w:pos="426"/>
        </w:tabs>
        <w:ind w:left="0" w:right="-1"/>
        <w:rPr>
          <w:sz w:val="22"/>
          <w:szCs w:val="22"/>
        </w:rPr>
      </w:pPr>
      <w:r w:rsidRPr="00E27C63">
        <w:rPr>
          <w:sz w:val="22"/>
          <w:szCs w:val="22"/>
        </w:rPr>
        <w:t>8.3.</w:t>
      </w:r>
      <w:r w:rsidRPr="00E27C63">
        <w:rPr>
          <w:sz w:val="22"/>
          <w:szCs w:val="22"/>
        </w:rPr>
        <w:tab/>
        <w:t>Infracciones cuyas Resoluciones de Multa o Cierre están consentidas y firmes</w:t>
      </w:r>
    </w:p>
    <w:p w:rsidR="00951F79" w:rsidRPr="00E27C63" w:rsidRDefault="00951F79" w:rsidP="00951F79">
      <w:pPr>
        <w:pStyle w:val="Textodebloque"/>
        <w:tabs>
          <w:tab w:val="num" w:pos="1105"/>
        </w:tabs>
        <w:ind w:left="1105" w:right="-1" w:hanging="425"/>
        <w:rPr>
          <w:sz w:val="22"/>
          <w:szCs w:val="22"/>
        </w:rPr>
      </w:pPr>
    </w:p>
    <w:p w:rsidR="00951F79" w:rsidRPr="00E27C63" w:rsidRDefault="00951F79" w:rsidP="00951F79">
      <w:pPr>
        <w:pStyle w:val="Textodebloque"/>
        <w:tabs>
          <w:tab w:val="num" w:pos="1105"/>
        </w:tabs>
        <w:ind w:left="426" w:right="-1"/>
        <w:rPr>
          <w:sz w:val="22"/>
          <w:szCs w:val="22"/>
        </w:rPr>
      </w:pPr>
      <w:r w:rsidRPr="00E27C63">
        <w:rPr>
          <w:sz w:val="22"/>
          <w:szCs w:val="22"/>
        </w:rPr>
        <w:t xml:space="preserve">Las Resoluciones de Multa o Cierre deben estar consentidas y firmes considerando lo previsto en el numeral 6.2 del </w:t>
      </w:r>
      <w:r w:rsidR="00C37ECC" w:rsidRPr="00E27C63">
        <w:rPr>
          <w:sz w:val="22"/>
          <w:szCs w:val="22"/>
        </w:rPr>
        <w:t>a</w:t>
      </w:r>
      <w:r w:rsidRPr="00E27C63">
        <w:rPr>
          <w:sz w:val="22"/>
          <w:szCs w:val="22"/>
        </w:rPr>
        <w:t>rtículo 6.</w:t>
      </w:r>
    </w:p>
    <w:p w:rsidR="00951F79" w:rsidRPr="00E27C63" w:rsidRDefault="00951F79" w:rsidP="00951F79">
      <w:pPr>
        <w:pStyle w:val="Textodebloque"/>
        <w:ind w:left="595" w:right="-1"/>
        <w:rPr>
          <w:sz w:val="22"/>
          <w:szCs w:val="22"/>
        </w:rPr>
      </w:pPr>
    </w:p>
    <w:p w:rsidR="00951F79" w:rsidRPr="00E27C63" w:rsidRDefault="00951F79" w:rsidP="00951F79">
      <w:pPr>
        <w:pStyle w:val="Textodebloque"/>
        <w:tabs>
          <w:tab w:val="left" w:pos="426"/>
        </w:tabs>
        <w:ind w:left="0" w:right="-1"/>
        <w:rPr>
          <w:sz w:val="22"/>
          <w:szCs w:val="22"/>
        </w:rPr>
      </w:pPr>
      <w:r w:rsidRPr="00E27C63">
        <w:rPr>
          <w:sz w:val="22"/>
          <w:szCs w:val="22"/>
        </w:rPr>
        <w:t>8.4.</w:t>
      </w:r>
      <w:r w:rsidRPr="00E27C63">
        <w:rPr>
          <w:sz w:val="22"/>
          <w:szCs w:val="22"/>
        </w:rPr>
        <w:tab/>
        <w:t>Últimos cuatro años</w:t>
      </w:r>
    </w:p>
    <w:p w:rsidR="00951F79" w:rsidRPr="00E27C63" w:rsidRDefault="00951F79" w:rsidP="00951F79">
      <w:pPr>
        <w:pStyle w:val="Textodebloque"/>
        <w:tabs>
          <w:tab w:val="left" w:pos="708"/>
        </w:tabs>
        <w:ind w:left="0" w:right="-1"/>
        <w:rPr>
          <w:sz w:val="22"/>
          <w:szCs w:val="22"/>
        </w:rPr>
      </w:pPr>
    </w:p>
    <w:p w:rsidR="00951F79" w:rsidRPr="00E27C63" w:rsidRDefault="00951F79" w:rsidP="00951F79">
      <w:pPr>
        <w:pStyle w:val="Textodebloque"/>
        <w:tabs>
          <w:tab w:val="left" w:pos="708"/>
        </w:tabs>
        <w:ind w:left="426" w:right="-1"/>
        <w:rPr>
          <w:sz w:val="22"/>
          <w:szCs w:val="22"/>
        </w:rPr>
      </w:pPr>
      <w:r w:rsidRPr="00E27C63">
        <w:rPr>
          <w:sz w:val="22"/>
          <w:szCs w:val="22"/>
        </w:rPr>
        <w:t xml:space="preserve">Cada infractor computará los últimos cuatro años teniendo en cuenta lo señalado en el numeral 6.4 del artículo 6. </w:t>
      </w:r>
    </w:p>
    <w:p w:rsidR="00951F79" w:rsidRPr="00E27C63" w:rsidRDefault="00951F79" w:rsidP="00951F79">
      <w:pPr>
        <w:pStyle w:val="Textodebloque"/>
        <w:ind w:left="595" w:right="-1"/>
        <w:rPr>
          <w:sz w:val="22"/>
          <w:szCs w:val="22"/>
        </w:rPr>
      </w:pPr>
    </w:p>
    <w:p w:rsidR="00951F79" w:rsidRPr="00E27C63" w:rsidRDefault="00951F79" w:rsidP="00951F79">
      <w:pPr>
        <w:pStyle w:val="Textodebloque"/>
        <w:tabs>
          <w:tab w:val="left" w:pos="708"/>
        </w:tabs>
        <w:ind w:left="0" w:right="-1"/>
        <w:rPr>
          <w:sz w:val="22"/>
          <w:szCs w:val="22"/>
        </w:rPr>
      </w:pPr>
      <w:r w:rsidRPr="00E27C63">
        <w:rPr>
          <w:sz w:val="22"/>
          <w:szCs w:val="22"/>
        </w:rPr>
        <w:t>Los Anexos A y B contienen la sanción de multa, cierre y la multa que sustituye al cierre graduadas en virtud al presente artículo, teniendo en cuenta lo siguiente:</w:t>
      </w:r>
    </w:p>
    <w:p w:rsidR="00951F79" w:rsidRPr="00E27C63" w:rsidRDefault="00951F79" w:rsidP="00951F79">
      <w:pPr>
        <w:pStyle w:val="Textodebloque"/>
        <w:tabs>
          <w:tab w:val="left" w:pos="708"/>
        </w:tabs>
        <w:ind w:left="0" w:right="-1"/>
        <w:rPr>
          <w:sz w:val="22"/>
          <w:szCs w:val="22"/>
        </w:rPr>
      </w:pPr>
    </w:p>
    <w:p w:rsidR="00951F79" w:rsidRPr="00E27C63" w:rsidRDefault="00951F79" w:rsidP="00951F79">
      <w:pPr>
        <w:pStyle w:val="Textodebloque"/>
        <w:numPr>
          <w:ilvl w:val="0"/>
          <w:numId w:val="2"/>
        </w:numPr>
        <w:tabs>
          <w:tab w:val="left" w:pos="708"/>
        </w:tabs>
        <w:ind w:left="360" w:right="-1"/>
        <w:rPr>
          <w:sz w:val="22"/>
          <w:szCs w:val="22"/>
        </w:rPr>
      </w:pPr>
      <w:r w:rsidRPr="00E27C63">
        <w:rPr>
          <w:sz w:val="22"/>
          <w:szCs w:val="22"/>
        </w:rPr>
        <w:t>Hasta la segunda oportunidad, en el caso de la infracción tipificada en el numeral 1 del artículo 174 del Código Tributario.</w:t>
      </w:r>
    </w:p>
    <w:p w:rsidR="00951F79" w:rsidRPr="00E27C63" w:rsidRDefault="00951F79" w:rsidP="00951F79">
      <w:pPr>
        <w:pStyle w:val="Textodebloque"/>
        <w:tabs>
          <w:tab w:val="left" w:pos="708"/>
        </w:tabs>
        <w:ind w:left="360" w:right="-1"/>
        <w:rPr>
          <w:sz w:val="22"/>
          <w:szCs w:val="22"/>
        </w:rPr>
      </w:pPr>
    </w:p>
    <w:p w:rsidR="00951F79" w:rsidRPr="00E27C63" w:rsidRDefault="00951F79" w:rsidP="00951F79">
      <w:pPr>
        <w:pStyle w:val="Textodebloque"/>
        <w:numPr>
          <w:ilvl w:val="0"/>
          <w:numId w:val="2"/>
        </w:numPr>
        <w:tabs>
          <w:tab w:val="left" w:pos="708"/>
        </w:tabs>
        <w:ind w:left="360" w:right="-1"/>
        <w:rPr>
          <w:sz w:val="22"/>
          <w:szCs w:val="22"/>
        </w:rPr>
      </w:pPr>
      <w:r w:rsidRPr="00E27C63">
        <w:rPr>
          <w:sz w:val="22"/>
          <w:szCs w:val="22"/>
        </w:rPr>
        <w:t xml:space="preserve">Hasta la tercera oportunidad, en el caso de las infracciones tipificadas en los numerales 2 y 3 del artículo 174 del Código Tributario. </w:t>
      </w:r>
    </w:p>
    <w:p w:rsidR="00951F79" w:rsidRPr="00E27C63" w:rsidRDefault="00951F79" w:rsidP="00951F79">
      <w:pPr>
        <w:pStyle w:val="Textodebloque"/>
        <w:tabs>
          <w:tab w:val="left" w:pos="708"/>
        </w:tabs>
        <w:ind w:left="360" w:right="-1"/>
        <w:rPr>
          <w:sz w:val="22"/>
          <w:szCs w:val="22"/>
        </w:rPr>
      </w:pPr>
    </w:p>
    <w:p w:rsidR="00951F79" w:rsidRPr="00E27C63" w:rsidRDefault="00951F79" w:rsidP="00951F79">
      <w:pPr>
        <w:pStyle w:val="Textodebloque"/>
        <w:tabs>
          <w:tab w:val="left" w:pos="708"/>
        </w:tabs>
        <w:ind w:left="0" w:right="-1"/>
        <w:rPr>
          <w:sz w:val="22"/>
          <w:szCs w:val="22"/>
        </w:rPr>
      </w:pPr>
      <w:r w:rsidRPr="00E27C63">
        <w:rPr>
          <w:sz w:val="22"/>
          <w:szCs w:val="22"/>
        </w:rPr>
        <w:t>A partir de la tercera o cuarta oportunidad, según sea el caso, no se tendrá derecho al beneficio de la gradualidad y se aplicará la sanción máxima que prevé el Código Tributario.”</w:t>
      </w:r>
    </w:p>
    <w:p w:rsidR="00951F79" w:rsidRPr="00E27C63" w:rsidRDefault="00951F79" w:rsidP="00951F79">
      <w:pPr>
        <w:pStyle w:val="Textodebloque"/>
        <w:ind w:left="0" w:right="-1"/>
        <w:rPr>
          <w:b/>
          <w:bCs/>
          <w:sz w:val="22"/>
          <w:szCs w:val="22"/>
        </w:rPr>
      </w:pPr>
    </w:p>
    <w:p w:rsidR="00006963" w:rsidRPr="00E27C63" w:rsidRDefault="00006963" w:rsidP="00951F79">
      <w:pPr>
        <w:ind w:left="425" w:hanging="425"/>
        <w:jc w:val="both"/>
        <w:rPr>
          <w:rFonts w:cs="Arial"/>
          <w:b/>
          <w:bCs/>
          <w:sz w:val="22"/>
          <w:szCs w:val="22"/>
        </w:rPr>
      </w:pPr>
      <w:r w:rsidRPr="00E27C63">
        <w:rPr>
          <w:rFonts w:cs="Arial"/>
          <w:b/>
          <w:bCs/>
          <w:sz w:val="22"/>
          <w:szCs w:val="22"/>
        </w:rPr>
        <w:t xml:space="preserve">Artículo 3. </w:t>
      </w:r>
      <w:r w:rsidRPr="00E27C63">
        <w:rPr>
          <w:rFonts w:cs="Arial"/>
          <w:b/>
          <w:sz w:val="22"/>
          <w:szCs w:val="22"/>
        </w:rPr>
        <w:t>MODIFICACIÓN DE ANEXOS DEL REGLAMENTO</w:t>
      </w:r>
    </w:p>
    <w:p w:rsidR="00006963" w:rsidRPr="00E27C63" w:rsidRDefault="00006963" w:rsidP="00951F79">
      <w:pPr>
        <w:ind w:left="425" w:hanging="425"/>
        <w:jc w:val="both"/>
        <w:rPr>
          <w:rFonts w:cs="Arial"/>
          <w:sz w:val="22"/>
          <w:szCs w:val="22"/>
        </w:rPr>
      </w:pPr>
    </w:p>
    <w:p w:rsidR="00951F79" w:rsidRPr="00E27C63" w:rsidRDefault="00006963" w:rsidP="00951F79">
      <w:pPr>
        <w:ind w:left="425" w:hanging="425"/>
        <w:jc w:val="both"/>
        <w:rPr>
          <w:rFonts w:cs="Arial"/>
          <w:b/>
          <w:sz w:val="22"/>
          <w:szCs w:val="22"/>
        </w:rPr>
      </w:pPr>
      <w:r w:rsidRPr="00E27C63">
        <w:rPr>
          <w:rFonts w:cs="Arial"/>
          <w:sz w:val="22"/>
          <w:szCs w:val="22"/>
        </w:rPr>
        <w:t xml:space="preserve">3.1. </w:t>
      </w:r>
      <w:r w:rsidR="00951F79" w:rsidRPr="00E27C63">
        <w:rPr>
          <w:rFonts w:cs="Arial"/>
          <w:sz w:val="22"/>
          <w:szCs w:val="22"/>
        </w:rPr>
        <w:t xml:space="preserve">Modifíquese el anexo A </w:t>
      </w:r>
      <w:r w:rsidRPr="00E27C63">
        <w:rPr>
          <w:rFonts w:cs="Arial"/>
          <w:sz w:val="22"/>
          <w:szCs w:val="22"/>
        </w:rPr>
        <w:t>del Reglamento</w:t>
      </w:r>
      <w:r w:rsidR="00951F79" w:rsidRPr="00E27C63">
        <w:rPr>
          <w:rFonts w:cs="Arial"/>
          <w:sz w:val="22"/>
          <w:szCs w:val="22"/>
        </w:rPr>
        <w:t>, en los términos indicados en el anexo 1</w:t>
      </w:r>
      <w:r w:rsidR="00C2379A" w:rsidRPr="00E27C63">
        <w:rPr>
          <w:rFonts w:cs="Arial"/>
          <w:sz w:val="22"/>
          <w:szCs w:val="22"/>
        </w:rPr>
        <w:t xml:space="preserve"> de la presente resolución</w:t>
      </w:r>
      <w:r w:rsidR="00951F79" w:rsidRPr="00E27C63">
        <w:rPr>
          <w:rFonts w:cs="Arial"/>
          <w:sz w:val="22"/>
          <w:szCs w:val="22"/>
        </w:rPr>
        <w:t>.</w:t>
      </w:r>
    </w:p>
    <w:p w:rsidR="00951F79" w:rsidRPr="00E27C63" w:rsidRDefault="00951F79" w:rsidP="00951F79">
      <w:pPr>
        <w:ind w:left="425" w:hanging="425"/>
        <w:jc w:val="both"/>
        <w:rPr>
          <w:rFonts w:cs="Arial"/>
          <w:sz w:val="22"/>
          <w:szCs w:val="22"/>
        </w:rPr>
      </w:pPr>
    </w:p>
    <w:p w:rsidR="00951F79" w:rsidRPr="00E27C63" w:rsidRDefault="00006963" w:rsidP="00951F79">
      <w:pPr>
        <w:ind w:left="425" w:hanging="425"/>
        <w:jc w:val="both"/>
        <w:rPr>
          <w:rFonts w:cs="Arial"/>
          <w:sz w:val="22"/>
          <w:szCs w:val="22"/>
        </w:rPr>
      </w:pPr>
      <w:r w:rsidRPr="00E27C63">
        <w:rPr>
          <w:rFonts w:cs="Arial"/>
          <w:sz w:val="22"/>
          <w:szCs w:val="22"/>
        </w:rPr>
        <w:t>3</w:t>
      </w:r>
      <w:r w:rsidR="00951F79" w:rsidRPr="00E27C63">
        <w:rPr>
          <w:rFonts w:cs="Arial"/>
          <w:sz w:val="22"/>
          <w:szCs w:val="22"/>
        </w:rPr>
        <w:t>.</w:t>
      </w:r>
      <w:r w:rsidR="00AE7A79" w:rsidRPr="00E27C63">
        <w:rPr>
          <w:rFonts w:cs="Arial"/>
          <w:sz w:val="22"/>
          <w:szCs w:val="22"/>
        </w:rPr>
        <w:t>2</w:t>
      </w:r>
      <w:r w:rsidR="00951F79" w:rsidRPr="00E27C63">
        <w:rPr>
          <w:rFonts w:cs="Arial"/>
          <w:sz w:val="22"/>
          <w:szCs w:val="22"/>
        </w:rPr>
        <w:t>.</w:t>
      </w:r>
      <w:r w:rsidR="00951F79" w:rsidRPr="00E27C63">
        <w:rPr>
          <w:rFonts w:cs="Arial"/>
          <w:sz w:val="22"/>
          <w:szCs w:val="22"/>
        </w:rPr>
        <w:tab/>
        <w:t xml:space="preserve">Incorpórese una octava fila en el </w:t>
      </w:r>
      <w:r w:rsidR="00C2379A" w:rsidRPr="00E27C63">
        <w:rPr>
          <w:rFonts w:cs="Arial"/>
          <w:sz w:val="22"/>
          <w:szCs w:val="22"/>
        </w:rPr>
        <w:t xml:space="preserve">rubro correspondiente al artículo 175 del Código Tributario del </w:t>
      </w:r>
      <w:r w:rsidR="00951F79" w:rsidRPr="00E27C63">
        <w:rPr>
          <w:rFonts w:cs="Arial"/>
          <w:sz w:val="22"/>
          <w:szCs w:val="22"/>
        </w:rPr>
        <w:t xml:space="preserve">anexo I </w:t>
      </w:r>
      <w:r w:rsidRPr="00E27C63">
        <w:rPr>
          <w:rFonts w:cs="Arial"/>
          <w:sz w:val="22"/>
          <w:szCs w:val="22"/>
        </w:rPr>
        <w:t>del Reglamento</w:t>
      </w:r>
      <w:r w:rsidR="00951F79" w:rsidRPr="00E27C63">
        <w:rPr>
          <w:rFonts w:cs="Arial"/>
          <w:sz w:val="22"/>
          <w:szCs w:val="22"/>
        </w:rPr>
        <w:t>, en los términos siguientes:</w:t>
      </w:r>
    </w:p>
    <w:p w:rsidR="00951F79" w:rsidRPr="00E27C63" w:rsidRDefault="00951F79" w:rsidP="00951F79">
      <w:pPr>
        <w:ind w:left="425" w:hanging="425"/>
        <w:jc w:val="both"/>
        <w:rPr>
          <w:rFonts w:cs="Arial"/>
          <w:b/>
          <w:sz w:val="22"/>
          <w:szCs w:val="22"/>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6"/>
        <w:gridCol w:w="3181"/>
        <w:gridCol w:w="1119"/>
        <w:gridCol w:w="1590"/>
        <w:gridCol w:w="857"/>
      </w:tblGrid>
      <w:tr w:rsidR="00951F79" w:rsidRPr="00E27C63" w:rsidTr="00C2379A">
        <w:tc>
          <w:tcPr>
            <w:tcW w:w="1275" w:type="dxa"/>
            <w:tcBorders>
              <w:top w:val="single" w:sz="4" w:space="0" w:color="auto"/>
              <w:left w:val="single" w:sz="4" w:space="0" w:color="auto"/>
              <w:bottom w:val="single" w:sz="4" w:space="0" w:color="auto"/>
              <w:right w:val="single" w:sz="4" w:space="0" w:color="auto"/>
            </w:tcBorders>
            <w:shd w:val="clear" w:color="auto" w:fill="A6A6A6"/>
            <w:hideMark/>
          </w:tcPr>
          <w:p w:rsidR="00951F79" w:rsidRPr="00E27C63" w:rsidRDefault="00951F79">
            <w:pPr>
              <w:jc w:val="center"/>
              <w:rPr>
                <w:rFonts w:cs="Arial"/>
                <w:b/>
                <w:sz w:val="18"/>
                <w:szCs w:val="18"/>
              </w:rPr>
            </w:pPr>
            <w:r w:rsidRPr="00E27C63">
              <w:rPr>
                <w:rFonts w:cs="Arial"/>
                <w:b/>
                <w:sz w:val="18"/>
                <w:szCs w:val="18"/>
              </w:rPr>
              <w:t>ARTÍCULO DEL CÓDIGO TRIBUTARIO</w:t>
            </w:r>
          </w:p>
        </w:tc>
        <w:tc>
          <w:tcPr>
            <w:tcW w:w="3544" w:type="dxa"/>
            <w:tcBorders>
              <w:top w:val="single" w:sz="4" w:space="0" w:color="auto"/>
              <w:left w:val="single" w:sz="4" w:space="0" w:color="auto"/>
              <w:bottom w:val="single" w:sz="4" w:space="0" w:color="auto"/>
              <w:right w:val="single" w:sz="4" w:space="0" w:color="auto"/>
            </w:tcBorders>
            <w:shd w:val="clear" w:color="auto" w:fill="A6A6A6"/>
            <w:hideMark/>
          </w:tcPr>
          <w:p w:rsidR="00951F79" w:rsidRPr="00E27C63" w:rsidRDefault="00951F79">
            <w:pPr>
              <w:jc w:val="center"/>
              <w:rPr>
                <w:rFonts w:cs="Arial"/>
                <w:b/>
                <w:sz w:val="18"/>
                <w:szCs w:val="18"/>
              </w:rPr>
            </w:pPr>
            <w:r w:rsidRPr="00E27C63">
              <w:rPr>
                <w:rFonts w:cs="Arial"/>
                <w:b/>
                <w:sz w:val="18"/>
                <w:szCs w:val="18"/>
              </w:rPr>
              <w:t xml:space="preserve">DESCRIPCIÓN </w:t>
            </w:r>
          </w:p>
          <w:p w:rsidR="00951F79" w:rsidRPr="00E27C63" w:rsidRDefault="00951F79">
            <w:pPr>
              <w:jc w:val="center"/>
              <w:rPr>
                <w:rFonts w:cs="Arial"/>
                <w:b/>
                <w:sz w:val="18"/>
                <w:szCs w:val="18"/>
              </w:rPr>
            </w:pPr>
            <w:r w:rsidRPr="00E27C63">
              <w:rPr>
                <w:rFonts w:cs="Arial"/>
                <w:b/>
                <w:sz w:val="18"/>
                <w:szCs w:val="18"/>
              </w:rPr>
              <w:t>DE LA INFRACCIÓN</w:t>
            </w:r>
          </w:p>
        </w:tc>
        <w:tc>
          <w:tcPr>
            <w:tcW w:w="1134" w:type="dxa"/>
            <w:tcBorders>
              <w:top w:val="single" w:sz="4" w:space="0" w:color="auto"/>
              <w:left w:val="single" w:sz="4" w:space="0" w:color="auto"/>
              <w:bottom w:val="single" w:sz="4" w:space="0" w:color="auto"/>
              <w:right w:val="single" w:sz="4" w:space="0" w:color="auto"/>
            </w:tcBorders>
            <w:shd w:val="clear" w:color="auto" w:fill="A6A6A6"/>
            <w:hideMark/>
          </w:tcPr>
          <w:p w:rsidR="00951F79" w:rsidRPr="00E27C63" w:rsidRDefault="00951F79">
            <w:pPr>
              <w:jc w:val="center"/>
              <w:rPr>
                <w:rFonts w:cs="Arial"/>
                <w:b/>
                <w:sz w:val="18"/>
                <w:szCs w:val="18"/>
              </w:rPr>
            </w:pPr>
            <w:r w:rsidRPr="00E27C63">
              <w:rPr>
                <w:rFonts w:cs="Arial"/>
                <w:b/>
                <w:sz w:val="18"/>
                <w:szCs w:val="18"/>
              </w:rPr>
              <w:t>SANCIÓN</w:t>
            </w:r>
          </w:p>
        </w:tc>
        <w:tc>
          <w:tcPr>
            <w:tcW w:w="1597" w:type="dxa"/>
            <w:tcBorders>
              <w:top w:val="single" w:sz="4" w:space="0" w:color="auto"/>
              <w:left w:val="single" w:sz="4" w:space="0" w:color="auto"/>
              <w:bottom w:val="single" w:sz="4" w:space="0" w:color="auto"/>
              <w:right w:val="single" w:sz="4" w:space="0" w:color="auto"/>
            </w:tcBorders>
            <w:shd w:val="clear" w:color="auto" w:fill="A6A6A6"/>
            <w:hideMark/>
          </w:tcPr>
          <w:p w:rsidR="00951F79" w:rsidRPr="00E27C63" w:rsidRDefault="00951F79">
            <w:pPr>
              <w:jc w:val="center"/>
              <w:rPr>
                <w:rFonts w:cs="Arial"/>
                <w:b/>
                <w:sz w:val="18"/>
                <w:szCs w:val="18"/>
              </w:rPr>
            </w:pPr>
            <w:r w:rsidRPr="00E27C63">
              <w:rPr>
                <w:rFonts w:cs="Arial"/>
                <w:b/>
                <w:sz w:val="18"/>
                <w:szCs w:val="18"/>
              </w:rPr>
              <w:t>CRITERIOS DE GRADUALIDAD</w:t>
            </w:r>
          </w:p>
        </w:tc>
        <w:tc>
          <w:tcPr>
            <w:tcW w:w="857" w:type="dxa"/>
            <w:tcBorders>
              <w:top w:val="single" w:sz="4" w:space="0" w:color="auto"/>
              <w:left w:val="single" w:sz="4" w:space="0" w:color="auto"/>
              <w:bottom w:val="single" w:sz="4" w:space="0" w:color="auto"/>
              <w:right w:val="single" w:sz="4" w:space="0" w:color="auto"/>
            </w:tcBorders>
            <w:shd w:val="clear" w:color="auto" w:fill="A6A6A6"/>
          </w:tcPr>
          <w:p w:rsidR="00951F79" w:rsidRPr="00E27C63" w:rsidRDefault="00951F79">
            <w:pPr>
              <w:jc w:val="center"/>
              <w:rPr>
                <w:rFonts w:cs="Arial"/>
                <w:b/>
                <w:sz w:val="18"/>
                <w:szCs w:val="18"/>
              </w:rPr>
            </w:pPr>
            <w:r w:rsidRPr="00E27C63">
              <w:rPr>
                <w:rFonts w:cs="Arial"/>
                <w:b/>
                <w:sz w:val="18"/>
                <w:szCs w:val="18"/>
              </w:rPr>
              <w:t>ANEXO</w:t>
            </w:r>
          </w:p>
        </w:tc>
      </w:tr>
      <w:tr w:rsidR="00951F79" w:rsidRPr="00E27C63" w:rsidTr="00C2379A">
        <w:tc>
          <w:tcPr>
            <w:tcW w:w="1275" w:type="dxa"/>
            <w:tcBorders>
              <w:top w:val="single" w:sz="4" w:space="0" w:color="auto"/>
              <w:left w:val="single" w:sz="4" w:space="0" w:color="auto"/>
              <w:bottom w:val="single" w:sz="4" w:space="0" w:color="auto"/>
              <w:right w:val="single" w:sz="4" w:space="0" w:color="auto"/>
            </w:tcBorders>
            <w:hideMark/>
          </w:tcPr>
          <w:p w:rsidR="00951F79" w:rsidRPr="00E27C63" w:rsidRDefault="00951F79">
            <w:pPr>
              <w:jc w:val="center"/>
              <w:rPr>
                <w:rFonts w:cs="Arial"/>
                <w:sz w:val="18"/>
                <w:szCs w:val="18"/>
              </w:rPr>
            </w:pPr>
            <w:r w:rsidRPr="00E27C63">
              <w:rPr>
                <w:rFonts w:cs="Arial"/>
                <w:sz w:val="18"/>
                <w:szCs w:val="18"/>
              </w:rPr>
              <w:t>(…)</w:t>
            </w:r>
          </w:p>
        </w:tc>
        <w:tc>
          <w:tcPr>
            <w:tcW w:w="3544" w:type="dxa"/>
            <w:tcBorders>
              <w:top w:val="single" w:sz="4" w:space="0" w:color="auto"/>
              <w:left w:val="single" w:sz="4" w:space="0" w:color="auto"/>
              <w:bottom w:val="single" w:sz="4" w:space="0" w:color="auto"/>
              <w:right w:val="single" w:sz="4" w:space="0" w:color="auto"/>
            </w:tcBorders>
          </w:tcPr>
          <w:p w:rsidR="00951F79" w:rsidRPr="00E27C63" w:rsidRDefault="00951F79">
            <w:pPr>
              <w:jc w:val="center"/>
              <w:rPr>
                <w:rFonts w:cs="Arial"/>
                <w:b/>
                <w:sz w:val="18"/>
                <w:szCs w:val="18"/>
              </w:rPr>
            </w:pPr>
          </w:p>
        </w:tc>
        <w:tc>
          <w:tcPr>
            <w:tcW w:w="1134" w:type="dxa"/>
            <w:tcBorders>
              <w:top w:val="single" w:sz="4" w:space="0" w:color="auto"/>
              <w:left w:val="single" w:sz="4" w:space="0" w:color="auto"/>
              <w:bottom w:val="single" w:sz="4" w:space="0" w:color="auto"/>
              <w:right w:val="single" w:sz="4" w:space="0" w:color="auto"/>
            </w:tcBorders>
          </w:tcPr>
          <w:p w:rsidR="00951F79" w:rsidRPr="00E27C63" w:rsidRDefault="00951F79">
            <w:pPr>
              <w:jc w:val="center"/>
              <w:rPr>
                <w:rFonts w:cs="Arial"/>
                <w:b/>
                <w:sz w:val="18"/>
                <w:szCs w:val="18"/>
              </w:rPr>
            </w:pPr>
          </w:p>
        </w:tc>
        <w:tc>
          <w:tcPr>
            <w:tcW w:w="1597" w:type="dxa"/>
            <w:tcBorders>
              <w:top w:val="single" w:sz="4" w:space="0" w:color="auto"/>
              <w:left w:val="single" w:sz="4" w:space="0" w:color="auto"/>
              <w:bottom w:val="single" w:sz="4" w:space="0" w:color="auto"/>
              <w:right w:val="single" w:sz="4" w:space="0" w:color="auto"/>
            </w:tcBorders>
          </w:tcPr>
          <w:p w:rsidR="00951F79" w:rsidRPr="00E27C63" w:rsidRDefault="00951F79">
            <w:pPr>
              <w:jc w:val="center"/>
              <w:rPr>
                <w:rFonts w:cs="Arial"/>
                <w:b/>
                <w:sz w:val="18"/>
                <w:szCs w:val="18"/>
              </w:rPr>
            </w:pPr>
          </w:p>
        </w:tc>
        <w:tc>
          <w:tcPr>
            <w:tcW w:w="857" w:type="dxa"/>
            <w:tcBorders>
              <w:top w:val="single" w:sz="4" w:space="0" w:color="auto"/>
              <w:left w:val="single" w:sz="4" w:space="0" w:color="auto"/>
              <w:bottom w:val="single" w:sz="4" w:space="0" w:color="auto"/>
              <w:right w:val="single" w:sz="4" w:space="0" w:color="auto"/>
            </w:tcBorders>
          </w:tcPr>
          <w:p w:rsidR="00951F79" w:rsidRPr="00E27C63" w:rsidRDefault="00951F79">
            <w:pPr>
              <w:jc w:val="center"/>
              <w:rPr>
                <w:rFonts w:cs="Arial"/>
                <w:b/>
                <w:sz w:val="18"/>
                <w:szCs w:val="18"/>
              </w:rPr>
            </w:pPr>
          </w:p>
        </w:tc>
      </w:tr>
      <w:tr w:rsidR="00951F79" w:rsidRPr="00E27C63" w:rsidTr="00C2379A">
        <w:tc>
          <w:tcPr>
            <w:tcW w:w="1275" w:type="dxa"/>
            <w:tcBorders>
              <w:top w:val="single" w:sz="4" w:space="0" w:color="auto"/>
              <w:left w:val="single" w:sz="4" w:space="0" w:color="auto"/>
              <w:bottom w:val="single" w:sz="4" w:space="0" w:color="auto"/>
              <w:right w:val="single" w:sz="4" w:space="0" w:color="auto"/>
            </w:tcBorders>
            <w:shd w:val="clear" w:color="auto" w:fill="A6A6A6"/>
            <w:hideMark/>
          </w:tcPr>
          <w:p w:rsidR="00951F79" w:rsidRPr="00E27C63" w:rsidRDefault="00951F79">
            <w:pPr>
              <w:jc w:val="center"/>
              <w:rPr>
                <w:rFonts w:cs="Arial"/>
                <w:b/>
                <w:sz w:val="18"/>
                <w:szCs w:val="18"/>
              </w:rPr>
            </w:pPr>
            <w:r w:rsidRPr="00E27C63">
              <w:rPr>
                <w:rFonts w:cs="Arial"/>
                <w:b/>
                <w:sz w:val="18"/>
                <w:szCs w:val="18"/>
              </w:rPr>
              <w:t>Artículo 175°</w:t>
            </w:r>
          </w:p>
        </w:tc>
        <w:tc>
          <w:tcPr>
            <w:tcW w:w="3544" w:type="dxa"/>
            <w:tcBorders>
              <w:top w:val="single" w:sz="4" w:space="0" w:color="auto"/>
              <w:left w:val="single" w:sz="4" w:space="0" w:color="auto"/>
              <w:bottom w:val="single" w:sz="4" w:space="0" w:color="auto"/>
              <w:right w:val="single" w:sz="4" w:space="0" w:color="auto"/>
            </w:tcBorders>
            <w:shd w:val="clear" w:color="auto" w:fill="A6A6A6"/>
          </w:tcPr>
          <w:p w:rsidR="00951F79" w:rsidRPr="00E27C63" w:rsidRDefault="00951F79">
            <w:pPr>
              <w:jc w:val="center"/>
              <w:rPr>
                <w:rFonts w:cs="Arial"/>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6A6A6"/>
          </w:tcPr>
          <w:p w:rsidR="00951F79" w:rsidRPr="00E27C63" w:rsidRDefault="00951F79">
            <w:pPr>
              <w:jc w:val="center"/>
              <w:rPr>
                <w:rFonts w:cs="Arial"/>
                <w:b/>
                <w:sz w:val="18"/>
                <w:szCs w:val="18"/>
              </w:rPr>
            </w:pPr>
          </w:p>
        </w:tc>
        <w:tc>
          <w:tcPr>
            <w:tcW w:w="1597" w:type="dxa"/>
            <w:tcBorders>
              <w:top w:val="single" w:sz="4" w:space="0" w:color="auto"/>
              <w:left w:val="single" w:sz="4" w:space="0" w:color="auto"/>
              <w:bottom w:val="single" w:sz="4" w:space="0" w:color="auto"/>
              <w:right w:val="single" w:sz="4" w:space="0" w:color="auto"/>
            </w:tcBorders>
            <w:shd w:val="clear" w:color="auto" w:fill="A6A6A6"/>
          </w:tcPr>
          <w:p w:rsidR="00951F79" w:rsidRPr="00E27C63" w:rsidRDefault="00951F79">
            <w:pPr>
              <w:jc w:val="center"/>
              <w:rPr>
                <w:rFonts w:cs="Arial"/>
                <w:b/>
                <w:sz w:val="18"/>
                <w:szCs w:val="18"/>
              </w:rPr>
            </w:pPr>
          </w:p>
        </w:tc>
        <w:tc>
          <w:tcPr>
            <w:tcW w:w="857" w:type="dxa"/>
            <w:tcBorders>
              <w:top w:val="single" w:sz="4" w:space="0" w:color="auto"/>
              <w:left w:val="single" w:sz="4" w:space="0" w:color="auto"/>
              <w:bottom w:val="single" w:sz="4" w:space="0" w:color="auto"/>
              <w:right w:val="single" w:sz="4" w:space="0" w:color="auto"/>
            </w:tcBorders>
            <w:shd w:val="clear" w:color="auto" w:fill="A6A6A6"/>
          </w:tcPr>
          <w:p w:rsidR="00951F79" w:rsidRPr="00E27C63" w:rsidRDefault="00951F79">
            <w:pPr>
              <w:jc w:val="center"/>
              <w:rPr>
                <w:rFonts w:cs="Arial"/>
                <w:b/>
                <w:sz w:val="18"/>
                <w:szCs w:val="18"/>
              </w:rPr>
            </w:pPr>
          </w:p>
        </w:tc>
      </w:tr>
      <w:tr w:rsidR="00951F79" w:rsidRPr="00E27C63" w:rsidTr="00C2379A">
        <w:trPr>
          <w:trHeight w:val="253"/>
        </w:trPr>
        <w:tc>
          <w:tcPr>
            <w:tcW w:w="1275" w:type="dxa"/>
            <w:tcBorders>
              <w:top w:val="single" w:sz="4" w:space="0" w:color="auto"/>
              <w:left w:val="single" w:sz="4" w:space="0" w:color="auto"/>
              <w:bottom w:val="single" w:sz="4" w:space="0" w:color="auto"/>
              <w:right w:val="single" w:sz="4" w:space="0" w:color="auto"/>
            </w:tcBorders>
            <w:hideMark/>
          </w:tcPr>
          <w:p w:rsidR="00951F79" w:rsidRPr="00E27C63" w:rsidRDefault="00951F79">
            <w:pPr>
              <w:jc w:val="center"/>
              <w:rPr>
                <w:rFonts w:cs="Arial"/>
                <w:sz w:val="18"/>
                <w:szCs w:val="18"/>
              </w:rPr>
            </w:pPr>
            <w:r w:rsidRPr="00E27C63">
              <w:rPr>
                <w:rFonts w:cs="Arial"/>
                <w:sz w:val="18"/>
                <w:szCs w:val="18"/>
              </w:rPr>
              <w:t>(…)</w:t>
            </w:r>
          </w:p>
        </w:tc>
        <w:tc>
          <w:tcPr>
            <w:tcW w:w="3544" w:type="dxa"/>
            <w:tcBorders>
              <w:top w:val="single" w:sz="4" w:space="0" w:color="auto"/>
              <w:left w:val="single" w:sz="4" w:space="0" w:color="auto"/>
              <w:bottom w:val="single" w:sz="4" w:space="0" w:color="auto"/>
              <w:right w:val="single" w:sz="4" w:space="0" w:color="auto"/>
            </w:tcBorders>
          </w:tcPr>
          <w:p w:rsidR="00951F79" w:rsidRPr="00E27C63" w:rsidRDefault="00951F79">
            <w:pPr>
              <w:jc w:val="center"/>
              <w:rPr>
                <w:rFonts w:cs="Arial"/>
                <w:b/>
                <w:sz w:val="18"/>
                <w:szCs w:val="18"/>
              </w:rPr>
            </w:pPr>
          </w:p>
        </w:tc>
        <w:tc>
          <w:tcPr>
            <w:tcW w:w="1134" w:type="dxa"/>
            <w:tcBorders>
              <w:top w:val="single" w:sz="4" w:space="0" w:color="auto"/>
              <w:left w:val="single" w:sz="4" w:space="0" w:color="auto"/>
              <w:bottom w:val="single" w:sz="4" w:space="0" w:color="auto"/>
              <w:right w:val="single" w:sz="4" w:space="0" w:color="auto"/>
            </w:tcBorders>
          </w:tcPr>
          <w:p w:rsidR="00951F79" w:rsidRPr="00E27C63" w:rsidRDefault="00951F79">
            <w:pPr>
              <w:jc w:val="center"/>
              <w:rPr>
                <w:rFonts w:cs="Arial"/>
                <w:b/>
                <w:sz w:val="18"/>
                <w:szCs w:val="18"/>
              </w:rPr>
            </w:pPr>
          </w:p>
        </w:tc>
        <w:tc>
          <w:tcPr>
            <w:tcW w:w="1597" w:type="dxa"/>
            <w:tcBorders>
              <w:top w:val="single" w:sz="4" w:space="0" w:color="auto"/>
              <w:left w:val="single" w:sz="4" w:space="0" w:color="auto"/>
              <w:bottom w:val="single" w:sz="4" w:space="0" w:color="auto"/>
              <w:right w:val="single" w:sz="4" w:space="0" w:color="auto"/>
            </w:tcBorders>
          </w:tcPr>
          <w:p w:rsidR="00951F79" w:rsidRPr="00E27C63" w:rsidRDefault="00951F79">
            <w:pPr>
              <w:jc w:val="center"/>
              <w:rPr>
                <w:rFonts w:cs="Arial"/>
                <w:b/>
                <w:sz w:val="18"/>
                <w:szCs w:val="18"/>
              </w:rPr>
            </w:pPr>
          </w:p>
        </w:tc>
        <w:tc>
          <w:tcPr>
            <w:tcW w:w="857" w:type="dxa"/>
            <w:tcBorders>
              <w:top w:val="single" w:sz="4" w:space="0" w:color="auto"/>
              <w:left w:val="single" w:sz="4" w:space="0" w:color="auto"/>
              <w:bottom w:val="single" w:sz="4" w:space="0" w:color="auto"/>
              <w:right w:val="single" w:sz="4" w:space="0" w:color="auto"/>
            </w:tcBorders>
          </w:tcPr>
          <w:p w:rsidR="00951F79" w:rsidRPr="00E27C63" w:rsidRDefault="00951F79">
            <w:pPr>
              <w:jc w:val="center"/>
              <w:rPr>
                <w:rFonts w:cs="Arial"/>
                <w:b/>
                <w:sz w:val="18"/>
                <w:szCs w:val="18"/>
              </w:rPr>
            </w:pPr>
          </w:p>
        </w:tc>
      </w:tr>
      <w:tr w:rsidR="00951F79" w:rsidRPr="00E27C63" w:rsidTr="00C2379A">
        <w:trPr>
          <w:trHeight w:val="567"/>
        </w:trPr>
        <w:tc>
          <w:tcPr>
            <w:tcW w:w="1275" w:type="dxa"/>
            <w:vMerge w:val="restart"/>
            <w:tcBorders>
              <w:top w:val="single" w:sz="4" w:space="0" w:color="auto"/>
              <w:left w:val="single" w:sz="4" w:space="0" w:color="auto"/>
              <w:bottom w:val="single" w:sz="4" w:space="0" w:color="auto"/>
              <w:right w:val="single" w:sz="4" w:space="0" w:color="auto"/>
            </w:tcBorders>
            <w:hideMark/>
          </w:tcPr>
          <w:p w:rsidR="00951F79" w:rsidRPr="00E27C63" w:rsidRDefault="00951F79">
            <w:pPr>
              <w:rPr>
                <w:rFonts w:cs="Arial"/>
                <w:sz w:val="16"/>
                <w:szCs w:val="16"/>
              </w:rPr>
            </w:pPr>
            <w:r w:rsidRPr="00E27C63">
              <w:rPr>
                <w:rFonts w:cs="Arial"/>
                <w:sz w:val="16"/>
                <w:szCs w:val="16"/>
              </w:rPr>
              <w:t>Numeral 10</w:t>
            </w:r>
          </w:p>
        </w:tc>
        <w:tc>
          <w:tcPr>
            <w:tcW w:w="3544" w:type="dxa"/>
            <w:vMerge w:val="restart"/>
            <w:tcBorders>
              <w:top w:val="single" w:sz="4" w:space="0" w:color="auto"/>
              <w:left w:val="single" w:sz="4" w:space="0" w:color="auto"/>
              <w:bottom w:val="single" w:sz="4" w:space="0" w:color="auto"/>
              <w:right w:val="single" w:sz="4" w:space="0" w:color="auto"/>
            </w:tcBorders>
            <w:hideMark/>
          </w:tcPr>
          <w:p w:rsidR="00951F79" w:rsidRPr="00E27C63" w:rsidRDefault="00951F79">
            <w:pPr>
              <w:jc w:val="both"/>
              <w:rPr>
                <w:rFonts w:cs="Arial"/>
                <w:sz w:val="16"/>
                <w:szCs w:val="16"/>
              </w:rPr>
            </w:pPr>
            <w:r w:rsidRPr="00E27C63">
              <w:rPr>
                <w:rFonts w:cs="Arial"/>
                <w:sz w:val="16"/>
                <w:szCs w:val="16"/>
                <w:lang w:eastAsia="es-PE"/>
              </w:rPr>
              <w:t>No registrar o anotar dentro de los plazos máximo</w:t>
            </w:r>
            <w:r w:rsidR="00C2379A" w:rsidRPr="00E27C63">
              <w:rPr>
                <w:rFonts w:cs="Arial"/>
                <w:sz w:val="16"/>
                <w:szCs w:val="16"/>
                <w:lang w:eastAsia="es-PE"/>
              </w:rPr>
              <w:t>s</w:t>
            </w:r>
            <w:r w:rsidRPr="00E27C63">
              <w:rPr>
                <w:rFonts w:cs="Arial"/>
                <w:sz w:val="16"/>
                <w:szCs w:val="16"/>
                <w:lang w:eastAsia="es-PE"/>
              </w:rPr>
              <w:t xml:space="preserve"> de atraso, ingresos, renta</w:t>
            </w:r>
            <w:r w:rsidR="00540B2E" w:rsidRPr="00E27C63">
              <w:rPr>
                <w:rFonts w:cs="Arial"/>
                <w:sz w:val="16"/>
                <w:szCs w:val="16"/>
                <w:lang w:eastAsia="es-PE"/>
              </w:rPr>
              <w:t>s</w:t>
            </w:r>
            <w:r w:rsidRPr="00E27C63">
              <w:rPr>
                <w:rFonts w:cs="Arial"/>
                <w:sz w:val="16"/>
                <w:szCs w:val="16"/>
                <w:lang w:eastAsia="es-PE"/>
              </w:rPr>
              <w:t>, patrimonio, bienes, ventas, remuneraciones o actos gravados, o registrarlos o anotarlos por montos inferiores en el libro y/o registro electrónico que se encuentra obligado a llevar de dicha manera de conformidad con las leyes, reglamentos o Resolución de Superintendencia de la SUNAT.</w:t>
            </w:r>
          </w:p>
        </w:tc>
        <w:tc>
          <w:tcPr>
            <w:tcW w:w="1134" w:type="dxa"/>
            <w:tcBorders>
              <w:top w:val="single" w:sz="4" w:space="0" w:color="auto"/>
              <w:left w:val="single" w:sz="4" w:space="0" w:color="auto"/>
              <w:bottom w:val="single" w:sz="4" w:space="0" w:color="auto"/>
              <w:right w:val="single" w:sz="4" w:space="0" w:color="auto"/>
            </w:tcBorders>
          </w:tcPr>
          <w:p w:rsidR="00951F79" w:rsidRPr="00E27C63" w:rsidRDefault="00951F79">
            <w:pPr>
              <w:jc w:val="center"/>
              <w:rPr>
                <w:rFonts w:cs="Arial"/>
                <w:sz w:val="16"/>
                <w:szCs w:val="16"/>
              </w:rPr>
            </w:pPr>
          </w:p>
          <w:p w:rsidR="00951F79" w:rsidRPr="00E27C63" w:rsidRDefault="00951F79">
            <w:pPr>
              <w:rPr>
                <w:rFonts w:cs="Arial"/>
                <w:sz w:val="16"/>
                <w:szCs w:val="16"/>
              </w:rPr>
            </w:pPr>
          </w:p>
          <w:p w:rsidR="00951F79" w:rsidRPr="00E27C63" w:rsidRDefault="00951F79">
            <w:pPr>
              <w:jc w:val="center"/>
              <w:rPr>
                <w:rFonts w:cs="Arial"/>
                <w:sz w:val="16"/>
                <w:szCs w:val="16"/>
              </w:rPr>
            </w:pPr>
            <w:r w:rsidRPr="00E27C63">
              <w:rPr>
                <w:rFonts w:cs="Arial"/>
                <w:sz w:val="16"/>
                <w:szCs w:val="16"/>
              </w:rPr>
              <w:t>Multa</w:t>
            </w:r>
          </w:p>
        </w:tc>
        <w:tc>
          <w:tcPr>
            <w:tcW w:w="1597" w:type="dxa"/>
            <w:tcBorders>
              <w:top w:val="single" w:sz="4" w:space="0" w:color="auto"/>
              <w:left w:val="single" w:sz="4" w:space="0" w:color="auto"/>
              <w:bottom w:val="single" w:sz="4" w:space="0" w:color="auto"/>
              <w:right w:val="single" w:sz="4" w:space="0" w:color="auto"/>
            </w:tcBorders>
          </w:tcPr>
          <w:p w:rsidR="00951F79" w:rsidRPr="00E27C63" w:rsidRDefault="00951F79">
            <w:pPr>
              <w:rPr>
                <w:rFonts w:cs="Arial"/>
                <w:sz w:val="16"/>
                <w:szCs w:val="16"/>
              </w:rPr>
            </w:pPr>
          </w:p>
          <w:p w:rsidR="00951F79" w:rsidRPr="00E27C63" w:rsidRDefault="00951F79">
            <w:pPr>
              <w:jc w:val="center"/>
              <w:rPr>
                <w:rFonts w:cs="Arial"/>
                <w:sz w:val="16"/>
                <w:szCs w:val="16"/>
              </w:rPr>
            </w:pPr>
          </w:p>
          <w:p w:rsidR="00951F79" w:rsidRPr="00E27C63" w:rsidRDefault="00951F79">
            <w:pPr>
              <w:jc w:val="center"/>
              <w:rPr>
                <w:rFonts w:cs="Arial"/>
                <w:sz w:val="16"/>
                <w:szCs w:val="16"/>
              </w:rPr>
            </w:pPr>
            <w:r w:rsidRPr="00E27C63">
              <w:rPr>
                <w:rFonts w:cs="Arial"/>
                <w:sz w:val="16"/>
                <w:szCs w:val="16"/>
              </w:rPr>
              <w:t>Subsanación y/o Pago</w:t>
            </w:r>
          </w:p>
        </w:tc>
        <w:tc>
          <w:tcPr>
            <w:tcW w:w="857" w:type="dxa"/>
            <w:tcBorders>
              <w:top w:val="single" w:sz="4" w:space="0" w:color="auto"/>
              <w:left w:val="single" w:sz="4" w:space="0" w:color="auto"/>
              <w:bottom w:val="single" w:sz="4" w:space="0" w:color="auto"/>
              <w:right w:val="single" w:sz="4" w:space="0" w:color="auto"/>
            </w:tcBorders>
          </w:tcPr>
          <w:p w:rsidR="00951F79" w:rsidRPr="00E27C63" w:rsidRDefault="00951F79">
            <w:pPr>
              <w:rPr>
                <w:rFonts w:cs="Arial"/>
                <w:sz w:val="16"/>
                <w:szCs w:val="16"/>
              </w:rPr>
            </w:pPr>
          </w:p>
          <w:p w:rsidR="00951F79" w:rsidRPr="00E27C63" w:rsidRDefault="00951F79">
            <w:pPr>
              <w:rPr>
                <w:rFonts w:cs="Arial"/>
                <w:sz w:val="16"/>
                <w:szCs w:val="16"/>
              </w:rPr>
            </w:pPr>
          </w:p>
          <w:p w:rsidR="00951F79" w:rsidRPr="00E27C63" w:rsidRDefault="00951F79">
            <w:pPr>
              <w:jc w:val="center"/>
              <w:rPr>
                <w:rFonts w:cs="Arial"/>
                <w:sz w:val="16"/>
                <w:szCs w:val="16"/>
              </w:rPr>
            </w:pPr>
            <w:r w:rsidRPr="00E27C63">
              <w:rPr>
                <w:rFonts w:cs="Arial"/>
                <w:sz w:val="16"/>
                <w:szCs w:val="16"/>
              </w:rPr>
              <w:t>II</w:t>
            </w:r>
          </w:p>
          <w:p w:rsidR="00951F79" w:rsidRPr="00E27C63" w:rsidRDefault="00951F79">
            <w:pPr>
              <w:jc w:val="center"/>
              <w:rPr>
                <w:rFonts w:cs="Arial"/>
                <w:sz w:val="16"/>
                <w:szCs w:val="16"/>
              </w:rPr>
            </w:pPr>
          </w:p>
          <w:p w:rsidR="00951F79" w:rsidRPr="00E27C63" w:rsidRDefault="00951F79">
            <w:pPr>
              <w:jc w:val="center"/>
              <w:rPr>
                <w:rFonts w:cs="Arial"/>
                <w:sz w:val="16"/>
                <w:szCs w:val="16"/>
              </w:rPr>
            </w:pPr>
          </w:p>
        </w:tc>
      </w:tr>
      <w:tr w:rsidR="00951F79" w:rsidRPr="00E27C63" w:rsidTr="00C2379A">
        <w:trPr>
          <w:trHeight w:val="747"/>
        </w:trPr>
        <w:tc>
          <w:tcPr>
            <w:tcW w:w="1275" w:type="dxa"/>
            <w:vMerge/>
            <w:tcBorders>
              <w:top w:val="single" w:sz="4" w:space="0" w:color="auto"/>
              <w:left w:val="single" w:sz="4" w:space="0" w:color="auto"/>
              <w:bottom w:val="single" w:sz="4" w:space="0" w:color="auto"/>
              <w:right w:val="single" w:sz="4" w:space="0" w:color="auto"/>
            </w:tcBorders>
            <w:vAlign w:val="center"/>
            <w:hideMark/>
          </w:tcPr>
          <w:p w:rsidR="00951F79" w:rsidRPr="00E27C63" w:rsidRDefault="00951F79">
            <w:pPr>
              <w:overflowPunct/>
              <w:autoSpaceDE/>
              <w:autoSpaceDN/>
              <w:adjustRightInd/>
              <w:rPr>
                <w:rFonts w:cs="Arial"/>
                <w:sz w:val="16"/>
                <w:szCs w:val="16"/>
              </w:rPr>
            </w:pP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951F79" w:rsidRPr="00E27C63" w:rsidRDefault="00951F79">
            <w:pPr>
              <w:overflowPunct/>
              <w:autoSpaceDE/>
              <w:autoSpaceDN/>
              <w:adjustRightInd/>
              <w:rPr>
                <w:rFonts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951F79" w:rsidRPr="00E27C63" w:rsidRDefault="00951F79">
            <w:pPr>
              <w:jc w:val="center"/>
              <w:rPr>
                <w:rFonts w:cs="Arial"/>
                <w:sz w:val="16"/>
                <w:szCs w:val="16"/>
              </w:rPr>
            </w:pPr>
          </w:p>
          <w:p w:rsidR="00951F79" w:rsidRPr="00E27C63" w:rsidRDefault="00951F79">
            <w:pPr>
              <w:jc w:val="center"/>
              <w:rPr>
                <w:rFonts w:cs="Arial"/>
                <w:sz w:val="16"/>
                <w:szCs w:val="16"/>
              </w:rPr>
            </w:pPr>
            <w:r w:rsidRPr="00E27C63">
              <w:rPr>
                <w:rFonts w:cs="Arial"/>
                <w:sz w:val="16"/>
                <w:szCs w:val="16"/>
              </w:rPr>
              <w:t>Cierre (Tabla III)</w:t>
            </w:r>
          </w:p>
        </w:tc>
        <w:tc>
          <w:tcPr>
            <w:tcW w:w="1597" w:type="dxa"/>
            <w:tcBorders>
              <w:top w:val="single" w:sz="4" w:space="0" w:color="auto"/>
              <w:left w:val="single" w:sz="4" w:space="0" w:color="auto"/>
              <w:bottom w:val="single" w:sz="4" w:space="0" w:color="auto"/>
              <w:right w:val="single" w:sz="4" w:space="0" w:color="auto"/>
            </w:tcBorders>
          </w:tcPr>
          <w:p w:rsidR="00951F79" w:rsidRPr="00E27C63" w:rsidRDefault="00951F79">
            <w:pPr>
              <w:jc w:val="center"/>
              <w:rPr>
                <w:rFonts w:cs="Arial"/>
                <w:sz w:val="16"/>
                <w:szCs w:val="16"/>
              </w:rPr>
            </w:pPr>
          </w:p>
          <w:p w:rsidR="00951F79" w:rsidRPr="00E27C63" w:rsidRDefault="00951F79">
            <w:pPr>
              <w:jc w:val="center"/>
              <w:rPr>
                <w:rFonts w:cs="Arial"/>
                <w:sz w:val="16"/>
                <w:szCs w:val="16"/>
              </w:rPr>
            </w:pPr>
            <w:r w:rsidRPr="00E27C63">
              <w:rPr>
                <w:rFonts w:cs="Arial"/>
                <w:sz w:val="16"/>
                <w:szCs w:val="16"/>
              </w:rPr>
              <w:t>No aplicable</w:t>
            </w:r>
          </w:p>
        </w:tc>
        <w:tc>
          <w:tcPr>
            <w:tcW w:w="857" w:type="dxa"/>
            <w:tcBorders>
              <w:top w:val="single" w:sz="4" w:space="0" w:color="auto"/>
              <w:left w:val="single" w:sz="4" w:space="0" w:color="auto"/>
              <w:bottom w:val="single" w:sz="4" w:space="0" w:color="auto"/>
              <w:right w:val="single" w:sz="4" w:space="0" w:color="auto"/>
            </w:tcBorders>
            <w:shd w:val="clear" w:color="auto" w:fill="BFBFBF"/>
          </w:tcPr>
          <w:p w:rsidR="00951F79" w:rsidRPr="00E27C63" w:rsidRDefault="00951F79">
            <w:pPr>
              <w:rPr>
                <w:rFonts w:cs="Arial"/>
                <w:sz w:val="16"/>
                <w:szCs w:val="16"/>
              </w:rPr>
            </w:pPr>
          </w:p>
        </w:tc>
      </w:tr>
    </w:tbl>
    <w:p w:rsidR="00951F79" w:rsidRPr="00E27C63" w:rsidRDefault="00951F79" w:rsidP="00951F79">
      <w:pPr>
        <w:jc w:val="both"/>
        <w:rPr>
          <w:rFonts w:cs="Arial"/>
          <w:b/>
          <w:sz w:val="22"/>
          <w:szCs w:val="22"/>
        </w:rPr>
      </w:pPr>
    </w:p>
    <w:p w:rsidR="00C2379A" w:rsidRPr="00E27C63" w:rsidRDefault="00006963" w:rsidP="00951F79">
      <w:pPr>
        <w:ind w:left="425" w:hanging="425"/>
        <w:jc w:val="both"/>
        <w:rPr>
          <w:rFonts w:cs="Arial"/>
          <w:sz w:val="22"/>
          <w:szCs w:val="22"/>
        </w:rPr>
      </w:pPr>
      <w:r w:rsidRPr="00E27C63">
        <w:rPr>
          <w:rFonts w:cs="Arial"/>
          <w:sz w:val="22"/>
          <w:szCs w:val="22"/>
        </w:rPr>
        <w:t>3</w:t>
      </w:r>
      <w:r w:rsidR="00951F79" w:rsidRPr="00E27C63">
        <w:rPr>
          <w:rFonts w:cs="Arial"/>
          <w:sz w:val="22"/>
          <w:szCs w:val="22"/>
        </w:rPr>
        <w:t>.</w:t>
      </w:r>
      <w:r w:rsidR="00AE7A79" w:rsidRPr="00E27C63">
        <w:rPr>
          <w:rFonts w:cs="Arial"/>
          <w:sz w:val="22"/>
          <w:szCs w:val="22"/>
        </w:rPr>
        <w:t>3</w:t>
      </w:r>
      <w:r w:rsidR="00951F79" w:rsidRPr="00E27C63">
        <w:rPr>
          <w:rFonts w:cs="Arial"/>
          <w:sz w:val="22"/>
          <w:szCs w:val="22"/>
        </w:rPr>
        <w:t>.</w:t>
      </w:r>
      <w:r w:rsidRPr="00E27C63">
        <w:rPr>
          <w:rFonts w:cs="Arial"/>
          <w:sz w:val="22"/>
          <w:szCs w:val="22"/>
        </w:rPr>
        <w:tab/>
      </w:r>
      <w:r w:rsidR="00951F79" w:rsidRPr="00E27C63">
        <w:rPr>
          <w:rFonts w:cs="Arial"/>
          <w:sz w:val="22"/>
          <w:szCs w:val="22"/>
        </w:rPr>
        <w:t xml:space="preserve">Incorpórese </w:t>
      </w:r>
      <w:r w:rsidR="00C2379A" w:rsidRPr="00E27C63">
        <w:rPr>
          <w:rFonts w:cs="Arial"/>
          <w:sz w:val="22"/>
          <w:szCs w:val="22"/>
        </w:rPr>
        <w:t xml:space="preserve">a continuación del segundo cuadro del anexo II de la Resolución, el cuadro del </w:t>
      </w:r>
      <w:r w:rsidR="00951F79" w:rsidRPr="00E27C63">
        <w:rPr>
          <w:rFonts w:cs="Arial"/>
          <w:sz w:val="22"/>
          <w:szCs w:val="22"/>
        </w:rPr>
        <w:t xml:space="preserve">numeral 11-A </w:t>
      </w:r>
      <w:r w:rsidR="00C2379A" w:rsidRPr="00E27C63">
        <w:rPr>
          <w:rFonts w:cs="Arial"/>
          <w:sz w:val="22"/>
          <w:szCs w:val="22"/>
        </w:rPr>
        <w:t xml:space="preserve">que obra en el anexo 2 de </w:t>
      </w:r>
      <w:r w:rsidR="00FB78CD" w:rsidRPr="00E27C63">
        <w:rPr>
          <w:rFonts w:cs="Arial"/>
          <w:sz w:val="22"/>
          <w:szCs w:val="22"/>
        </w:rPr>
        <w:t>la presente</w:t>
      </w:r>
      <w:r w:rsidR="00C2379A" w:rsidRPr="00E27C63">
        <w:rPr>
          <w:rFonts w:cs="Arial"/>
          <w:sz w:val="22"/>
          <w:szCs w:val="22"/>
        </w:rPr>
        <w:t xml:space="preserve"> resolución.</w:t>
      </w:r>
    </w:p>
    <w:p w:rsidR="00C2379A" w:rsidRPr="00E27C63" w:rsidRDefault="00C2379A" w:rsidP="00951F79">
      <w:pPr>
        <w:ind w:left="425" w:hanging="425"/>
        <w:jc w:val="both"/>
        <w:rPr>
          <w:rFonts w:cs="Arial"/>
          <w:sz w:val="22"/>
          <w:szCs w:val="22"/>
        </w:rPr>
      </w:pPr>
    </w:p>
    <w:p w:rsidR="00951F79" w:rsidRPr="00E27C63" w:rsidRDefault="00C2379A" w:rsidP="00951F79">
      <w:pPr>
        <w:ind w:left="425" w:hanging="425"/>
        <w:jc w:val="both"/>
        <w:rPr>
          <w:rFonts w:cs="Arial"/>
          <w:sz w:val="22"/>
          <w:szCs w:val="22"/>
        </w:rPr>
      </w:pPr>
      <w:r w:rsidRPr="00E27C63">
        <w:rPr>
          <w:rFonts w:cs="Arial"/>
          <w:sz w:val="22"/>
          <w:szCs w:val="22"/>
        </w:rPr>
        <w:t>3.</w:t>
      </w:r>
      <w:r w:rsidR="00AE7A79" w:rsidRPr="00E27C63">
        <w:rPr>
          <w:rFonts w:cs="Arial"/>
          <w:sz w:val="22"/>
          <w:szCs w:val="22"/>
        </w:rPr>
        <w:t>4</w:t>
      </w:r>
      <w:r w:rsidR="00FB78CD" w:rsidRPr="00E27C63">
        <w:rPr>
          <w:rFonts w:cs="Arial"/>
          <w:sz w:val="22"/>
          <w:szCs w:val="22"/>
        </w:rPr>
        <w:t>.</w:t>
      </w:r>
      <w:r w:rsidR="00FB78CD" w:rsidRPr="00E27C63">
        <w:rPr>
          <w:rFonts w:cs="Arial"/>
          <w:sz w:val="22"/>
          <w:szCs w:val="22"/>
        </w:rPr>
        <w:tab/>
      </w:r>
      <w:r w:rsidRPr="00E27C63">
        <w:rPr>
          <w:rFonts w:cs="Arial"/>
          <w:sz w:val="22"/>
          <w:szCs w:val="22"/>
        </w:rPr>
        <w:t xml:space="preserve">Incorpórese </w:t>
      </w:r>
      <w:r w:rsidR="005C4B00" w:rsidRPr="00E27C63">
        <w:rPr>
          <w:rFonts w:cs="Arial"/>
          <w:sz w:val="22"/>
          <w:szCs w:val="22"/>
        </w:rPr>
        <w:t>la nota (15)</w:t>
      </w:r>
      <w:r w:rsidR="00FB78CD" w:rsidRPr="00E27C63">
        <w:rPr>
          <w:rFonts w:cs="Arial"/>
          <w:sz w:val="22"/>
          <w:szCs w:val="22"/>
        </w:rPr>
        <w:t xml:space="preserve"> </w:t>
      </w:r>
      <w:r w:rsidR="005C4B00" w:rsidRPr="00E27C63">
        <w:rPr>
          <w:rFonts w:cs="Arial"/>
          <w:sz w:val="22"/>
          <w:szCs w:val="22"/>
        </w:rPr>
        <w:t xml:space="preserve">en el </w:t>
      </w:r>
      <w:r w:rsidR="00951F79" w:rsidRPr="00E27C63">
        <w:rPr>
          <w:rFonts w:cs="Arial"/>
          <w:sz w:val="22"/>
          <w:szCs w:val="22"/>
        </w:rPr>
        <w:t xml:space="preserve">anexo II </w:t>
      </w:r>
      <w:r w:rsidR="00006963" w:rsidRPr="00E27C63">
        <w:rPr>
          <w:rFonts w:cs="Arial"/>
          <w:sz w:val="22"/>
          <w:szCs w:val="22"/>
        </w:rPr>
        <w:t>del Reglamento</w:t>
      </w:r>
      <w:r w:rsidR="00951F79" w:rsidRPr="00E27C63">
        <w:rPr>
          <w:rFonts w:cs="Arial"/>
          <w:sz w:val="22"/>
          <w:szCs w:val="22"/>
        </w:rPr>
        <w:t xml:space="preserve">, en los términos </w:t>
      </w:r>
      <w:r w:rsidR="005C4B00" w:rsidRPr="00E27C63">
        <w:rPr>
          <w:rFonts w:cs="Arial"/>
          <w:sz w:val="22"/>
          <w:szCs w:val="22"/>
        </w:rPr>
        <w:t>siguientes:</w:t>
      </w:r>
    </w:p>
    <w:p w:rsidR="005C4B00" w:rsidRPr="00E27C63" w:rsidRDefault="005C4B00" w:rsidP="00951F79">
      <w:pPr>
        <w:ind w:left="425" w:hanging="425"/>
        <w:jc w:val="both"/>
        <w:rPr>
          <w:rFonts w:cs="Arial"/>
          <w:sz w:val="22"/>
          <w:szCs w:val="22"/>
        </w:rPr>
      </w:pPr>
    </w:p>
    <w:p w:rsidR="005C4B00" w:rsidRPr="00E27C63" w:rsidRDefault="005C4B00" w:rsidP="005C4B00">
      <w:pPr>
        <w:ind w:left="425" w:hanging="425"/>
        <w:jc w:val="center"/>
        <w:rPr>
          <w:rFonts w:cs="Arial"/>
          <w:sz w:val="22"/>
          <w:szCs w:val="22"/>
        </w:rPr>
      </w:pPr>
      <w:r w:rsidRPr="00E27C63">
        <w:rPr>
          <w:rFonts w:cs="Arial"/>
          <w:sz w:val="22"/>
          <w:szCs w:val="22"/>
        </w:rPr>
        <w:t>“ANEXO II</w:t>
      </w:r>
    </w:p>
    <w:p w:rsidR="005C4B00" w:rsidRPr="00E27C63" w:rsidRDefault="005C4B00" w:rsidP="005C4B00">
      <w:pPr>
        <w:ind w:left="425" w:hanging="425"/>
        <w:jc w:val="center"/>
        <w:rPr>
          <w:rFonts w:cs="Arial"/>
          <w:sz w:val="22"/>
          <w:szCs w:val="22"/>
        </w:rPr>
      </w:pPr>
      <w:r w:rsidRPr="00E27C63">
        <w:rPr>
          <w:rFonts w:cs="Arial"/>
          <w:sz w:val="22"/>
          <w:szCs w:val="22"/>
        </w:rPr>
        <w:t>INFRACCIONES SUBSANABLES Y SANCIONADAS CON MULTA</w:t>
      </w:r>
    </w:p>
    <w:p w:rsidR="005C4B00" w:rsidRPr="00E27C63" w:rsidRDefault="00AE7A79" w:rsidP="00951F79">
      <w:pPr>
        <w:ind w:left="425" w:hanging="425"/>
        <w:jc w:val="both"/>
        <w:rPr>
          <w:rFonts w:cs="Arial"/>
          <w:sz w:val="22"/>
          <w:szCs w:val="22"/>
        </w:rPr>
      </w:pPr>
      <w:r w:rsidRPr="00E27C63">
        <w:rPr>
          <w:rFonts w:cs="Arial"/>
          <w:sz w:val="22"/>
          <w:szCs w:val="22"/>
        </w:rPr>
        <w:tab/>
      </w:r>
    </w:p>
    <w:p w:rsidR="00AE7A79" w:rsidRPr="00E27C63" w:rsidRDefault="00AE7A79" w:rsidP="00951F79">
      <w:pPr>
        <w:ind w:left="425" w:hanging="425"/>
        <w:jc w:val="both"/>
        <w:rPr>
          <w:rFonts w:cs="Arial"/>
          <w:sz w:val="22"/>
          <w:szCs w:val="22"/>
        </w:rPr>
      </w:pPr>
      <w:r w:rsidRPr="00E27C63">
        <w:rPr>
          <w:rFonts w:cs="Arial"/>
          <w:sz w:val="22"/>
          <w:szCs w:val="22"/>
        </w:rPr>
        <w:t xml:space="preserve">      (…)</w:t>
      </w:r>
    </w:p>
    <w:p w:rsidR="00AE7A79" w:rsidRPr="00E27C63" w:rsidRDefault="00AE7A79" w:rsidP="00951F79">
      <w:pPr>
        <w:ind w:left="425" w:hanging="425"/>
        <w:jc w:val="both"/>
        <w:rPr>
          <w:rFonts w:cs="Arial"/>
          <w:sz w:val="22"/>
          <w:szCs w:val="22"/>
        </w:rPr>
      </w:pPr>
    </w:p>
    <w:p w:rsidR="005C4B00" w:rsidRPr="00E27C63" w:rsidRDefault="005C4B00" w:rsidP="00951F79">
      <w:pPr>
        <w:ind w:left="425" w:hanging="425"/>
        <w:jc w:val="both"/>
        <w:rPr>
          <w:rFonts w:cs="Arial"/>
          <w:sz w:val="22"/>
          <w:szCs w:val="22"/>
        </w:rPr>
      </w:pPr>
      <w:r w:rsidRPr="00E27C63">
        <w:rPr>
          <w:rFonts w:cs="Arial"/>
          <w:sz w:val="22"/>
          <w:szCs w:val="22"/>
        </w:rPr>
        <w:t xml:space="preserve">      </w:t>
      </w:r>
      <w:r w:rsidR="00210073" w:rsidRPr="00E27C63">
        <w:rPr>
          <w:rFonts w:cs="Arial"/>
          <w:sz w:val="22"/>
          <w:szCs w:val="22"/>
        </w:rPr>
        <w:tab/>
      </w:r>
      <w:r w:rsidRPr="00E27C63">
        <w:rPr>
          <w:rFonts w:cs="Arial"/>
          <w:sz w:val="22"/>
          <w:szCs w:val="22"/>
        </w:rPr>
        <w:t>(15) En caso el libro o registro electrónico del periodo al que corresponde la omisión haya sido generado con anterioridad, la subsanación se realiza anotando o registrando lo omitido en el mes abierto (por generar) en la forma y condiciones establecidas en las normas correspondientes.”</w:t>
      </w:r>
    </w:p>
    <w:p w:rsidR="00344D3A" w:rsidRPr="00E27C63" w:rsidRDefault="00344D3A" w:rsidP="00951F79">
      <w:pPr>
        <w:ind w:left="425" w:hanging="425"/>
        <w:jc w:val="both"/>
        <w:rPr>
          <w:rFonts w:cs="Arial"/>
          <w:b/>
          <w:sz w:val="22"/>
          <w:szCs w:val="22"/>
        </w:rPr>
      </w:pPr>
    </w:p>
    <w:p w:rsidR="00951F79" w:rsidRPr="00E27C63" w:rsidRDefault="00006963" w:rsidP="00951F79">
      <w:pPr>
        <w:ind w:left="425" w:hanging="425"/>
        <w:jc w:val="both"/>
        <w:rPr>
          <w:rFonts w:cs="Arial"/>
          <w:sz w:val="22"/>
          <w:szCs w:val="22"/>
        </w:rPr>
      </w:pPr>
      <w:r w:rsidRPr="00E27C63">
        <w:rPr>
          <w:rFonts w:cs="Arial"/>
          <w:sz w:val="22"/>
          <w:szCs w:val="22"/>
        </w:rPr>
        <w:t>3</w:t>
      </w:r>
      <w:r w:rsidR="00951F79" w:rsidRPr="00E27C63">
        <w:rPr>
          <w:rFonts w:cs="Arial"/>
          <w:sz w:val="22"/>
          <w:szCs w:val="22"/>
        </w:rPr>
        <w:t>.</w:t>
      </w:r>
      <w:r w:rsidR="00210073" w:rsidRPr="00E27C63">
        <w:rPr>
          <w:rFonts w:cs="Arial"/>
          <w:sz w:val="22"/>
          <w:szCs w:val="22"/>
        </w:rPr>
        <w:t>5</w:t>
      </w:r>
      <w:r w:rsidR="00951F79" w:rsidRPr="00E27C63">
        <w:rPr>
          <w:rFonts w:cs="Arial"/>
          <w:sz w:val="22"/>
          <w:szCs w:val="22"/>
        </w:rPr>
        <w:t>.</w:t>
      </w:r>
      <w:r w:rsidR="00210073" w:rsidRPr="00E27C63">
        <w:rPr>
          <w:rFonts w:cs="Arial"/>
          <w:sz w:val="22"/>
          <w:szCs w:val="22"/>
        </w:rPr>
        <w:tab/>
      </w:r>
      <w:r w:rsidR="00951F79" w:rsidRPr="00E27C63">
        <w:rPr>
          <w:rFonts w:cs="Arial"/>
          <w:sz w:val="22"/>
          <w:szCs w:val="22"/>
        </w:rPr>
        <w:t xml:space="preserve">Modifíquese las filas 7 y 8 del </w:t>
      </w:r>
      <w:r w:rsidR="00FB78CD" w:rsidRPr="00E27C63">
        <w:rPr>
          <w:rFonts w:cs="Arial"/>
          <w:sz w:val="22"/>
          <w:szCs w:val="22"/>
        </w:rPr>
        <w:t xml:space="preserve">segundo </w:t>
      </w:r>
      <w:r w:rsidR="00951F79" w:rsidRPr="00E27C63">
        <w:rPr>
          <w:rFonts w:cs="Arial"/>
          <w:sz w:val="22"/>
          <w:szCs w:val="22"/>
        </w:rPr>
        <w:t xml:space="preserve">cuadro que obra en el anexo II </w:t>
      </w:r>
      <w:r w:rsidRPr="00E27C63">
        <w:rPr>
          <w:rFonts w:cs="Arial"/>
          <w:sz w:val="22"/>
          <w:szCs w:val="22"/>
        </w:rPr>
        <w:t>del Reglamento</w:t>
      </w:r>
      <w:r w:rsidR="00951F79" w:rsidRPr="00E27C63">
        <w:rPr>
          <w:rFonts w:cs="Arial"/>
          <w:sz w:val="22"/>
          <w:szCs w:val="22"/>
        </w:rPr>
        <w:t>, en los términos indicados en el anexo 3</w:t>
      </w:r>
      <w:r w:rsidR="00FB78CD" w:rsidRPr="00E27C63">
        <w:rPr>
          <w:rFonts w:cs="Arial"/>
          <w:sz w:val="22"/>
          <w:szCs w:val="22"/>
        </w:rPr>
        <w:t xml:space="preserve"> de la presente resolución</w:t>
      </w:r>
      <w:r w:rsidR="00951F79" w:rsidRPr="00E27C63">
        <w:rPr>
          <w:rFonts w:cs="Arial"/>
          <w:sz w:val="22"/>
          <w:szCs w:val="22"/>
        </w:rPr>
        <w:t>.</w:t>
      </w:r>
    </w:p>
    <w:p w:rsidR="00951F79" w:rsidRPr="00E27C63" w:rsidRDefault="00951F79" w:rsidP="00951F79">
      <w:pPr>
        <w:tabs>
          <w:tab w:val="left" w:pos="425"/>
        </w:tabs>
        <w:ind w:left="425" w:hanging="425"/>
        <w:jc w:val="center"/>
        <w:rPr>
          <w:rFonts w:cs="Arial"/>
          <w:b/>
          <w:sz w:val="22"/>
          <w:szCs w:val="22"/>
        </w:rPr>
      </w:pPr>
    </w:p>
    <w:p w:rsidR="00951F79" w:rsidRPr="00E27C63" w:rsidRDefault="00951F79" w:rsidP="00951F79">
      <w:pPr>
        <w:tabs>
          <w:tab w:val="left" w:pos="425"/>
        </w:tabs>
        <w:ind w:left="425" w:hanging="425"/>
        <w:jc w:val="center"/>
        <w:rPr>
          <w:rFonts w:cs="Arial"/>
          <w:b/>
          <w:sz w:val="22"/>
          <w:szCs w:val="22"/>
        </w:rPr>
      </w:pPr>
      <w:r w:rsidRPr="00E27C63">
        <w:rPr>
          <w:rFonts w:cs="Arial"/>
          <w:b/>
          <w:sz w:val="22"/>
          <w:szCs w:val="22"/>
        </w:rPr>
        <w:t>DISPOSICIÓN COMPLE</w:t>
      </w:r>
      <w:r w:rsidR="00FB78CD" w:rsidRPr="00E27C63">
        <w:rPr>
          <w:rFonts w:cs="Arial"/>
          <w:b/>
          <w:sz w:val="22"/>
          <w:szCs w:val="22"/>
        </w:rPr>
        <w:t>ME</w:t>
      </w:r>
      <w:r w:rsidRPr="00E27C63">
        <w:rPr>
          <w:rFonts w:cs="Arial"/>
          <w:b/>
          <w:sz w:val="22"/>
          <w:szCs w:val="22"/>
        </w:rPr>
        <w:t>NTARIA FINAL</w:t>
      </w:r>
    </w:p>
    <w:p w:rsidR="00951F79" w:rsidRPr="00E27C63" w:rsidRDefault="00951F79" w:rsidP="00951F79">
      <w:pPr>
        <w:tabs>
          <w:tab w:val="left" w:pos="425"/>
        </w:tabs>
        <w:ind w:left="425" w:hanging="425"/>
        <w:rPr>
          <w:rFonts w:cs="Arial"/>
          <w:sz w:val="22"/>
          <w:szCs w:val="22"/>
        </w:rPr>
      </w:pPr>
    </w:p>
    <w:p w:rsidR="00951F79" w:rsidRPr="00E27C63" w:rsidRDefault="00951F79" w:rsidP="00951F79">
      <w:pPr>
        <w:tabs>
          <w:tab w:val="left" w:pos="425"/>
        </w:tabs>
        <w:ind w:left="425" w:hanging="425"/>
        <w:rPr>
          <w:rFonts w:cs="Arial"/>
          <w:b/>
          <w:sz w:val="22"/>
          <w:szCs w:val="22"/>
        </w:rPr>
      </w:pPr>
      <w:r w:rsidRPr="00E27C63">
        <w:rPr>
          <w:rFonts w:cs="Arial"/>
          <w:b/>
          <w:sz w:val="22"/>
          <w:szCs w:val="22"/>
        </w:rPr>
        <w:t xml:space="preserve">Única. Vigencia </w:t>
      </w:r>
    </w:p>
    <w:p w:rsidR="00951F79" w:rsidRPr="00E27C63" w:rsidRDefault="00951F79" w:rsidP="00951F79">
      <w:pPr>
        <w:jc w:val="both"/>
        <w:rPr>
          <w:sz w:val="22"/>
          <w:szCs w:val="22"/>
        </w:rPr>
      </w:pPr>
    </w:p>
    <w:p w:rsidR="00951F79" w:rsidRPr="00E27C63" w:rsidRDefault="00951F79" w:rsidP="00951F79">
      <w:pPr>
        <w:jc w:val="both"/>
        <w:rPr>
          <w:rFonts w:cs="Arial"/>
          <w:sz w:val="22"/>
          <w:szCs w:val="22"/>
        </w:rPr>
      </w:pPr>
      <w:r w:rsidRPr="00E27C63">
        <w:rPr>
          <w:sz w:val="22"/>
          <w:szCs w:val="22"/>
        </w:rPr>
        <w:t>La presente resolución entra en vigencia desde el día siguiente de su publicación, salvo lo señalado en</w:t>
      </w:r>
      <w:r w:rsidR="00FB78CD" w:rsidRPr="00E27C63">
        <w:rPr>
          <w:sz w:val="22"/>
          <w:szCs w:val="22"/>
        </w:rPr>
        <w:t xml:space="preserve"> el artículo 2 y el párrafo 3.1 del artículo 3</w:t>
      </w:r>
      <w:r w:rsidRPr="00E27C63">
        <w:rPr>
          <w:sz w:val="22"/>
          <w:szCs w:val="22"/>
        </w:rPr>
        <w:t>, el anexo 1 y el párrafo 1.1 de la única disposición complementaria transitoria, l</w:t>
      </w:r>
      <w:r w:rsidR="00D72CAB" w:rsidRPr="00E27C63">
        <w:rPr>
          <w:sz w:val="22"/>
          <w:szCs w:val="22"/>
        </w:rPr>
        <w:t>o</w:t>
      </w:r>
      <w:r w:rsidRPr="00E27C63">
        <w:rPr>
          <w:sz w:val="22"/>
          <w:szCs w:val="22"/>
        </w:rPr>
        <w:t xml:space="preserve">s cuales rigen desde el </w:t>
      </w:r>
      <w:r w:rsidR="000202BD" w:rsidRPr="00E27C63">
        <w:rPr>
          <w:sz w:val="22"/>
          <w:szCs w:val="22"/>
        </w:rPr>
        <w:t>2</w:t>
      </w:r>
      <w:r w:rsidR="001D1EA5" w:rsidRPr="00E27C63">
        <w:rPr>
          <w:sz w:val="22"/>
          <w:szCs w:val="22"/>
        </w:rPr>
        <w:t xml:space="preserve"> de enero de </w:t>
      </w:r>
      <w:r w:rsidRPr="00E27C63">
        <w:rPr>
          <w:sz w:val="22"/>
          <w:szCs w:val="22"/>
        </w:rPr>
        <w:t>2020.</w:t>
      </w:r>
    </w:p>
    <w:p w:rsidR="00AE7A79" w:rsidRPr="00E27C63" w:rsidRDefault="00AE7A79" w:rsidP="00951F79">
      <w:pPr>
        <w:tabs>
          <w:tab w:val="left" w:pos="425"/>
        </w:tabs>
        <w:ind w:left="425" w:hanging="425"/>
        <w:rPr>
          <w:rFonts w:cs="Arial"/>
          <w:sz w:val="22"/>
          <w:szCs w:val="22"/>
        </w:rPr>
      </w:pPr>
    </w:p>
    <w:p w:rsidR="00951F79" w:rsidRPr="00E27C63" w:rsidRDefault="00951F79" w:rsidP="00951F79">
      <w:pPr>
        <w:tabs>
          <w:tab w:val="left" w:pos="425"/>
        </w:tabs>
        <w:ind w:left="425" w:hanging="425"/>
        <w:jc w:val="center"/>
        <w:rPr>
          <w:rFonts w:cs="Arial"/>
          <w:b/>
          <w:sz w:val="22"/>
          <w:szCs w:val="22"/>
        </w:rPr>
      </w:pPr>
      <w:r w:rsidRPr="00E27C63">
        <w:rPr>
          <w:rFonts w:cs="Arial"/>
          <w:b/>
          <w:sz w:val="22"/>
          <w:szCs w:val="22"/>
        </w:rPr>
        <w:lastRenderedPageBreak/>
        <w:t>DISPOSICIÓN COMPLEMENTARIA MODIFICATORIA</w:t>
      </w:r>
      <w:bookmarkStart w:id="0" w:name="_GoBack"/>
      <w:bookmarkEnd w:id="0"/>
    </w:p>
    <w:p w:rsidR="00951F79" w:rsidRPr="00E27C63" w:rsidRDefault="00951F79" w:rsidP="00951F79">
      <w:pPr>
        <w:tabs>
          <w:tab w:val="left" w:pos="425"/>
        </w:tabs>
        <w:ind w:left="425" w:hanging="425"/>
        <w:jc w:val="both"/>
        <w:rPr>
          <w:rFonts w:cs="Arial"/>
          <w:strike/>
          <w:sz w:val="22"/>
          <w:szCs w:val="22"/>
        </w:rPr>
      </w:pPr>
    </w:p>
    <w:p w:rsidR="00951F79" w:rsidRPr="00E27C63" w:rsidRDefault="00951F79" w:rsidP="00951F79">
      <w:pPr>
        <w:tabs>
          <w:tab w:val="left" w:pos="425"/>
        </w:tabs>
        <w:ind w:left="425" w:hanging="425"/>
        <w:jc w:val="both"/>
        <w:rPr>
          <w:rFonts w:cs="Arial"/>
          <w:b/>
          <w:sz w:val="22"/>
          <w:szCs w:val="22"/>
          <w:lang w:val="es-PE" w:eastAsia="es-PE"/>
        </w:rPr>
      </w:pPr>
      <w:r w:rsidRPr="00E27C63">
        <w:rPr>
          <w:rFonts w:cs="Arial"/>
          <w:b/>
          <w:sz w:val="22"/>
          <w:szCs w:val="22"/>
        </w:rPr>
        <w:t>Única. Resolución de Superintendencia N.° </w:t>
      </w:r>
      <w:r w:rsidRPr="00E27C63">
        <w:rPr>
          <w:rStyle w:val="resolsunat"/>
          <w:rFonts w:cs="Arial"/>
          <w:b/>
          <w:sz w:val="22"/>
          <w:szCs w:val="22"/>
        </w:rPr>
        <w:t>144-2004</w:t>
      </w:r>
      <w:r w:rsidR="00474E99">
        <w:rPr>
          <w:rStyle w:val="resolsunat"/>
          <w:rFonts w:cs="Arial"/>
          <w:b/>
          <w:sz w:val="22"/>
          <w:szCs w:val="22"/>
        </w:rPr>
        <w:t>/</w:t>
      </w:r>
      <w:r w:rsidRPr="00E27C63">
        <w:rPr>
          <w:rStyle w:val="resolsunat"/>
          <w:rFonts w:cs="Arial"/>
          <w:b/>
          <w:sz w:val="22"/>
          <w:szCs w:val="22"/>
        </w:rPr>
        <w:t>SUNAT</w:t>
      </w:r>
    </w:p>
    <w:p w:rsidR="00951F79" w:rsidRPr="00E27C63" w:rsidRDefault="00951F79" w:rsidP="00951F79">
      <w:pPr>
        <w:tabs>
          <w:tab w:val="left" w:pos="425"/>
        </w:tabs>
        <w:ind w:left="425" w:hanging="425"/>
        <w:jc w:val="both"/>
        <w:rPr>
          <w:rFonts w:cs="Arial"/>
          <w:sz w:val="22"/>
          <w:szCs w:val="22"/>
          <w:lang w:val="es-PE"/>
        </w:rPr>
      </w:pPr>
    </w:p>
    <w:p w:rsidR="00951F79" w:rsidRPr="00E27C63" w:rsidRDefault="00951F79" w:rsidP="00951F79">
      <w:pPr>
        <w:jc w:val="both"/>
        <w:rPr>
          <w:rFonts w:cs="Arial"/>
          <w:sz w:val="22"/>
          <w:szCs w:val="22"/>
        </w:rPr>
      </w:pPr>
      <w:r w:rsidRPr="00E27C63">
        <w:rPr>
          <w:rFonts w:cs="Arial"/>
          <w:sz w:val="22"/>
          <w:szCs w:val="22"/>
        </w:rPr>
        <w:t xml:space="preserve">Modifíquese el artículo 4 de la Resolución de Superintendencia N.° </w:t>
      </w:r>
      <w:r w:rsidRPr="00E27C63">
        <w:rPr>
          <w:rFonts w:cs="Arial"/>
          <w:sz w:val="22"/>
          <w:szCs w:val="22"/>
          <w:lang w:eastAsia="es-PE"/>
        </w:rPr>
        <w:t>144</w:t>
      </w:r>
      <w:r w:rsidRPr="00E27C63">
        <w:rPr>
          <w:rFonts w:cs="Arial"/>
          <w:sz w:val="22"/>
          <w:szCs w:val="22"/>
        </w:rPr>
        <w:t>-2004/SUNAT y normas modificatorias, en los términos siguientes</w:t>
      </w:r>
      <w:r w:rsidR="00006963" w:rsidRPr="00E27C63">
        <w:rPr>
          <w:rFonts w:cs="Arial"/>
          <w:sz w:val="22"/>
          <w:szCs w:val="22"/>
        </w:rPr>
        <w:t>:</w:t>
      </w:r>
    </w:p>
    <w:p w:rsidR="00951F79" w:rsidRPr="00E27C63" w:rsidRDefault="00951F79" w:rsidP="00951F79">
      <w:pPr>
        <w:overflowPunct/>
        <w:autoSpaceDE/>
        <w:adjustRightInd/>
        <w:spacing w:before="100" w:beforeAutospacing="1" w:after="100" w:afterAutospacing="1"/>
        <w:jc w:val="both"/>
        <w:rPr>
          <w:rFonts w:cs="Arial"/>
          <w:color w:val="000000"/>
          <w:sz w:val="22"/>
          <w:szCs w:val="22"/>
          <w:lang w:val="es-PE" w:eastAsia="es-PE"/>
        </w:rPr>
      </w:pPr>
      <w:r w:rsidRPr="00E27C63">
        <w:rPr>
          <w:rFonts w:cs="Arial"/>
          <w:bCs/>
          <w:color w:val="000000"/>
          <w:sz w:val="22"/>
          <w:szCs w:val="22"/>
          <w:lang w:val="es-PE" w:eastAsia="es-PE"/>
        </w:rPr>
        <w:t>“Artículo 4.- COLOCACIÓN DE CARTELES OFICIALES EN EL CASO DEL RECONOCIMIENTO DE LA INFRACCIÓN MEDIANTE ACTA DE RECONOCIMIENTO</w:t>
      </w:r>
    </w:p>
    <w:p w:rsidR="00951F79" w:rsidRPr="00E27C63" w:rsidRDefault="00951F79" w:rsidP="00951F79">
      <w:pPr>
        <w:overflowPunct/>
        <w:autoSpaceDE/>
        <w:adjustRightInd/>
        <w:spacing w:before="100" w:beforeAutospacing="1" w:after="100" w:afterAutospacing="1"/>
        <w:jc w:val="both"/>
        <w:rPr>
          <w:rFonts w:cs="Arial"/>
          <w:b/>
          <w:bCs/>
          <w:color w:val="000000"/>
          <w:sz w:val="22"/>
          <w:szCs w:val="22"/>
          <w:lang w:val="es-PE" w:eastAsia="es-PE"/>
        </w:rPr>
      </w:pPr>
      <w:r w:rsidRPr="00E27C63">
        <w:rPr>
          <w:rFonts w:cs="Arial"/>
          <w:color w:val="000000"/>
          <w:sz w:val="22"/>
          <w:szCs w:val="22"/>
          <w:lang w:val="es-PE" w:eastAsia="es-PE"/>
        </w:rPr>
        <w:t>Cuando el infractor reconozca mediante el Acta de Reconocimiento que ha incurrido en la primera infracción tipificada en los numerales 2 o 3 del artículo 174 del Código Tributario, al amparo de la Nota (4) de las Tablas I y II, y de la Nota (5) de la Tabla III del referido cuerpo normativo, la SUNAT en el ejercicio de sus funciones procederá a la colocación de los carteles oficiales de acuerdo al procedimiento establecido en el artículo 3 computándose el plazo de cuarenta y cinco (45) días hábiles desde el día siguiente de la presentación del Acta de Reconocimiento, siempre que la referida acta se considere presentada al amparo del artículo 7 del Régimen de Gradualidad.</w:t>
      </w:r>
    </w:p>
    <w:p w:rsidR="00951F79" w:rsidRPr="00E27C63" w:rsidRDefault="00951F79" w:rsidP="00006963">
      <w:pPr>
        <w:overflowPunct/>
        <w:autoSpaceDE/>
        <w:adjustRightInd/>
        <w:jc w:val="both"/>
        <w:rPr>
          <w:rFonts w:cs="Arial"/>
          <w:color w:val="000000"/>
          <w:sz w:val="22"/>
          <w:szCs w:val="22"/>
          <w:lang w:val="es-PE" w:eastAsia="es-PE"/>
        </w:rPr>
      </w:pPr>
      <w:r w:rsidRPr="00E27C63">
        <w:rPr>
          <w:rFonts w:cs="Arial"/>
          <w:color w:val="000000"/>
          <w:sz w:val="22"/>
          <w:szCs w:val="22"/>
          <w:lang w:val="es-PE" w:eastAsia="es-PE"/>
        </w:rPr>
        <w:t>Para efecto del párrafo anterior, se deberá tener en cuenta la definición de Acta de Reconocimiento prevista en el inciso a) del artículo 1 del Régimen de Gradualidad.”</w:t>
      </w:r>
    </w:p>
    <w:p w:rsidR="00AE7A79" w:rsidRPr="00E27C63" w:rsidRDefault="00AE7A79" w:rsidP="00951F79">
      <w:pPr>
        <w:jc w:val="center"/>
        <w:rPr>
          <w:rFonts w:cs="Arial"/>
          <w:b/>
          <w:sz w:val="22"/>
          <w:szCs w:val="22"/>
          <w:lang w:val="es-PE"/>
        </w:rPr>
      </w:pPr>
    </w:p>
    <w:p w:rsidR="00951F79" w:rsidRPr="00E27C63" w:rsidRDefault="00951F79" w:rsidP="00951F79">
      <w:pPr>
        <w:jc w:val="center"/>
        <w:rPr>
          <w:rFonts w:cs="Arial"/>
          <w:b/>
          <w:sz w:val="22"/>
          <w:szCs w:val="22"/>
          <w:lang w:val="es-PE"/>
        </w:rPr>
      </w:pPr>
      <w:r w:rsidRPr="00E27C63">
        <w:rPr>
          <w:rFonts w:cs="Arial"/>
          <w:b/>
          <w:sz w:val="22"/>
          <w:szCs w:val="22"/>
          <w:lang w:val="es-PE"/>
        </w:rPr>
        <w:t>DISPOSICIÓN COMPLEMENTARIA TRANSITORIA</w:t>
      </w:r>
    </w:p>
    <w:p w:rsidR="00951F79" w:rsidRPr="00E27C63" w:rsidRDefault="00951F79" w:rsidP="00951F79">
      <w:pPr>
        <w:pStyle w:val="Ttulo2"/>
        <w:jc w:val="center"/>
        <w:rPr>
          <w:rFonts w:cs="Arial"/>
          <w:sz w:val="22"/>
          <w:szCs w:val="22"/>
        </w:rPr>
      </w:pPr>
    </w:p>
    <w:p w:rsidR="00951F79" w:rsidRPr="00E27C63" w:rsidRDefault="00951F79" w:rsidP="00951F79">
      <w:pPr>
        <w:jc w:val="both"/>
        <w:rPr>
          <w:rFonts w:cs="Arial"/>
          <w:b/>
          <w:sz w:val="22"/>
          <w:szCs w:val="22"/>
        </w:rPr>
      </w:pPr>
      <w:r w:rsidRPr="00E27C63">
        <w:rPr>
          <w:rFonts w:cs="Arial"/>
          <w:b/>
          <w:sz w:val="22"/>
          <w:szCs w:val="22"/>
        </w:rPr>
        <w:t>Única. D</w:t>
      </w:r>
      <w:r w:rsidR="00EE09BF" w:rsidRPr="00E27C63">
        <w:rPr>
          <w:rFonts w:cs="Arial"/>
          <w:b/>
          <w:sz w:val="22"/>
          <w:szCs w:val="22"/>
        </w:rPr>
        <w:t>e la aplicación de</w:t>
      </w:r>
      <w:r w:rsidR="00346208" w:rsidRPr="00E27C63">
        <w:rPr>
          <w:rFonts w:cs="Arial"/>
          <w:b/>
          <w:sz w:val="22"/>
          <w:szCs w:val="22"/>
        </w:rPr>
        <w:t>l</w:t>
      </w:r>
      <w:r w:rsidRPr="00E27C63">
        <w:rPr>
          <w:rFonts w:cs="Arial"/>
          <w:b/>
          <w:sz w:val="22"/>
          <w:szCs w:val="22"/>
        </w:rPr>
        <w:t xml:space="preserve"> Reglamento modificado </w:t>
      </w:r>
      <w:r w:rsidR="00346208" w:rsidRPr="00E27C63">
        <w:rPr>
          <w:rFonts w:cs="Arial"/>
          <w:b/>
          <w:sz w:val="22"/>
          <w:szCs w:val="22"/>
        </w:rPr>
        <w:t xml:space="preserve">por la presente resolución </w:t>
      </w:r>
    </w:p>
    <w:p w:rsidR="007C6C72" w:rsidRPr="00E27C63" w:rsidRDefault="007C6C72" w:rsidP="00951F79">
      <w:pPr>
        <w:jc w:val="both"/>
        <w:rPr>
          <w:rFonts w:cs="Arial"/>
          <w:i/>
          <w:sz w:val="22"/>
          <w:szCs w:val="22"/>
        </w:rPr>
      </w:pPr>
    </w:p>
    <w:p w:rsidR="00951F79" w:rsidRPr="00E27C63" w:rsidRDefault="00346208" w:rsidP="00951F79">
      <w:pPr>
        <w:numPr>
          <w:ilvl w:val="1"/>
          <w:numId w:val="3"/>
        </w:numPr>
        <w:ind w:left="426" w:hanging="426"/>
        <w:jc w:val="both"/>
        <w:rPr>
          <w:rFonts w:cs="Arial"/>
          <w:b/>
          <w:sz w:val="22"/>
          <w:szCs w:val="22"/>
        </w:rPr>
      </w:pPr>
      <w:r w:rsidRPr="00E27C63">
        <w:rPr>
          <w:rFonts w:cs="Arial"/>
          <w:sz w:val="22"/>
          <w:szCs w:val="22"/>
        </w:rPr>
        <w:t xml:space="preserve">Las disposiciones del </w:t>
      </w:r>
      <w:r w:rsidR="00951F79" w:rsidRPr="00E27C63">
        <w:rPr>
          <w:rFonts w:cs="Arial"/>
          <w:sz w:val="22"/>
          <w:szCs w:val="22"/>
        </w:rPr>
        <w:t xml:space="preserve">Reglamento </w:t>
      </w:r>
      <w:r w:rsidRPr="00E27C63">
        <w:rPr>
          <w:rFonts w:cs="Arial"/>
          <w:sz w:val="22"/>
          <w:szCs w:val="22"/>
        </w:rPr>
        <w:t xml:space="preserve">modificadas a partir del </w:t>
      </w:r>
      <w:r w:rsidR="00434846" w:rsidRPr="00E27C63">
        <w:rPr>
          <w:rFonts w:cs="Arial"/>
          <w:sz w:val="22"/>
          <w:szCs w:val="22"/>
        </w:rPr>
        <w:t>2</w:t>
      </w:r>
      <w:r w:rsidRPr="00E27C63">
        <w:rPr>
          <w:rFonts w:cs="Arial"/>
          <w:sz w:val="22"/>
          <w:szCs w:val="22"/>
        </w:rPr>
        <w:t xml:space="preserve"> de enero de 2020 </w:t>
      </w:r>
      <w:r w:rsidR="00951F79" w:rsidRPr="00E27C63">
        <w:rPr>
          <w:rFonts w:cs="Arial"/>
          <w:sz w:val="22"/>
          <w:szCs w:val="22"/>
        </w:rPr>
        <w:t>se aplica</w:t>
      </w:r>
      <w:r w:rsidRPr="00E27C63">
        <w:rPr>
          <w:rFonts w:cs="Arial"/>
          <w:sz w:val="22"/>
          <w:szCs w:val="22"/>
        </w:rPr>
        <w:t>n</w:t>
      </w:r>
      <w:r w:rsidR="00951F79" w:rsidRPr="00E27C63">
        <w:rPr>
          <w:rFonts w:cs="Arial"/>
          <w:sz w:val="22"/>
          <w:szCs w:val="22"/>
        </w:rPr>
        <w:t xml:space="preserve"> a las infracciones tipificadas en los numerales 1, 2 y 3 del artículo 174 del Código Tributario, cometidas o detectadas a partir del </w:t>
      </w:r>
      <w:r w:rsidR="000202BD" w:rsidRPr="00E27C63">
        <w:rPr>
          <w:rFonts w:cs="Arial"/>
          <w:sz w:val="22"/>
          <w:szCs w:val="22"/>
        </w:rPr>
        <w:t>3</w:t>
      </w:r>
      <w:r w:rsidR="00951F79" w:rsidRPr="00E27C63">
        <w:rPr>
          <w:rFonts w:cs="Arial"/>
          <w:sz w:val="22"/>
          <w:szCs w:val="22"/>
        </w:rPr>
        <w:t xml:space="preserve"> de enero de 2020.</w:t>
      </w:r>
    </w:p>
    <w:p w:rsidR="00951F79" w:rsidRPr="00E27C63" w:rsidRDefault="00951F79" w:rsidP="00951F79">
      <w:pPr>
        <w:ind w:left="426" w:hanging="426"/>
        <w:rPr>
          <w:rFonts w:cs="Arial"/>
          <w:sz w:val="22"/>
          <w:szCs w:val="22"/>
        </w:rPr>
      </w:pPr>
      <w:r w:rsidRPr="00E27C63">
        <w:rPr>
          <w:rFonts w:cs="Arial"/>
          <w:sz w:val="22"/>
          <w:szCs w:val="22"/>
        </w:rPr>
        <w:t xml:space="preserve">      </w:t>
      </w:r>
    </w:p>
    <w:p w:rsidR="00951F79" w:rsidRPr="00E27C63" w:rsidRDefault="00951F79" w:rsidP="00951F79">
      <w:pPr>
        <w:ind w:left="426" w:hanging="426"/>
        <w:jc w:val="both"/>
        <w:rPr>
          <w:rFonts w:cs="Arial"/>
          <w:sz w:val="22"/>
          <w:szCs w:val="22"/>
        </w:rPr>
      </w:pPr>
      <w:r w:rsidRPr="00E27C63">
        <w:rPr>
          <w:rFonts w:cs="Arial"/>
          <w:sz w:val="22"/>
          <w:szCs w:val="22"/>
        </w:rPr>
        <w:t xml:space="preserve">       A las infracciones tipificadas en los numerales 1, 2 y 3 del artículo 174 del Código Tributario, cometidas o detectadas hasta el </w:t>
      </w:r>
      <w:r w:rsidR="000202BD" w:rsidRPr="00E27C63">
        <w:rPr>
          <w:rFonts w:cs="Arial"/>
          <w:sz w:val="22"/>
          <w:szCs w:val="22"/>
        </w:rPr>
        <w:t>1</w:t>
      </w:r>
      <w:r w:rsidRPr="00E27C63">
        <w:rPr>
          <w:rFonts w:cs="Arial"/>
          <w:sz w:val="22"/>
          <w:szCs w:val="22"/>
        </w:rPr>
        <w:t xml:space="preserve"> de </w:t>
      </w:r>
      <w:r w:rsidR="000202BD" w:rsidRPr="00E27C63">
        <w:rPr>
          <w:rFonts w:cs="Arial"/>
          <w:sz w:val="22"/>
          <w:szCs w:val="22"/>
        </w:rPr>
        <w:t>enero</w:t>
      </w:r>
      <w:r w:rsidRPr="00E27C63">
        <w:rPr>
          <w:rFonts w:cs="Arial"/>
          <w:sz w:val="22"/>
          <w:szCs w:val="22"/>
        </w:rPr>
        <w:t xml:space="preserve"> de 20</w:t>
      </w:r>
      <w:r w:rsidR="000202BD" w:rsidRPr="00E27C63">
        <w:rPr>
          <w:rFonts w:cs="Arial"/>
          <w:sz w:val="22"/>
          <w:szCs w:val="22"/>
        </w:rPr>
        <w:t>20</w:t>
      </w:r>
      <w:r w:rsidRPr="00E27C63">
        <w:rPr>
          <w:rFonts w:cs="Arial"/>
          <w:sz w:val="22"/>
          <w:szCs w:val="22"/>
        </w:rPr>
        <w:t>, se les aplica</w:t>
      </w:r>
      <w:r w:rsidR="00346208" w:rsidRPr="00E27C63">
        <w:rPr>
          <w:rFonts w:cs="Arial"/>
          <w:sz w:val="22"/>
          <w:szCs w:val="22"/>
        </w:rPr>
        <w:t>n</w:t>
      </w:r>
      <w:r w:rsidRPr="00E27C63">
        <w:rPr>
          <w:rFonts w:cs="Arial"/>
          <w:sz w:val="22"/>
          <w:szCs w:val="22"/>
        </w:rPr>
        <w:t xml:space="preserve"> </w:t>
      </w:r>
      <w:r w:rsidR="00346208" w:rsidRPr="00E27C63">
        <w:rPr>
          <w:rFonts w:cs="Arial"/>
          <w:sz w:val="22"/>
          <w:szCs w:val="22"/>
        </w:rPr>
        <w:t xml:space="preserve">las disposiciones del </w:t>
      </w:r>
      <w:r w:rsidRPr="00E27C63">
        <w:rPr>
          <w:rFonts w:cs="Arial"/>
          <w:sz w:val="22"/>
          <w:szCs w:val="22"/>
        </w:rPr>
        <w:t>Reglamento vigente</w:t>
      </w:r>
      <w:r w:rsidR="00346208" w:rsidRPr="00E27C63">
        <w:rPr>
          <w:rFonts w:cs="Arial"/>
          <w:sz w:val="22"/>
          <w:szCs w:val="22"/>
        </w:rPr>
        <w:t>s</w:t>
      </w:r>
      <w:r w:rsidRPr="00E27C63">
        <w:rPr>
          <w:rFonts w:cs="Arial"/>
          <w:sz w:val="22"/>
          <w:szCs w:val="22"/>
        </w:rPr>
        <w:t xml:space="preserve"> a la fecha de su comisión o detección. </w:t>
      </w:r>
    </w:p>
    <w:p w:rsidR="00951F79" w:rsidRPr="00E27C63" w:rsidRDefault="00951F79" w:rsidP="00951F79">
      <w:pPr>
        <w:ind w:left="426" w:hanging="426"/>
        <w:rPr>
          <w:strike/>
          <w:sz w:val="22"/>
          <w:szCs w:val="22"/>
        </w:rPr>
      </w:pPr>
      <w:r w:rsidRPr="00E27C63">
        <w:rPr>
          <w:rFonts w:cs="Arial"/>
          <w:strike/>
          <w:sz w:val="22"/>
          <w:szCs w:val="22"/>
        </w:rPr>
        <w:t xml:space="preserve">       </w:t>
      </w:r>
    </w:p>
    <w:p w:rsidR="00951F79" w:rsidRPr="00E27C63" w:rsidRDefault="00951F79" w:rsidP="00951F79">
      <w:pPr>
        <w:ind w:left="426" w:hanging="426"/>
        <w:jc w:val="both"/>
        <w:rPr>
          <w:rFonts w:cs="Arial"/>
          <w:sz w:val="22"/>
          <w:szCs w:val="22"/>
          <w:lang w:val="es-PE" w:eastAsia="es-PE"/>
        </w:rPr>
      </w:pPr>
      <w:r w:rsidRPr="00E27C63">
        <w:rPr>
          <w:rFonts w:cs="Arial"/>
          <w:sz w:val="22"/>
          <w:szCs w:val="22"/>
        </w:rPr>
        <w:t>1.2.</w:t>
      </w:r>
      <w:r w:rsidRPr="00E27C63">
        <w:rPr>
          <w:rFonts w:cs="Arial"/>
          <w:sz w:val="22"/>
          <w:szCs w:val="22"/>
        </w:rPr>
        <w:tab/>
      </w:r>
      <w:r w:rsidRPr="00E27C63">
        <w:rPr>
          <w:rFonts w:cs="Arial"/>
          <w:sz w:val="22"/>
          <w:szCs w:val="22"/>
          <w:lang w:val="es-PE" w:eastAsia="es-PE"/>
        </w:rPr>
        <w:t xml:space="preserve">El </w:t>
      </w:r>
      <w:r w:rsidR="00D72CAB" w:rsidRPr="00E27C63">
        <w:rPr>
          <w:rFonts w:cs="Arial"/>
          <w:sz w:val="22"/>
          <w:szCs w:val="22"/>
          <w:lang w:val="es-PE" w:eastAsia="es-PE"/>
        </w:rPr>
        <w:t>cuadro del numeral</w:t>
      </w:r>
      <w:r w:rsidRPr="00E27C63">
        <w:rPr>
          <w:rFonts w:cs="Arial"/>
          <w:sz w:val="22"/>
          <w:szCs w:val="22"/>
          <w:lang w:val="es-PE" w:eastAsia="es-PE"/>
        </w:rPr>
        <w:t xml:space="preserve"> 11-A </w:t>
      </w:r>
      <w:r w:rsidR="00212A76" w:rsidRPr="00E27C63">
        <w:rPr>
          <w:rFonts w:cs="Arial"/>
          <w:sz w:val="22"/>
          <w:szCs w:val="22"/>
          <w:lang w:val="es-PE" w:eastAsia="es-PE"/>
        </w:rPr>
        <w:t xml:space="preserve">del anexo </w:t>
      </w:r>
      <w:r w:rsidRPr="00E27C63">
        <w:rPr>
          <w:rFonts w:cs="Arial"/>
          <w:sz w:val="22"/>
          <w:szCs w:val="22"/>
          <w:lang w:val="es-PE" w:eastAsia="es-PE"/>
        </w:rPr>
        <w:t>II del Reglamento</w:t>
      </w:r>
      <w:r w:rsidR="00637C55" w:rsidRPr="00E27C63">
        <w:rPr>
          <w:rFonts w:cs="Arial"/>
          <w:sz w:val="22"/>
          <w:szCs w:val="22"/>
          <w:lang w:val="es-PE" w:eastAsia="es-PE"/>
        </w:rPr>
        <w:t>,</w:t>
      </w:r>
      <w:r w:rsidRPr="00E27C63">
        <w:rPr>
          <w:rFonts w:cs="Arial"/>
          <w:sz w:val="22"/>
          <w:szCs w:val="22"/>
          <w:lang w:val="es-PE" w:eastAsia="es-PE"/>
        </w:rPr>
        <w:t xml:space="preserve"> </w:t>
      </w:r>
      <w:r w:rsidR="00637C55" w:rsidRPr="00E27C63">
        <w:rPr>
          <w:rFonts w:cs="Arial"/>
          <w:sz w:val="22"/>
          <w:szCs w:val="22"/>
          <w:lang w:val="es-PE" w:eastAsia="es-PE"/>
        </w:rPr>
        <w:t xml:space="preserve">incorporado en ese anexo </w:t>
      </w:r>
      <w:r w:rsidR="00D72CAB" w:rsidRPr="00E27C63">
        <w:rPr>
          <w:rFonts w:cs="Arial"/>
          <w:sz w:val="22"/>
          <w:szCs w:val="22"/>
        </w:rPr>
        <w:t>por el párrafo 3.</w:t>
      </w:r>
      <w:r w:rsidR="00410A8E" w:rsidRPr="00E27C63">
        <w:rPr>
          <w:rFonts w:cs="Arial"/>
          <w:sz w:val="22"/>
          <w:szCs w:val="22"/>
        </w:rPr>
        <w:t>3</w:t>
      </w:r>
      <w:r w:rsidR="00D72CAB" w:rsidRPr="00E27C63">
        <w:rPr>
          <w:rFonts w:cs="Arial"/>
          <w:sz w:val="22"/>
          <w:szCs w:val="22"/>
        </w:rPr>
        <w:t xml:space="preserve">. del artículo 3 </w:t>
      </w:r>
      <w:r w:rsidR="00540B2E" w:rsidRPr="00E27C63">
        <w:rPr>
          <w:rFonts w:cs="Arial"/>
          <w:sz w:val="22"/>
          <w:szCs w:val="22"/>
        </w:rPr>
        <w:t xml:space="preserve">de </w:t>
      </w:r>
      <w:r w:rsidR="00D72CAB" w:rsidRPr="00E27C63">
        <w:rPr>
          <w:rFonts w:cs="Arial"/>
          <w:sz w:val="22"/>
          <w:szCs w:val="22"/>
        </w:rPr>
        <w:t>esta</w:t>
      </w:r>
      <w:r w:rsidRPr="00E27C63">
        <w:rPr>
          <w:rFonts w:cs="Arial"/>
          <w:sz w:val="22"/>
          <w:szCs w:val="22"/>
        </w:rPr>
        <w:t xml:space="preserve"> </w:t>
      </w:r>
      <w:r w:rsidR="00D72CAB" w:rsidRPr="00E27C63">
        <w:rPr>
          <w:rFonts w:cs="Arial"/>
          <w:sz w:val="22"/>
          <w:szCs w:val="22"/>
        </w:rPr>
        <w:t>r</w:t>
      </w:r>
      <w:r w:rsidRPr="00E27C63">
        <w:rPr>
          <w:rFonts w:cs="Arial"/>
          <w:sz w:val="22"/>
          <w:szCs w:val="22"/>
        </w:rPr>
        <w:t xml:space="preserve">esolución, </w:t>
      </w:r>
      <w:r w:rsidRPr="00E27C63">
        <w:rPr>
          <w:rFonts w:cs="Arial"/>
          <w:sz w:val="22"/>
          <w:szCs w:val="22"/>
          <w:lang w:val="es-PE" w:eastAsia="es-PE"/>
        </w:rPr>
        <w:t xml:space="preserve">se aplica </w:t>
      </w:r>
      <w:r w:rsidR="00926874" w:rsidRPr="00E27C63">
        <w:rPr>
          <w:rFonts w:cs="Arial"/>
          <w:sz w:val="22"/>
          <w:szCs w:val="22"/>
          <w:lang w:val="es-PE" w:eastAsia="es-PE"/>
        </w:rPr>
        <w:t xml:space="preserve">a </w:t>
      </w:r>
      <w:r w:rsidR="00346208" w:rsidRPr="00E27C63">
        <w:rPr>
          <w:rFonts w:cs="Arial"/>
          <w:sz w:val="22"/>
          <w:szCs w:val="22"/>
          <w:lang w:val="es-PE" w:eastAsia="es-PE"/>
        </w:rPr>
        <w:t>la</w:t>
      </w:r>
      <w:r w:rsidRPr="00E27C63">
        <w:rPr>
          <w:rFonts w:cs="Arial"/>
          <w:sz w:val="22"/>
          <w:szCs w:val="22"/>
          <w:lang w:val="es-PE" w:eastAsia="es-PE"/>
        </w:rPr>
        <w:t xml:space="preserve">s infracciones tipificadas en el numeral 10 del artículo 175 del Código Tributario, cometidas o detectadas </w:t>
      </w:r>
      <w:r w:rsidR="00926874" w:rsidRPr="00E27C63">
        <w:rPr>
          <w:rFonts w:cs="Arial"/>
          <w:sz w:val="22"/>
          <w:szCs w:val="22"/>
          <w:lang w:val="es-PE" w:eastAsia="es-PE"/>
        </w:rPr>
        <w:t xml:space="preserve">incluso desde el 14 de setiembre de 2018 </w:t>
      </w:r>
      <w:r w:rsidRPr="00E27C63">
        <w:rPr>
          <w:rFonts w:cs="Arial"/>
          <w:sz w:val="22"/>
          <w:szCs w:val="22"/>
          <w:lang w:val="es-PE" w:eastAsia="es-PE"/>
        </w:rPr>
        <w:t xml:space="preserve">siempre que el infractor cumpla desde </w:t>
      </w:r>
      <w:r w:rsidR="00926874" w:rsidRPr="00E27C63">
        <w:rPr>
          <w:rFonts w:cs="Arial"/>
          <w:sz w:val="22"/>
          <w:szCs w:val="22"/>
          <w:lang w:val="es-PE" w:eastAsia="es-PE"/>
        </w:rPr>
        <w:t xml:space="preserve">dicha fecha </w:t>
      </w:r>
      <w:r w:rsidRPr="00E27C63">
        <w:rPr>
          <w:rFonts w:cs="Arial"/>
          <w:sz w:val="22"/>
          <w:szCs w:val="22"/>
          <w:lang w:val="es-PE" w:eastAsia="es-PE"/>
        </w:rPr>
        <w:t>con todos</w:t>
      </w:r>
      <w:r w:rsidR="005E201C" w:rsidRPr="00E27C63">
        <w:rPr>
          <w:rFonts w:cs="Arial"/>
          <w:sz w:val="22"/>
          <w:szCs w:val="22"/>
          <w:lang w:val="es-PE" w:eastAsia="es-PE"/>
        </w:rPr>
        <w:t xml:space="preserve"> los</w:t>
      </w:r>
      <w:r w:rsidRPr="00E27C63">
        <w:rPr>
          <w:rFonts w:cs="Arial"/>
          <w:sz w:val="22"/>
          <w:szCs w:val="22"/>
          <w:lang w:val="es-PE" w:eastAsia="es-PE"/>
        </w:rPr>
        <w:t xml:space="preserve"> criterios de gradualidad establecidos respecto de esa infracción. </w:t>
      </w:r>
    </w:p>
    <w:p w:rsidR="00951F79" w:rsidRPr="00E27C63" w:rsidRDefault="00951F79" w:rsidP="00951F79">
      <w:pPr>
        <w:ind w:left="426" w:hanging="426"/>
        <w:jc w:val="both"/>
        <w:rPr>
          <w:rFonts w:cs="Arial"/>
          <w:sz w:val="22"/>
          <w:szCs w:val="22"/>
          <w:lang w:val="es-PE" w:eastAsia="es-PE"/>
        </w:rPr>
      </w:pPr>
    </w:p>
    <w:p w:rsidR="00345BD2" w:rsidRPr="00E27C63" w:rsidRDefault="00345BD2" w:rsidP="00951F79">
      <w:pPr>
        <w:ind w:left="426" w:hanging="426"/>
        <w:jc w:val="both"/>
        <w:rPr>
          <w:rFonts w:cs="Arial"/>
          <w:sz w:val="22"/>
          <w:szCs w:val="22"/>
          <w:lang w:val="es-PE" w:eastAsia="es-PE"/>
        </w:rPr>
      </w:pPr>
    </w:p>
    <w:p w:rsidR="00951F79" w:rsidRPr="00E27C63" w:rsidRDefault="00951F79" w:rsidP="00951F79">
      <w:pPr>
        <w:overflowPunct/>
        <w:autoSpaceDE/>
        <w:adjustRightInd/>
        <w:ind w:left="425"/>
        <w:jc w:val="both"/>
        <w:rPr>
          <w:rFonts w:cs="Arial"/>
          <w:sz w:val="22"/>
          <w:szCs w:val="22"/>
          <w:lang w:val="es-PE" w:eastAsia="es-PE"/>
        </w:rPr>
      </w:pPr>
      <w:r w:rsidRPr="00E27C63">
        <w:rPr>
          <w:rFonts w:cs="Arial"/>
          <w:sz w:val="22"/>
          <w:szCs w:val="22"/>
          <w:lang w:val="es-PE" w:eastAsia="es-PE"/>
        </w:rPr>
        <w:lastRenderedPageBreak/>
        <w:t>Lo antes señalado no genera derecho alguno a devolución o compensación.</w:t>
      </w:r>
    </w:p>
    <w:p w:rsidR="00951F79" w:rsidRPr="00E27C63" w:rsidRDefault="00951F79" w:rsidP="00951F79">
      <w:pPr>
        <w:overflowPunct/>
        <w:autoSpaceDE/>
        <w:adjustRightInd/>
        <w:ind w:left="425"/>
        <w:jc w:val="both"/>
        <w:rPr>
          <w:rFonts w:cs="Arial"/>
          <w:i/>
          <w:sz w:val="22"/>
          <w:szCs w:val="22"/>
          <w:lang w:val="es-PE" w:eastAsia="es-PE"/>
        </w:rPr>
      </w:pPr>
    </w:p>
    <w:p w:rsidR="00951F79" w:rsidRDefault="00951F79" w:rsidP="00951F79">
      <w:pPr>
        <w:rPr>
          <w:rFonts w:cs="Arial"/>
          <w:sz w:val="22"/>
          <w:szCs w:val="22"/>
        </w:rPr>
      </w:pPr>
      <w:r w:rsidRPr="00E27C63">
        <w:rPr>
          <w:rFonts w:cs="Arial"/>
          <w:sz w:val="22"/>
          <w:szCs w:val="22"/>
        </w:rPr>
        <w:t>Regístrese, comuníquese y publíquese</w:t>
      </w:r>
      <w:r w:rsidR="00B80E01" w:rsidRPr="00E27C63">
        <w:rPr>
          <w:rFonts w:cs="Arial"/>
          <w:sz w:val="22"/>
          <w:szCs w:val="22"/>
        </w:rPr>
        <w:t>.</w:t>
      </w:r>
    </w:p>
    <w:p w:rsidR="00951F79" w:rsidRDefault="00951F79" w:rsidP="00951F79">
      <w:pPr>
        <w:tabs>
          <w:tab w:val="left" w:pos="425"/>
        </w:tabs>
        <w:ind w:left="425" w:hanging="425"/>
        <w:jc w:val="both"/>
        <w:rPr>
          <w:sz w:val="22"/>
          <w:lang w:val="es-PE"/>
        </w:rPr>
      </w:pPr>
    </w:p>
    <w:p w:rsidR="006C6FB2" w:rsidRDefault="006C6FB2"/>
    <w:sectPr w:rsidR="006C6FB2" w:rsidSect="00AE7A79">
      <w:pgSz w:w="11906" w:h="16838" w:code="9"/>
      <w:pgMar w:top="4536"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439D" w:rsidRDefault="0043439D" w:rsidP="00951F79">
      <w:r>
        <w:separator/>
      </w:r>
    </w:p>
  </w:endnote>
  <w:endnote w:type="continuationSeparator" w:id="0">
    <w:p w:rsidR="0043439D" w:rsidRDefault="0043439D" w:rsidP="00951F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439D" w:rsidRDefault="0043439D" w:rsidP="00951F79">
      <w:r>
        <w:separator/>
      </w:r>
    </w:p>
  </w:footnote>
  <w:footnote w:type="continuationSeparator" w:id="0">
    <w:p w:rsidR="0043439D" w:rsidRDefault="0043439D" w:rsidP="00951F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02B90"/>
    <w:multiLevelType w:val="hybridMultilevel"/>
    <w:tmpl w:val="62802CBE"/>
    <w:lvl w:ilvl="0" w:tplc="B0DC9000">
      <w:start w:val="1"/>
      <w:numFmt w:val="lowerRoman"/>
      <w:lvlText w:val="%1)"/>
      <w:lvlJc w:val="left"/>
      <w:pPr>
        <w:tabs>
          <w:tab w:val="num" w:pos="1825"/>
        </w:tabs>
        <w:ind w:left="1825" w:hanging="720"/>
      </w:pPr>
    </w:lvl>
    <w:lvl w:ilvl="1" w:tplc="0C0A0019">
      <w:start w:val="1"/>
      <w:numFmt w:val="lowerLetter"/>
      <w:lvlText w:val="%2."/>
      <w:lvlJc w:val="left"/>
      <w:pPr>
        <w:tabs>
          <w:tab w:val="num" w:pos="2185"/>
        </w:tabs>
        <w:ind w:left="2185" w:hanging="360"/>
      </w:pPr>
    </w:lvl>
    <w:lvl w:ilvl="2" w:tplc="0C0A001B">
      <w:start w:val="1"/>
      <w:numFmt w:val="lowerRoman"/>
      <w:lvlText w:val="%3."/>
      <w:lvlJc w:val="right"/>
      <w:pPr>
        <w:tabs>
          <w:tab w:val="num" w:pos="2905"/>
        </w:tabs>
        <w:ind w:left="2905" w:hanging="180"/>
      </w:pPr>
    </w:lvl>
    <w:lvl w:ilvl="3" w:tplc="0C0A000F">
      <w:start w:val="1"/>
      <w:numFmt w:val="decimal"/>
      <w:lvlText w:val="%4."/>
      <w:lvlJc w:val="left"/>
      <w:pPr>
        <w:tabs>
          <w:tab w:val="num" w:pos="3625"/>
        </w:tabs>
        <w:ind w:left="3625" w:hanging="360"/>
      </w:pPr>
    </w:lvl>
    <w:lvl w:ilvl="4" w:tplc="0C0A0019">
      <w:start w:val="1"/>
      <w:numFmt w:val="lowerLetter"/>
      <w:lvlText w:val="%5."/>
      <w:lvlJc w:val="left"/>
      <w:pPr>
        <w:tabs>
          <w:tab w:val="num" w:pos="4345"/>
        </w:tabs>
        <w:ind w:left="4345" w:hanging="360"/>
      </w:pPr>
    </w:lvl>
    <w:lvl w:ilvl="5" w:tplc="0C0A001B">
      <w:start w:val="1"/>
      <w:numFmt w:val="lowerRoman"/>
      <w:lvlText w:val="%6."/>
      <w:lvlJc w:val="right"/>
      <w:pPr>
        <w:tabs>
          <w:tab w:val="num" w:pos="5065"/>
        </w:tabs>
        <w:ind w:left="5065" w:hanging="180"/>
      </w:pPr>
    </w:lvl>
    <w:lvl w:ilvl="6" w:tplc="0C0A000F">
      <w:start w:val="1"/>
      <w:numFmt w:val="decimal"/>
      <w:lvlText w:val="%7."/>
      <w:lvlJc w:val="left"/>
      <w:pPr>
        <w:tabs>
          <w:tab w:val="num" w:pos="5785"/>
        </w:tabs>
        <w:ind w:left="5785" w:hanging="360"/>
      </w:pPr>
    </w:lvl>
    <w:lvl w:ilvl="7" w:tplc="0C0A0019">
      <w:start w:val="1"/>
      <w:numFmt w:val="lowerLetter"/>
      <w:lvlText w:val="%8."/>
      <w:lvlJc w:val="left"/>
      <w:pPr>
        <w:tabs>
          <w:tab w:val="num" w:pos="6505"/>
        </w:tabs>
        <w:ind w:left="6505" w:hanging="360"/>
      </w:pPr>
    </w:lvl>
    <w:lvl w:ilvl="8" w:tplc="0C0A001B">
      <w:start w:val="1"/>
      <w:numFmt w:val="lowerRoman"/>
      <w:lvlText w:val="%9."/>
      <w:lvlJc w:val="right"/>
      <w:pPr>
        <w:tabs>
          <w:tab w:val="num" w:pos="7225"/>
        </w:tabs>
        <w:ind w:left="7225" w:hanging="180"/>
      </w:pPr>
    </w:lvl>
  </w:abstractNum>
  <w:abstractNum w:abstractNumId="1" w15:restartNumberingAfterBreak="0">
    <w:nsid w:val="565837A0"/>
    <w:multiLevelType w:val="multilevel"/>
    <w:tmpl w:val="8048AEA6"/>
    <w:lvl w:ilvl="0">
      <w:start w:val="1"/>
      <w:numFmt w:val="decimal"/>
      <w:lvlText w:val="%1."/>
      <w:lvlJc w:val="left"/>
      <w:pPr>
        <w:ind w:left="360" w:hanging="360"/>
      </w:pPr>
      <w:rPr>
        <w:b w:val="0"/>
      </w:rPr>
    </w:lvl>
    <w:lvl w:ilvl="1">
      <w:start w:val="1"/>
      <w:numFmt w:val="decimal"/>
      <w:lvlText w:val="%1.%2."/>
      <w:lvlJc w:val="left"/>
      <w:pPr>
        <w:ind w:left="720" w:hanging="720"/>
      </w:pPr>
      <w:rPr>
        <w:b w:val="0"/>
      </w:rPr>
    </w:lvl>
    <w:lvl w:ilvl="2">
      <w:start w:val="1"/>
      <w:numFmt w:val="decimal"/>
      <w:lvlText w:val="%1.%2.%3."/>
      <w:lvlJc w:val="left"/>
      <w:pPr>
        <w:ind w:left="720" w:hanging="720"/>
      </w:pPr>
      <w:rPr>
        <w:b w:val="0"/>
      </w:rPr>
    </w:lvl>
    <w:lvl w:ilvl="3">
      <w:start w:val="1"/>
      <w:numFmt w:val="decimal"/>
      <w:lvlText w:val="%1.%2.%3.%4."/>
      <w:lvlJc w:val="left"/>
      <w:pPr>
        <w:ind w:left="1080" w:hanging="1080"/>
      </w:pPr>
      <w:rPr>
        <w:b w:val="0"/>
      </w:rPr>
    </w:lvl>
    <w:lvl w:ilvl="4">
      <w:start w:val="1"/>
      <w:numFmt w:val="decimal"/>
      <w:lvlText w:val="%1.%2.%3.%4.%5."/>
      <w:lvlJc w:val="left"/>
      <w:pPr>
        <w:ind w:left="1080" w:hanging="1080"/>
      </w:pPr>
      <w:rPr>
        <w:b w:val="0"/>
      </w:rPr>
    </w:lvl>
    <w:lvl w:ilvl="5">
      <w:start w:val="1"/>
      <w:numFmt w:val="decimal"/>
      <w:lvlText w:val="%1.%2.%3.%4.%5.%6."/>
      <w:lvlJc w:val="left"/>
      <w:pPr>
        <w:ind w:left="1440" w:hanging="1440"/>
      </w:pPr>
      <w:rPr>
        <w:b w:val="0"/>
      </w:rPr>
    </w:lvl>
    <w:lvl w:ilvl="6">
      <w:start w:val="1"/>
      <w:numFmt w:val="decimal"/>
      <w:lvlText w:val="%1.%2.%3.%4.%5.%6.%7."/>
      <w:lvlJc w:val="left"/>
      <w:pPr>
        <w:ind w:left="1440" w:hanging="1440"/>
      </w:pPr>
      <w:rPr>
        <w:b w:val="0"/>
      </w:rPr>
    </w:lvl>
    <w:lvl w:ilvl="7">
      <w:start w:val="1"/>
      <w:numFmt w:val="decimal"/>
      <w:lvlText w:val="%1.%2.%3.%4.%5.%6.%7.%8."/>
      <w:lvlJc w:val="left"/>
      <w:pPr>
        <w:ind w:left="1800" w:hanging="1800"/>
      </w:pPr>
      <w:rPr>
        <w:b w:val="0"/>
      </w:rPr>
    </w:lvl>
    <w:lvl w:ilvl="8">
      <w:start w:val="1"/>
      <w:numFmt w:val="decimal"/>
      <w:lvlText w:val="%1.%2.%3.%4.%5.%6.%7.%8.%9."/>
      <w:lvlJc w:val="left"/>
      <w:pPr>
        <w:ind w:left="1800" w:hanging="1800"/>
      </w:pPr>
      <w:rPr>
        <w:b w:val="0"/>
      </w:rPr>
    </w:lvl>
  </w:abstractNum>
  <w:abstractNum w:abstractNumId="2" w15:restartNumberingAfterBreak="0">
    <w:nsid w:val="631F5E32"/>
    <w:multiLevelType w:val="hybridMultilevel"/>
    <w:tmpl w:val="27B8324A"/>
    <w:lvl w:ilvl="0" w:tplc="D1809538">
      <w:start w:val="7"/>
      <w:numFmt w:val="bullet"/>
      <w:lvlText w:val="-"/>
      <w:lvlJc w:val="left"/>
      <w:pPr>
        <w:ind w:left="0" w:hanging="360"/>
      </w:pPr>
      <w:rPr>
        <w:rFonts w:ascii="Arial" w:eastAsia="Times New Roman" w:hAnsi="Arial" w:cs="Arial" w:hint="default"/>
      </w:rPr>
    </w:lvl>
    <w:lvl w:ilvl="1" w:tplc="280A0003">
      <w:start w:val="1"/>
      <w:numFmt w:val="bullet"/>
      <w:lvlText w:val="o"/>
      <w:lvlJc w:val="left"/>
      <w:pPr>
        <w:ind w:left="720" w:hanging="360"/>
      </w:pPr>
      <w:rPr>
        <w:rFonts w:ascii="Courier New" w:hAnsi="Courier New" w:cs="Courier New" w:hint="default"/>
      </w:rPr>
    </w:lvl>
    <w:lvl w:ilvl="2" w:tplc="280A0005">
      <w:start w:val="1"/>
      <w:numFmt w:val="bullet"/>
      <w:lvlText w:val=""/>
      <w:lvlJc w:val="left"/>
      <w:pPr>
        <w:ind w:left="1440" w:hanging="360"/>
      </w:pPr>
      <w:rPr>
        <w:rFonts w:ascii="Wingdings" w:hAnsi="Wingdings" w:hint="default"/>
      </w:rPr>
    </w:lvl>
    <w:lvl w:ilvl="3" w:tplc="280A0001">
      <w:start w:val="1"/>
      <w:numFmt w:val="bullet"/>
      <w:lvlText w:val=""/>
      <w:lvlJc w:val="left"/>
      <w:pPr>
        <w:ind w:left="2160" w:hanging="360"/>
      </w:pPr>
      <w:rPr>
        <w:rFonts w:ascii="Symbol" w:hAnsi="Symbol" w:hint="default"/>
      </w:rPr>
    </w:lvl>
    <w:lvl w:ilvl="4" w:tplc="280A0003">
      <w:start w:val="1"/>
      <w:numFmt w:val="bullet"/>
      <w:lvlText w:val="o"/>
      <w:lvlJc w:val="left"/>
      <w:pPr>
        <w:ind w:left="2880" w:hanging="360"/>
      </w:pPr>
      <w:rPr>
        <w:rFonts w:ascii="Courier New" w:hAnsi="Courier New" w:cs="Courier New" w:hint="default"/>
      </w:rPr>
    </w:lvl>
    <w:lvl w:ilvl="5" w:tplc="280A0005">
      <w:start w:val="1"/>
      <w:numFmt w:val="bullet"/>
      <w:lvlText w:val=""/>
      <w:lvlJc w:val="left"/>
      <w:pPr>
        <w:ind w:left="3600" w:hanging="360"/>
      </w:pPr>
      <w:rPr>
        <w:rFonts w:ascii="Wingdings" w:hAnsi="Wingdings" w:hint="default"/>
      </w:rPr>
    </w:lvl>
    <w:lvl w:ilvl="6" w:tplc="280A0001">
      <w:start w:val="1"/>
      <w:numFmt w:val="bullet"/>
      <w:lvlText w:val=""/>
      <w:lvlJc w:val="left"/>
      <w:pPr>
        <w:ind w:left="4320" w:hanging="360"/>
      </w:pPr>
      <w:rPr>
        <w:rFonts w:ascii="Symbol" w:hAnsi="Symbol" w:hint="default"/>
      </w:rPr>
    </w:lvl>
    <w:lvl w:ilvl="7" w:tplc="280A0003">
      <w:start w:val="1"/>
      <w:numFmt w:val="bullet"/>
      <w:lvlText w:val="o"/>
      <w:lvlJc w:val="left"/>
      <w:pPr>
        <w:ind w:left="5040" w:hanging="360"/>
      </w:pPr>
      <w:rPr>
        <w:rFonts w:ascii="Courier New" w:hAnsi="Courier New" w:cs="Courier New" w:hint="default"/>
      </w:rPr>
    </w:lvl>
    <w:lvl w:ilvl="8" w:tplc="280A0005">
      <w:start w:val="1"/>
      <w:numFmt w:val="bullet"/>
      <w:lvlText w:val=""/>
      <w:lvlJc w:val="left"/>
      <w:pPr>
        <w:ind w:left="576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1F79"/>
    <w:rsid w:val="00006963"/>
    <w:rsid w:val="000202BD"/>
    <w:rsid w:val="000605CF"/>
    <w:rsid w:val="00073D32"/>
    <w:rsid w:val="000B63D1"/>
    <w:rsid w:val="0010304E"/>
    <w:rsid w:val="001D1EA5"/>
    <w:rsid w:val="00210073"/>
    <w:rsid w:val="00212A76"/>
    <w:rsid w:val="00291052"/>
    <w:rsid w:val="002D3547"/>
    <w:rsid w:val="00344D3A"/>
    <w:rsid w:val="00345BD2"/>
    <w:rsid w:val="00346208"/>
    <w:rsid w:val="00374AA0"/>
    <w:rsid w:val="00400890"/>
    <w:rsid w:val="00404743"/>
    <w:rsid w:val="00410A8E"/>
    <w:rsid w:val="00414248"/>
    <w:rsid w:val="00416453"/>
    <w:rsid w:val="0043439D"/>
    <w:rsid w:val="00434846"/>
    <w:rsid w:val="00474E99"/>
    <w:rsid w:val="00487990"/>
    <w:rsid w:val="004F0320"/>
    <w:rsid w:val="00540B2E"/>
    <w:rsid w:val="00541FA2"/>
    <w:rsid w:val="00555F52"/>
    <w:rsid w:val="005A140C"/>
    <w:rsid w:val="005C4B00"/>
    <w:rsid w:val="005E201C"/>
    <w:rsid w:val="005F2BCA"/>
    <w:rsid w:val="00637C55"/>
    <w:rsid w:val="00684B55"/>
    <w:rsid w:val="006C6FB2"/>
    <w:rsid w:val="006E30D8"/>
    <w:rsid w:val="007A4478"/>
    <w:rsid w:val="007C2F2B"/>
    <w:rsid w:val="007C6C72"/>
    <w:rsid w:val="008508E0"/>
    <w:rsid w:val="008D5588"/>
    <w:rsid w:val="008F6E63"/>
    <w:rsid w:val="00902A7D"/>
    <w:rsid w:val="00926874"/>
    <w:rsid w:val="00951F79"/>
    <w:rsid w:val="009704C2"/>
    <w:rsid w:val="00997ED9"/>
    <w:rsid w:val="009E39AB"/>
    <w:rsid w:val="00A051CD"/>
    <w:rsid w:val="00A06887"/>
    <w:rsid w:val="00A233CF"/>
    <w:rsid w:val="00A573E0"/>
    <w:rsid w:val="00A61C71"/>
    <w:rsid w:val="00A82E0B"/>
    <w:rsid w:val="00AE7A79"/>
    <w:rsid w:val="00B02970"/>
    <w:rsid w:val="00B272B7"/>
    <w:rsid w:val="00B50AC9"/>
    <w:rsid w:val="00B80E01"/>
    <w:rsid w:val="00BB6481"/>
    <w:rsid w:val="00BF61BF"/>
    <w:rsid w:val="00C2379A"/>
    <w:rsid w:val="00C37ECC"/>
    <w:rsid w:val="00C62EF5"/>
    <w:rsid w:val="00CD1824"/>
    <w:rsid w:val="00D5505E"/>
    <w:rsid w:val="00D72CAB"/>
    <w:rsid w:val="00D85AF1"/>
    <w:rsid w:val="00D929DB"/>
    <w:rsid w:val="00DB173E"/>
    <w:rsid w:val="00E27C63"/>
    <w:rsid w:val="00E43E45"/>
    <w:rsid w:val="00E633DD"/>
    <w:rsid w:val="00E7554A"/>
    <w:rsid w:val="00E935D6"/>
    <w:rsid w:val="00EC69E3"/>
    <w:rsid w:val="00EE09BF"/>
    <w:rsid w:val="00EE17E3"/>
    <w:rsid w:val="00F03A5C"/>
    <w:rsid w:val="00F16FE9"/>
    <w:rsid w:val="00F2070D"/>
    <w:rsid w:val="00F767FB"/>
    <w:rsid w:val="00FB78CD"/>
    <w:rsid w:val="00FF3ECE"/>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C82E52"/>
  <w15:chartTrackingRefBased/>
  <w15:docId w15:val="{69D0F8DA-74AF-481E-A504-208693C97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51F79"/>
    <w:pPr>
      <w:overflowPunct w:val="0"/>
      <w:autoSpaceDE w:val="0"/>
      <w:autoSpaceDN w:val="0"/>
      <w:adjustRightInd w:val="0"/>
      <w:spacing w:after="0" w:line="240" w:lineRule="auto"/>
    </w:pPr>
    <w:rPr>
      <w:rFonts w:ascii="Arial" w:eastAsia="Times New Roman" w:hAnsi="Arial" w:cs="Times New Roman"/>
      <w:sz w:val="24"/>
      <w:szCs w:val="20"/>
      <w:lang w:val="es-ES" w:eastAsia="es-ES"/>
    </w:rPr>
  </w:style>
  <w:style w:type="paragraph" w:styleId="Ttulo2">
    <w:name w:val="heading 2"/>
    <w:basedOn w:val="Normal"/>
    <w:next w:val="Normal"/>
    <w:link w:val="Ttulo2Car"/>
    <w:semiHidden/>
    <w:unhideWhenUsed/>
    <w:qFormat/>
    <w:rsid w:val="00951F79"/>
    <w:pPr>
      <w:keepNext/>
      <w:outlineLvl w:val="1"/>
    </w:pPr>
    <w:rPr>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semiHidden/>
    <w:rsid w:val="00951F79"/>
    <w:rPr>
      <w:rFonts w:ascii="Arial" w:eastAsia="Times New Roman" w:hAnsi="Arial" w:cs="Times New Roman"/>
      <w:b/>
      <w:bCs/>
      <w:sz w:val="24"/>
      <w:szCs w:val="20"/>
      <w:lang w:val="es-ES" w:eastAsia="es-ES"/>
    </w:rPr>
  </w:style>
  <w:style w:type="paragraph" w:styleId="NormalWeb">
    <w:name w:val="Normal (Web)"/>
    <w:basedOn w:val="Normal"/>
    <w:uiPriority w:val="99"/>
    <w:semiHidden/>
    <w:unhideWhenUsed/>
    <w:rsid w:val="00951F79"/>
    <w:pPr>
      <w:overflowPunct/>
      <w:autoSpaceDE/>
      <w:autoSpaceDN/>
      <w:adjustRightInd/>
      <w:spacing w:before="100" w:beforeAutospacing="1" w:after="100" w:afterAutospacing="1"/>
    </w:pPr>
    <w:rPr>
      <w:rFonts w:ascii="Arial Unicode MS" w:eastAsia="Arial Unicode MS" w:hAnsi="Arial Unicode MS" w:cs="Arial Unicode MS"/>
      <w:szCs w:val="24"/>
    </w:rPr>
  </w:style>
  <w:style w:type="paragraph" w:styleId="Ttulo">
    <w:name w:val="Title"/>
    <w:basedOn w:val="Normal"/>
    <w:link w:val="TtuloCar"/>
    <w:uiPriority w:val="99"/>
    <w:qFormat/>
    <w:rsid w:val="00951F79"/>
    <w:pPr>
      <w:jc w:val="center"/>
    </w:pPr>
    <w:rPr>
      <w:b/>
      <w:bCs/>
    </w:rPr>
  </w:style>
  <w:style w:type="character" w:customStyle="1" w:styleId="TtuloCar">
    <w:name w:val="Título Car"/>
    <w:basedOn w:val="Fuentedeprrafopredeter"/>
    <w:link w:val="Ttulo"/>
    <w:uiPriority w:val="99"/>
    <w:rsid w:val="00951F79"/>
    <w:rPr>
      <w:rFonts w:ascii="Arial" w:eastAsia="Times New Roman" w:hAnsi="Arial" w:cs="Times New Roman"/>
      <w:b/>
      <w:bCs/>
      <w:sz w:val="24"/>
      <w:szCs w:val="20"/>
      <w:lang w:val="es-ES" w:eastAsia="es-ES"/>
    </w:rPr>
  </w:style>
  <w:style w:type="paragraph" w:styleId="Textodebloque">
    <w:name w:val="Block Text"/>
    <w:basedOn w:val="Normal"/>
    <w:uiPriority w:val="99"/>
    <w:unhideWhenUsed/>
    <w:rsid w:val="00951F79"/>
    <w:pPr>
      <w:tabs>
        <w:tab w:val="num" w:pos="3420"/>
      </w:tabs>
      <w:ind w:left="680" w:right="-874"/>
      <w:jc w:val="both"/>
    </w:pPr>
    <w:rPr>
      <w:rFonts w:cs="Arial"/>
    </w:rPr>
  </w:style>
  <w:style w:type="paragraph" w:customStyle="1" w:styleId="Sangra2detindependiente1">
    <w:name w:val="Sangría 2 de t. independiente1"/>
    <w:basedOn w:val="Normal"/>
    <w:uiPriority w:val="99"/>
    <w:semiHidden/>
    <w:rsid w:val="00951F79"/>
    <w:pPr>
      <w:ind w:firstLine="708"/>
      <w:jc w:val="both"/>
    </w:pPr>
  </w:style>
  <w:style w:type="character" w:customStyle="1" w:styleId="resolsunat">
    <w:name w:val="resolsunat"/>
    <w:rsid w:val="00951F79"/>
  </w:style>
  <w:style w:type="paragraph" w:styleId="Textodeglobo">
    <w:name w:val="Balloon Text"/>
    <w:basedOn w:val="Normal"/>
    <w:link w:val="TextodegloboCar"/>
    <w:uiPriority w:val="99"/>
    <w:semiHidden/>
    <w:unhideWhenUsed/>
    <w:rsid w:val="005E201C"/>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E201C"/>
    <w:rPr>
      <w:rFonts w:ascii="Segoe UI" w:eastAsia="Times New Roman" w:hAnsi="Segoe UI" w:cs="Segoe UI"/>
      <w:sz w:val="18"/>
      <w:szCs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7176554">
      <w:bodyDiv w:val="1"/>
      <w:marLeft w:val="0"/>
      <w:marRight w:val="0"/>
      <w:marTop w:val="0"/>
      <w:marBottom w:val="0"/>
      <w:divBdr>
        <w:top w:val="none" w:sz="0" w:space="0" w:color="auto"/>
        <w:left w:val="none" w:sz="0" w:space="0" w:color="auto"/>
        <w:bottom w:val="none" w:sz="0" w:space="0" w:color="auto"/>
        <w:right w:val="none" w:sz="0" w:space="0" w:color="auto"/>
      </w:divBdr>
    </w:div>
    <w:div w:id="1056858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5F4E93-0147-4EFB-8F79-FB6E701FC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10</Pages>
  <Words>3126</Words>
  <Characters>17194</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SUNAT</dc:creator>
  <cp:keywords/>
  <dc:description/>
  <cp:lastModifiedBy>Ana Tello</cp:lastModifiedBy>
  <cp:revision>3</cp:revision>
  <cp:lastPrinted>2019-08-14T16:34:00Z</cp:lastPrinted>
  <dcterms:created xsi:type="dcterms:W3CDTF">2019-08-13T16:21:00Z</dcterms:created>
  <dcterms:modified xsi:type="dcterms:W3CDTF">2019-08-14T16:36:00Z</dcterms:modified>
</cp:coreProperties>
</file>