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742AD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7C55C75A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01CDC61A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4E359768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78FE40F4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4D0ECF1E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4C2CA31D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677A7AFB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60CCDB27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2E005D8E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5F11EA20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4D4FA9C9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04316DE6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7751B6EA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14E32F37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6A96FC5D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3D5C5C25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1B47C18C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2AD8E3FD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5DAF295D" w14:textId="77777777" w:rsidR="003123AB" w:rsidRDefault="003123AB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23D2C76D" w14:textId="77777777" w:rsidR="005E2FC1" w:rsidRPr="008F506B" w:rsidRDefault="005E2FC1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  <w:r w:rsidRPr="008F506B">
        <w:rPr>
          <w:rFonts w:ascii="Arial" w:eastAsia="Times New Roman" w:hAnsi="Arial" w:cs="Arial"/>
          <w:b/>
          <w:bCs/>
          <w:lang w:eastAsia="es-PE"/>
        </w:rPr>
        <w:t xml:space="preserve">N.° </w:t>
      </w:r>
      <w:bookmarkStart w:id="0" w:name="LPHit1"/>
      <w:bookmarkEnd w:id="0"/>
      <w:r w:rsidRPr="008F506B">
        <w:rPr>
          <w:rFonts w:ascii="Arial" w:eastAsia="Times New Roman" w:hAnsi="Arial" w:cs="Arial"/>
          <w:b/>
          <w:bCs/>
          <w:lang w:eastAsia="es-PE"/>
        </w:rPr>
        <w:t xml:space="preserve">         -20</w:t>
      </w:r>
      <w:r w:rsidR="00953CF8" w:rsidRPr="008F506B">
        <w:rPr>
          <w:rFonts w:ascii="Arial" w:eastAsia="Times New Roman" w:hAnsi="Arial" w:cs="Arial"/>
          <w:b/>
          <w:bCs/>
          <w:lang w:eastAsia="es-PE"/>
        </w:rPr>
        <w:t>20</w:t>
      </w:r>
      <w:r w:rsidRPr="008F506B">
        <w:rPr>
          <w:rFonts w:ascii="Arial" w:eastAsia="Times New Roman" w:hAnsi="Arial" w:cs="Arial"/>
          <w:b/>
          <w:bCs/>
          <w:lang w:eastAsia="es-PE"/>
        </w:rPr>
        <w:t>/SUNAT</w:t>
      </w:r>
    </w:p>
    <w:p w14:paraId="683976FD" w14:textId="77777777" w:rsidR="005E2FC1" w:rsidRPr="008F506B" w:rsidRDefault="005E2FC1" w:rsidP="00A5446A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lang w:eastAsia="es-PE"/>
        </w:rPr>
      </w:pPr>
    </w:p>
    <w:p w14:paraId="7F96B24E" w14:textId="77777777" w:rsidR="00EB271B" w:rsidRPr="008F506B" w:rsidRDefault="00DF7F4C" w:rsidP="00A5446A">
      <w:pPr>
        <w:spacing w:after="0" w:line="240" w:lineRule="auto"/>
        <w:jc w:val="center"/>
        <w:rPr>
          <w:rFonts w:ascii="Arial" w:eastAsia="Times New Roman" w:hAnsi="Arial" w:cs="Arial"/>
          <w:b/>
          <w:strike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 xml:space="preserve"> </w:t>
      </w:r>
      <w:r w:rsidR="00FB1953">
        <w:rPr>
          <w:rFonts w:ascii="Arial" w:eastAsia="Times New Roman" w:hAnsi="Arial" w:cs="Arial"/>
          <w:b/>
          <w:lang w:eastAsia="es-PE"/>
        </w:rPr>
        <w:t xml:space="preserve">PROYECTO DE </w:t>
      </w:r>
      <w:r w:rsidR="005E2FC1" w:rsidRPr="008F506B">
        <w:rPr>
          <w:rFonts w:ascii="Arial" w:eastAsia="Times New Roman" w:hAnsi="Arial" w:cs="Arial"/>
          <w:b/>
          <w:lang w:eastAsia="es-PE"/>
        </w:rPr>
        <w:t xml:space="preserve">RESOLUCIÓN DE SUPERINTENDENCIA QUE MODIFICA LA RESOLUCIÓN DE SUPERINTENDENCIA N.° 210-2004/SUNAT </w:t>
      </w:r>
      <w:r w:rsidR="00E7733D" w:rsidRPr="008F506B">
        <w:rPr>
          <w:rFonts w:ascii="Arial" w:eastAsia="Times New Roman" w:hAnsi="Arial" w:cs="Arial"/>
          <w:b/>
          <w:lang w:eastAsia="es-PE"/>
        </w:rPr>
        <w:t xml:space="preserve">PARA REGULAR </w:t>
      </w:r>
      <w:r w:rsidR="005E2FC1" w:rsidRPr="008F506B">
        <w:rPr>
          <w:rFonts w:ascii="Arial" w:eastAsia="Times New Roman" w:hAnsi="Arial" w:cs="Arial"/>
          <w:b/>
          <w:lang w:eastAsia="es-PE"/>
        </w:rPr>
        <w:t>LA COMUNICACIÓN DE ALTA, MODIFICACIÓN O BAJA DE REPRESENTANTES LEGALES</w:t>
      </w:r>
      <w:r w:rsidR="00E7733D" w:rsidRPr="008F506B">
        <w:rPr>
          <w:rFonts w:ascii="Arial" w:eastAsia="Times New Roman" w:hAnsi="Arial" w:cs="Arial"/>
          <w:b/>
          <w:lang w:eastAsia="es-PE"/>
        </w:rPr>
        <w:t xml:space="preserve"> DE LOS COLEGIOS PROFESION</w:t>
      </w:r>
      <w:r w:rsidR="00EB271B" w:rsidRPr="008F506B">
        <w:rPr>
          <w:rFonts w:ascii="Arial" w:eastAsia="Times New Roman" w:hAnsi="Arial" w:cs="Arial"/>
          <w:b/>
          <w:lang w:eastAsia="es-PE"/>
        </w:rPr>
        <w:t xml:space="preserve">ALES Y JUNTAS DE DECANOS DE LOS COLEGIOS PROFESIONALES </w:t>
      </w:r>
    </w:p>
    <w:p w14:paraId="534357D7" w14:textId="77777777" w:rsidR="00562B40" w:rsidRPr="008F506B" w:rsidRDefault="00562B40" w:rsidP="00A5446A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es-PE"/>
        </w:rPr>
      </w:pPr>
    </w:p>
    <w:p w14:paraId="598DB689" w14:textId="77777777" w:rsidR="005E2FC1" w:rsidRPr="008F506B" w:rsidRDefault="005E2FC1" w:rsidP="00A5446A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bookmarkStart w:id="1" w:name="LPTOC1"/>
      <w:bookmarkEnd w:id="1"/>
      <w:r w:rsidRPr="008F506B">
        <w:rPr>
          <w:rFonts w:ascii="Arial" w:eastAsia="Times New Roman" w:hAnsi="Arial" w:cs="Arial"/>
          <w:lang w:eastAsia="es-PE"/>
        </w:rPr>
        <w:t xml:space="preserve">Lima,  </w:t>
      </w:r>
    </w:p>
    <w:p w14:paraId="2CA08109" w14:textId="77777777" w:rsidR="005E2FC1" w:rsidRPr="008F506B" w:rsidRDefault="005E2FC1" w:rsidP="00A5446A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lang w:eastAsia="es-PE"/>
        </w:rPr>
      </w:pPr>
    </w:p>
    <w:p w14:paraId="2482F2E3" w14:textId="77777777" w:rsidR="005E2FC1" w:rsidRPr="008F506B" w:rsidRDefault="005E2FC1" w:rsidP="00A5446A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 xml:space="preserve">CONSIDERANDO: </w:t>
      </w:r>
    </w:p>
    <w:p w14:paraId="4EACC648" w14:textId="77777777" w:rsidR="005E2FC1" w:rsidRPr="008F506B" w:rsidRDefault="005E2FC1" w:rsidP="00A5446A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553F8D80" w14:textId="77777777" w:rsidR="00B4193C" w:rsidRPr="008F506B" w:rsidRDefault="00A33262" w:rsidP="00A5446A">
      <w:pPr>
        <w:spacing w:after="0" w:line="240" w:lineRule="auto"/>
        <w:jc w:val="both"/>
        <w:rPr>
          <w:rFonts w:ascii="Arial" w:hAnsi="Arial" w:cs="Arial"/>
        </w:rPr>
      </w:pPr>
      <w:bookmarkStart w:id="2" w:name="_Hlk24626964"/>
      <w:r w:rsidRPr="008F506B">
        <w:rPr>
          <w:rFonts w:ascii="Arial" w:hAnsi="Arial" w:cs="Arial"/>
        </w:rPr>
        <w:t>Que</w:t>
      </w:r>
      <w:r w:rsidR="004B7A13" w:rsidRPr="008F506B">
        <w:rPr>
          <w:rFonts w:ascii="Arial" w:hAnsi="Arial" w:cs="Arial"/>
        </w:rPr>
        <w:t xml:space="preserve"> </w:t>
      </w:r>
      <w:r w:rsidR="00B65471" w:rsidRPr="008F506B">
        <w:rPr>
          <w:rFonts w:ascii="Arial" w:hAnsi="Arial" w:cs="Arial"/>
        </w:rPr>
        <w:t xml:space="preserve">el </w:t>
      </w:r>
      <w:r w:rsidR="009E3BAD" w:rsidRPr="008F506B">
        <w:rPr>
          <w:rFonts w:ascii="Arial" w:hAnsi="Arial" w:cs="Arial"/>
        </w:rPr>
        <w:t>numeral 2.1</w:t>
      </w:r>
      <w:r w:rsidR="002D56BC" w:rsidRPr="008F506B">
        <w:rPr>
          <w:rFonts w:ascii="Arial" w:hAnsi="Arial" w:cs="Arial"/>
        </w:rPr>
        <w:t>3</w:t>
      </w:r>
      <w:r w:rsidR="009E3BAD" w:rsidRPr="008F506B">
        <w:rPr>
          <w:rFonts w:ascii="Arial" w:hAnsi="Arial" w:cs="Arial"/>
        </w:rPr>
        <w:t xml:space="preserve"> del anexo N.° 2 de </w:t>
      </w:r>
      <w:r w:rsidR="00D85F01" w:rsidRPr="008F506B">
        <w:rPr>
          <w:rFonts w:ascii="Arial" w:hAnsi="Arial" w:cs="Arial"/>
        </w:rPr>
        <w:t>la Resolución de Superintendencia N.° 210-2004/SUNAT, que aprueba las disposiciones reglamentarias del Decreto Legislativo N.° 943 que aprobó la Ley del Registro Único de Contribuyente</w:t>
      </w:r>
      <w:r w:rsidR="004E166A" w:rsidRPr="008F506B">
        <w:rPr>
          <w:rFonts w:ascii="Arial" w:hAnsi="Arial" w:cs="Arial"/>
        </w:rPr>
        <w:t>s</w:t>
      </w:r>
      <w:r w:rsidR="00D85F01" w:rsidRPr="008F506B">
        <w:rPr>
          <w:rFonts w:ascii="Arial" w:hAnsi="Arial" w:cs="Arial"/>
        </w:rPr>
        <w:t>,</w:t>
      </w:r>
      <w:r w:rsidR="00B65471" w:rsidRPr="008F506B">
        <w:rPr>
          <w:rFonts w:ascii="Arial" w:hAnsi="Arial" w:cs="Arial"/>
        </w:rPr>
        <w:t xml:space="preserve"> </w:t>
      </w:r>
      <w:r w:rsidR="00B64402" w:rsidRPr="008F506B">
        <w:rPr>
          <w:rFonts w:ascii="Arial" w:hAnsi="Arial" w:cs="Arial"/>
        </w:rPr>
        <w:t xml:space="preserve">al </w:t>
      </w:r>
      <w:r w:rsidR="00783C01" w:rsidRPr="008F506B">
        <w:rPr>
          <w:rFonts w:ascii="Arial" w:hAnsi="Arial" w:cs="Arial"/>
        </w:rPr>
        <w:t>establece</w:t>
      </w:r>
      <w:r w:rsidR="00B64402" w:rsidRPr="008F506B">
        <w:rPr>
          <w:rFonts w:ascii="Arial" w:hAnsi="Arial" w:cs="Arial"/>
        </w:rPr>
        <w:t>r</w:t>
      </w:r>
      <w:r w:rsidRPr="008F506B">
        <w:rPr>
          <w:rFonts w:ascii="Arial" w:hAnsi="Arial" w:cs="Arial"/>
        </w:rPr>
        <w:t xml:space="preserve"> </w:t>
      </w:r>
      <w:r w:rsidR="001A609E" w:rsidRPr="008F506B">
        <w:rPr>
          <w:rFonts w:ascii="Arial" w:hAnsi="Arial" w:cs="Arial"/>
        </w:rPr>
        <w:t xml:space="preserve">los </w:t>
      </w:r>
      <w:r w:rsidRPr="008F506B">
        <w:rPr>
          <w:rFonts w:ascii="Arial" w:hAnsi="Arial" w:cs="Arial"/>
        </w:rPr>
        <w:t xml:space="preserve">requisitos específicos </w:t>
      </w:r>
      <w:r w:rsidR="00783C01" w:rsidRPr="008F506B">
        <w:rPr>
          <w:rFonts w:ascii="Arial" w:hAnsi="Arial" w:cs="Arial"/>
        </w:rPr>
        <w:t xml:space="preserve">para </w:t>
      </w:r>
      <w:r w:rsidRPr="008F506B">
        <w:rPr>
          <w:rFonts w:ascii="Arial" w:hAnsi="Arial" w:cs="Arial"/>
        </w:rPr>
        <w:t>la comunicación de alta, modificación o baja de representantes legales</w:t>
      </w:r>
      <w:r w:rsidR="00B64402" w:rsidRPr="008F506B">
        <w:rPr>
          <w:rFonts w:ascii="Arial" w:hAnsi="Arial" w:cs="Arial"/>
        </w:rPr>
        <w:t>, señala que los representantes</w:t>
      </w:r>
      <w:r w:rsidR="00783C01" w:rsidRPr="008F506B">
        <w:rPr>
          <w:rFonts w:ascii="Arial" w:hAnsi="Arial" w:cs="Arial"/>
        </w:rPr>
        <w:t xml:space="preserve"> </w:t>
      </w:r>
      <w:r w:rsidR="001A609E" w:rsidRPr="008F506B">
        <w:rPr>
          <w:rFonts w:ascii="Arial" w:hAnsi="Arial" w:cs="Arial"/>
        </w:rPr>
        <w:t xml:space="preserve">de los </w:t>
      </w:r>
      <w:r w:rsidRPr="008F506B">
        <w:rPr>
          <w:rFonts w:ascii="Arial" w:hAnsi="Arial" w:cs="Arial"/>
        </w:rPr>
        <w:t>sujetos inscritos en los Registros Públicos</w:t>
      </w:r>
      <w:r w:rsidR="001A609E" w:rsidRPr="008F506B">
        <w:rPr>
          <w:rFonts w:ascii="Arial" w:hAnsi="Arial" w:cs="Arial"/>
        </w:rPr>
        <w:t xml:space="preserve"> </w:t>
      </w:r>
      <w:r w:rsidR="00787845" w:rsidRPr="008F506B">
        <w:rPr>
          <w:rFonts w:ascii="Arial" w:hAnsi="Arial" w:cs="Arial"/>
        </w:rPr>
        <w:t xml:space="preserve">deben cumplir con </w:t>
      </w:r>
      <w:r w:rsidR="001A609E" w:rsidRPr="008F506B">
        <w:rPr>
          <w:rFonts w:ascii="Arial" w:hAnsi="Arial" w:cs="Arial"/>
        </w:rPr>
        <w:t xml:space="preserve">la </w:t>
      </w:r>
      <w:r w:rsidRPr="008F506B">
        <w:rPr>
          <w:rFonts w:ascii="Arial" w:hAnsi="Arial" w:cs="Arial"/>
        </w:rPr>
        <w:t xml:space="preserve">exhibición del original </w:t>
      </w:r>
      <w:r w:rsidR="00783C01" w:rsidRPr="008F506B">
        <w:rPr>
          <w:rFonts w:ascii="Arial" w:hAnsi="Arial" w:cs="Arial"/>
        </w:rPr>
        <w:t xml:space="preserve">y la presentación de la fotocopia simple </w:t>
      </w:r>
      <w:r w:rsidR="00F25190" w:rsidRPr="008F506B">
        <w:rPr>
          <w:rFonts w:ascii="Arial" w:hAnsi="Arial" w:cs="Arial"/>
        </w:rPr>
        <w:t xml:space="preserve">de </w:t>
      </w:r>
      <w:r w:rsidRPr="008F506B">
        <w:rPr>
          <w:rFonts w:ascii="Arial" w:hAnsi="Arial" w:cs="Arial"/>
        </w:rPr>
        <w:t>determinados documentos emitidos por los Registros Públicos</w:t>
      </w:r>
      <w:r w:rsidR="00783C01" w:rsidRPr="008F506B">
        <w:rPr>
          <w:rFonts w:ascii="Arial" w:hAnsi="Arial" w:cs="Arial"/>
        </w:rPr>
        <w:t>,</w:t>
      </w:r>
      <w:r w:rsidR="00C31018" w:rsidRPr="008F506B">
        <w:rPr>
          <w:rFonts w:ascii="Arial" w:hAnsi="Arial" w:cs="Arial"/>
        </w:rPr>
        <w:t xml:space="preserve"> </w:t>
      </w:r>
      <w:r w:rsidRPr="008F506B">
        <w:rPr>
          <w:rFonts w:ascii="Arial" w:hAnsi="Arial" w:cs="Arial"/>
        </w:rPr>
        <w:t xml:space="preserve">donde conste el nombramiento, renuncia, revocación o sustitución de los representantes y sus </w:t>
      </w:r>
      <w:r w:rsidR="00EB271B" w:rsidRPr="008F506B">
        <w:rPr>
          <w:rFonts w:ascii="Arial" w:hAnsi="Arial" w:cs="Arial"/>
        </w:rPr>
        <w:t>facultades de representación</w:t>
      </w:r>
      <w:r w:rsidR="00B64402" w:rsidRPr="008F506B">
        <w:rPr>
          <w:rFonts w:ascii="Arial" w:hAnsi="Arial" w:cs="Arial"/>
        </w:rPr>
        <w:t xml:space="preserve">; en tanto que los </w:t>
      </w:r>
      <w:r w:rsidR="00F25190" w:rsidRPr="008F506B">
        <w:rPr>
          <w:rFonts w:ascii="Arial" w:hAnsi="Arial" w:cs="Arial"/>
        </w:rPr>
        <w:t>otros</w:t>
      </w:r>
      <w:r w:rsidR="00EB271B" w:rsidRPr="008F506B">
        <w:rPr>
          <w:rFonts w:ascii="Arial" w:hAnsi="Arial" w:cs="Arial"/>
        </w:rPr>
        <w:t xml:space="preserve"> sujetos</w:t>
      </w:r>
      <w:r w:rsidRPr="008F506B">
        <w:rPr>
          <w:rFonts w:ascii="Arial" w:hAnsi="Arial" w:cs="Arial"/>
        </w:rPr>
        <w:t xml:space="preserve"> </w:t>
      </w:r>
      <w:r w:rsidR="00787845" w:rsidRPr="008F506B">
        <w:rPr>
          <w:rFonts w:ascii="Arial" w:hAnsi="Arial" w:cs="Arial"/>
        </w:rPr>
        <w:t>deben cumplir con la exhibición d</w:t>
      </w:r>
      <w:r w:rsidRPr="008F506B">
        <w:rPr>
          <w:rFonts w:ascii="Arial" w:hAnsi="Arial" w:cs="Arial"/>
        </w:rPr>
        <w:t xml:space="preserve">el original </w:t>
      </w:r>
      <w:r w:rsidR="00783C01" w:rsidRPr="008F506B">
        <w:rPr>
          <w:rFonts w:ascii="Arial" w:hAnsi="Arial" w:cs="Arial"/>
        </w:rPr>
        <w:t>y</w:t>
      </w:r>
      <w:r w:rsidR="00EB271B" w:rsidRPr="008F506B">
        <w:rPr>
          <w:rFonts w:ascii="Arial" w:hAnsi="Arial" w:cs="Arial"/>
        </w:rPr>
        <w:t xml:space="preserve"> la </w:t>
      </w:r>
      <w:r w:rsidR="00783C01" w:rsidRPr="008F506B">
        <w:rPr>
          <w:rFonts w:ascii="Arial" w:hAnsi="Arial" w:cs="Arial"/>
        </w:rPr>
        <w:t>presenta</w:t>
      </w:r>
      <w:r w:rsidR="00EB271B" w:rsidRPr="008F506B">
        <w:rPr>
          <w:rFonts w:ascii="Arial" w:hAnsi="Arial" w:cs="Arial"/>
        </w:rPr>
        <w:t>ción de</w:t>
      </w:r>
      <w:r w:rsidR="00783C01" w:rsidRPr="008F506B">
        <w:rPr>
          <w:rFonts w:ascii="Arial" w:hAnsi="Arial" w:cs="Arial"/>
        </w:rPr>
        <w:t xml:space="preserve"> la fotocopia </w:t>
      </w:r>
      <w:r w:rsidR="00BA7DC5" w:rsidRPr="008F506B">
        <w:rPr>
          <w:rFonts w:ascii="Arial" w:hAnsi="Arial" w:cs="Arial"/>
        </w:rPr>
        <w:t xml:space="preserve">simple </w:t>
      </w:r>
      <w:r w:rsidRPr="008F506B">
        <w:rPr>
          <w:rFonts w:ascii="Arial" w:hAnsi="Arial" w:cs="Arial"/>
        </w:rPr>
        <w:t>del documento que acredite el nombramiento, renuncia, revocación o sustitución, según el tipo de contribuyente inscrito en el RUC</w:t>
      </w:r>
      <w:r w:rsidR="0049734D" w:rsidRPr="008F506B">
        <w:rPr>
          <w:rFonts w:ascii="Arial" w:hAnsi="Arial" w:cs="Arial"/>
        </w:rPr>
        <w:t>;</w:t>
      </w:r>
      <w:r w:rsidR="002E10EC" w:rsidRPr="008F506B">
        <w:rPr>
          <w:rFonts w:ascii="Arial" w:hAnsi="Arial" w:cs="Arial"/>
        </w:rPr>
        <w:t xml:space="preserve"> </w:t>
      </w:r>
    </w:p>
    <w:p w14:paraId="02243D12" w14:textId="77777777" w:rsidR="00547D58" w:rsidRPr="008F506B" w:rsidRDefault="00547D58" w:rsidP="00A5446A">
      <w:pPr>
        <w:spacing w:after="0" w:line="240" w:lineRule="auto"/>
        <w:jc w:val="both"/>
        <w:rPr>
          <w:rFonts w:ascii="Arial" w:hAnsi="Arial" w:cs="Arial"/>
        </w:rPr>
      </w:pPr>
    </w:p>
    <w:p w14:paraId="43479FA6" w14:textId="77777777" w:rsidR="00547D58" w:rsidRPr="008F506B" w:rsidRDefault="00547D58" w:rsidP="00A5446A">
      <w:pPr>
        <w:spacing w:after="0" w:line="240" w:lineRule="aut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>Que posteriormente, considerando lo establecido en l</w:t>
      </w:r>
      <w:r w:rsidR="00F212AD" w:rsidRPr="008F506B">
        <w:rPr>
          <w:rFonts w:ascii="Arial" w:hAnsi="Arial" w:cs="Arial"/>
        </w:rPr>
        <w:t>os</w:t>
      </w:r>
      <w:r w:rsidRPr="008F506B">
        <w:rPr>
          <w:rFonts w:ascii="Arial" w:hAnsi="Arial" w:cs="Arial"/>
        </w:rPr>
        <w:t xml:space="preserve"> artículo</w:t>
      </w:r>
      <w:r w:rsidR="00F212AD" w:rsidRPr="008F506B">
        <w:rPr>
          <w:rFonts w:ascii="Arial" w:hAnsi="Arial" w:cs="Arial"/>
        </w:rPr>
        <w:t>s</w:t>
      </w:r>
      <w:r w:rsidRPr="008F506B">
        <w:rPr>
          <w:rFonts w:ascii="Arial" w:hAnsi="Arial" w:cs="Arial"/>
        </w:rPr>
        <w:t xml:space="preserve"> 3 y 4 del Decreto Legislativo N.° 1246, Decreto Legislativo que aprueba diversas medidas de simplificación administrativa, en el sentido de no exigir a los administrados o usuarios la información que las entidades de la administración pública puedan obtener directamente mediante la interoperabilidad, se indica en el Texto Único de Procedimientos Administrativos de la SUNAT</w:t>
      </w:r>
      <w:r w:rsidR="004E166A" w:rsidRPr="008F506B">
        <w:rPr>
          <w:rFonts w:ascii="Arial" w:hAnsi="Arial" w:cs="Arial"/>
        </w:rPr>
        <w:t>,</w:t>
      </w:r>
      <w:r w:rsidRPr="008F506B">
        <w:rPr>
          <w:rFonts w:ascii="Arial" w:hAnsi="Arial" w:cs="Arial"/>
        </w:rPr>
        <w:t xml:space="preserve"> aprobado por el artículo 1 del Decreto Supremo N.° 412-2017-EF que, para la </w:t>
      </w:r>
      <w:r w:rsidRPr="008F506B">
        <w:rPr>
          <w:rFonts w:ascii="Arial" w:hAnsi="Arial" w:cs="Arial"/>
        </w:rPr>
        <w:lastRenderedPageBreak/>
        <w:t xml:space="preserve">comunicación de alta, modificación y baja de representantes legales </w:t>
      </w:r>
      <w:r w:rsidR="00703F30" w:rsidRPr="008F506B">
        <w:rPr>
          <w:rFonts w:ascii="Arial" w:hAnsi="Arial" w:cs="Arial"/>
        </w:rPr>
        <w:t xml:space="preserve">de sujetos </w:t>
      </w:r>
      <w:r w:rsidRPr="008F506B">
        <w:rPr>
          <w:rFonts w:ascii="Arial" w:hAnsi="Arial" w:cs="Arial"/>
        </w:rPr>
        <w:t>inscritos en los Registros Públicos, no se requiere documentación adicional expedida por dichos registros</w:t>
      </w:r>
      <w:r w:rsidR="00533B2D" w:rsidRPr="008F506B">
        <w:rPr>
          <w:rFonts w:ascii="Arial" w:hAnsi="Arial" w:cs="Arial"/>
        </w:rPr>
        <w:t>;</w:t>
      </w:r>
    </w:p>
    <w:p w14:paraId="2DC4816B" w14:textId="77777777" w:rsidR="006D52E9" w:rsidRPr="008F506B" w:rsidRDefault="006D52E9" w:rsidP="00A5446A">
      <w:pPr>
        <w:spacing w:after="0" w:line="240" w:lineRule="auto"/>
        <w:jc w:val="both"/>
        <w:rPr>
          <w:rFonts w:ascii="Arial" w:hAnsi="Arial" w:cs="Arial"/>
        </w:rPr>
      </w:pPr>
    </w:p>
    <w:p w14:paraId="66A5B5BE" w14:textId="77777777" w:rsidR="00A5446A" w:rsidRPr="008F506B" w:rsidRDefault="00783C01" w:rsidP="00A5446A">
      <w:pPr>
        <w:spacing w:after="0" w:line="240" w:lineRule="aut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>Que</w:t>
      </w:r>
      <w:r w:rsidR="005F5758" w:rsidRPr="008F506B">
        <w:rPr>
          <w:rFonts w:ascii="Arial" w:hAnsi="Arial" w:cs="Arial"/>
        </w:rPr>
        <w:t xml:space="preserve">, </w:t>
      </w:r>
      <w:r w:rsidR="00547D58" w:rsidRPr="008F506B">
        <w:rPr>
          <w:rFonts w:ascii="Arial" w:hAnsi="Arial" w:cs="Arial"/>
        </w:rPr>
        <w:t>de otro lado</w:t>
      </w:r>
      <w:r w:rsidR="00F41DD6" w:rsidRPr="008F506B">
        <w:rPr>
          <w:rFonts w:ascii="Arial" w:hAnsi="Arial" w:cs="Arial"/>
        </w:rPr>
        <w:t>,</w:t>
      </w:r>
      <w:r w:rsidR="00A5446A" w:rsidRPr="008F506B">
        <w:rPr>
          <w:rFonts w:ascii="Arial" w:hAnsi="Arial" w:cs="Arial"/>
        </w:rPr>
        <w:t xml:space="preserve"> </w:t>
      </w:r>
      <w:bookmarkStart w:id="3" w:name="_Hlk24619539"/>
      <w:r w:rsidR="005033BC" w:rsidRPr="008F506B">
        <w:rPr>
          <w:rFonts w:ascii="Arial" w:hAnsi="Arial" w:cs="Arial"/>
        </w:rPr>
        <w:t xml:space="preserve">los artículos 2 y </w:t>
      </w:r>
      <w:r w:rsidR="005F5758" w:rsidRPr="008F506B">
        <w:rPr>
          <w:rFonts w:ascii="Arial" w:hAnsi="Arial" w:cs="Arial"/>
        </w:rPr>
        <w:t>3 del Decreto Supremo N.° 012-2018-JUS</w:t>
      </w:r>
      <w:r w:rsidR="00910150" w:rsidRPr="008F506B">
        <w:rPr>
          <w:rFonts w:ascii="Arial" w:hAnsi="Arial" w:cs="Arial"/>
        </w:rPr>
        <w:t xml:space="preserve"> señalan que</w:t>
      </w:r>
      <w:r w:rsidR="005F5758" w:rsidRPr="008F506B">
        <w:rPr>
          <w:rFonts w:ascii="Arial" w:hAnsi="Arial" w:cs="Arial"/>
        </w:rPr>
        <w:t xml:space="preserve"> </w:t>
      </w:r>
      <w:bookmarkEnd w:id="3"/>
      <w:r w:rsidR="005F5758" w:rsidRPr="008F506B">
        <w:rPr>
          <w:rFonts w:ascii="Arial" w:hAnsi="Arial" w:cs="Arial"/>
        </w:rPr>
        <w:t>la inscripción</w:t>
      </w:r>
      <w:r w:rsidR="00AA714A" w:rsidRPr="008F506B">
        <w:rPr>
          <w:rFonts w:ascii="Arial" w:hAnsi="Arial" w:cs="Arial"/>
        </w:rPr>
        <w:t xml:space="preserve"> en el </w:t>
      </w:r>
      <w:r w:rsidR="00910150" w:rsidRPr="008F506B">
        <w:rPr>
          <w:rFonts w:ascii="Arial" w:hAnsi="Arial" w:cs="Arial"/>
        </w:rPr>
        <w:t xml:space="preserve">Registro de </w:t>
      </w:r>
      <w:r w:rsidR="00BF5B0E" w:rsidRPr="008F506B">
        <w:rPr>
          <w:rFonts w:ascii="Arial" w:hAnsi="Arial" w:cs="Arial"/>
        </w:rPr>
        <w:t>P</w:t>
      </w:r>
      <w:r w:rsidR="00910150" w:rsidRPr="008F506B">
        <w:rPr>
          <w:rFonts w:ascii="Arial" w:hAnsi="Arial" w:cs="Arial"/>
        </w:rPr>
        <w:t xml:space="preserve">ersonas Jurídicas </w:t>
      </w:r>
      <w:r w:rsidR="005F5758" w:rsidRPr="008F506B">
        <w:rPr>
          <w:rFonts w:ascii="Arial" w:hAnsi="Arial" w:cs="Arial"/>
        </w:rPr>
        <w:t>de los colegios profesionales</w:t>
      </w:r>
      <w:r w:rsidR="00EB271B" w:rsidRPr="008F506B">
        <w:rPr>
          <w:rFonts w:ascii="Arial" w:hAnsi="Arial" w:cs="Arial"/>
        </w:rPr>
        <w:t xml:space="preserve"> y</w:t>
      </w:r>
      <w:r w:rsidR="005F5758" w:rsidRPr="008F506B">
        <w:rPr>
          <w:rFonts w:ascii="Arial" w:hAnsi="Arial" w:cs="Arial"/>
        </w:rPr>
        <w:t xml:space="preserve"> de las juntas de decanos de los colegios profesionales</w:t>
      </w:r>
      <w:r w:rsidR="00CD4600" w:rsidRPr="008F506B">
        <w:rPr>
          <w:rFonts w:ascii="Arial" w:hAnsi="Arial" w:cs="Arial"/>
        </w:rPr>
        <w:t xml:space="preserve">, </w:t>
      </w:r>
      <w:r w:rsidR="00E53B65" w:rsidRPr="008F506B">
        <w:rPr>
          <w:rFonts w:ascii="Arial" w:hAnsi="Arial" w:cs="Arial"/>
        </w:rPr>
        <w:t>creados por ley o por norma de igual jerarquía que reconozca expresamente su personalidad jurídica</w:t>
      </w:r>
      <w:r w:rsidR="005A70BD" w:rsidRPr="008F506B">
        <w:rPr>
          <w:rFonts w:ascii="Arial" w:hAnsi="Arial" w:cs="Arial"/>
        </w:rPr>
        <w:t>,</w:t>
      </w:r>
      <w:r w:rsidR="00E53B65" w:rsidRPr="008F506B">
        <w:rPr>
          <w:rFonts w:ascii="Arial" w:hAnsi="Arial" w:cs="Arial"/>
        </w:rPr>
        <w:t xml:space="preserve"> </w:t>
      </w:r>
      <w:r w:rsidR="00533B2D" w:rsidRPr="008F506B">
        <w:rPr>
          <w:rFonts w:ascii="Arial" w:hAnsi="Arial" w:cs="Arial"/>
        </w:rPr>
        <w:t xml:space="preserve">y de sus juntas directivas o consejos directivos </w:t>
      </w:r>
      <w:r w:rsidR="005F5758" w:rsidRPr="008F506B">
        <w:rPr>
          <w:rFonts w:ascii="Arial" w:hAnsi="Arial" w:cs="Arial"/>
        </w:rPr>
        <w:t>es facultativa y tiene carácter declarativo</w:t>
      </w:r>
      <w:r w:rsidR="00A5446A" w:rsidRPr="008F506B">
        <w:rPr>
          <w:rFonts w:ascii="Arial" w:hAnsi="Arial" w:cs="Arial"/>
        </w:rPr>
        <w:t>;</w:t>
      </w:r>
    </w:p>
    <w:p w14:paraId="7E3A2BFC" w14:textId="77777777" w:rsidR="00614DB9" w:rsidRPr="008F506B" w:rsidRDefault="00614DB9" w:rsidP="003161CC">
      <w:pPr>
        <w:spacing w:after="0" w:line="240" w:lineRule="auto"/>
        <w:jc w:val="both"/>
        <w:rPr>
          <w:rFonts w:ascii="Arial" w:hAnsi="Arial" w:cs="Arial"/>
        </w:rPr>
      </w:pPr>
    </w:p>
    <w:p w14:paraId="18B66D51" w14:textId="77777777" w:rsidR="00787845" w:rsidRPr="008F506B" w:rsidRDefault="00787845" w:rsidP="00A5446A">
      <w:pPr>
        <w:spacing w:after="0" w:line="240" w:lineRule="aut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 xml:space="preserve">Que en atención a </w:t>
      </w:r>
      <w:r w:rsidR="00AA714A" w:rsidRPr="008F506B">
        <w:rPr>
          <w:rFonts w:ascii="Arial" w:hAnsi="Arial" w:cs="Arial"/>
        </w:rPr>
        <w:t xml:space="preserve">lo antes expuesto, </w:t>
      </w:r>
      <w:r w:rsidRPr="008F506B">
        <w:rPr>
          <w:rFonts w:ascii="Arial" w:hAnsi="Arial" w:cs="Arial"/>
        </w:rPr>
        <w:t xml:space="preserve">se considera pertinente modificar la Resolución de Superintendencia N.° 210-2004/SUNAT </w:t>
      </w:r>
      <w:r w:rsidR="00D500C9" w:rsidRPr="008F506B">
        <w:rPr>
          <w:rFonts w:ascii="Arial" w:hAnsi="Arial" w:cs="Arial"/>
        </w:rPr>
        <w:t xml:space="preserve">a fin de </w:t>
      </w:r>
      <w:r w:rsidRPr="008F506B">
        <w:rPr>
          <w:rFonts w:ascii="Arial" w:hAnsi="Arial" w:cs="Arial"/>
        </w:rPr>
        <w:t>establecer</w:t>
      </w:r>
      <w:r w:rsidR="002B6CC5" w:rsidRPr="008F506B">
        <w:rPr>
          <w:rFonts w:ascii="Arial" w:hAnsi="Arial" w:cs="Arial"/>
        </w:rPr>
        <w:t xml:space="preserve"> </w:t>
      </w:r>
      <w:r w:rsidRPr="008F506B">
        <w:rPr>
          <w:rFonts w:ascii="Arial" w:hAnsi="Arial" w:cs="Arial"/>
        </w:rPr>
        <w:t xml:space="preserve">requisitos específicos para la </w:t>
      </w:r>
      <w:r w:rsidR="00B27299" w:rsidRPr="008F506B">
        <w:rPr>
          <w:rFonts w:ascii="Arial" w:hAnsi="Arial" w:cs="Arial"/>
        </w:rPr>
        <w:t xml:space="preserve">comunicación de alta, modificación o baja </w:t>
      </w:r>
      <w:r w:rsidRPr="008F506B">
        <w:rPr>
          <w:rFonts w:ascii="Arial" w:hAnsi="Arial" w:cs="Arial"/>
        </w:rPr>
        <w:t xml:space="preserve">de los </w:t>
      </w:r>
      <w:r w:rsidR="00595704" w:rsidRPr="008F506B">
        <w:rPr>
          <w:rFonts w:ascii="Arial" w:hAnsi="Arial" w:cs="Arial"/>
        </w:rPr>
        <w:t xml:space="preserve">representantes legales de </w:t>
      </w:r>
      <w:r w:rsidR="00D500C9" w:rsidRPr="008F506B">
        <w:rPr>
          <w:rFonts w:ascii="Arial" w:hAnsi="Arial" w:cs="Arial"/>
        </w:rPr>
        <w:t xml:space="preserve">los </w:t>
      </w:r>
      <w:r w:rsidR="00595704" w:rsidRPr="008F506B">
        <w:rPr>
          <w:rFonts w:ascii="Arial" w:hAnsi="Arial" w:cs="Arial"/>
        </w:rPr>
        <w:t xml:space="preserve">colegios </w:t>
      </w:r>
      <w:r w:rsidR="00D500C9" w:rsidRPr="008F506B">
        <w:rPr>
          <w:rFonts w:ascii="Arial" w:hAnsi="Arial" w:cs="Arial"/>
        </w:rPr>
        <w:t>profesionales y juntas de decanos de los colegios profesionales</w:t>
      </w:r>
      <w:r w:rsidRPr="008F506B">
        <w:rPr>
          <w:rFonts w:ascii="Arial" w:hAnsi="Arial" w:cs="Arial"/>
        </w:rPr>
        <w:t xml:space="preserve"> </w:t>
      </w:r>
      <w:r w:rsidR="00B27299" w:rsidRPr="008F506B">
        <w:rPr>
          <w:rFonts w:ascii="Arial" w:hAnsi="Arial" w:cs="Arial"/>
        </w:rPr>
        <w:t>que tengan</w:t>
      </w:r>
      <w:r w:rsidRPr="008F506B">
        <w:rPr>
          <w:rFonts w:ascii="Arial" w:hAnsi="Arial" w:cs="Arial"/>
        </w:rPr>
        <w:t xml:space="preserve"> en cuenta si </w:t>
      </w:r>
      <w:r w:rsidR="00B27299" w:rsidRPr="008F506B">
        <w:rPr>
          <w:rFonts w:ascii="Arial" w:hAnsi="Arial" w:cs="Arial"/>
        </w:rPr>
        <w:t xml:space="preserve">los </w:t>
      </w:r>
      <w:r w:rsidR="00F83347" w:rsidRPr="008F506B">
        <w:rPr>
          <w:rFonts w:ascii="Arial" w:hAnsi="Arial" w:cs="Arial"/>
        </w:rPr>
        <w:t xml:space="preserve">referidos </w:t>
      </w:r>
      <w:r w:rsidR="00D500C9" w:rsidRPr="008F506B">
        <w:rPr>
          <w:rFonts w:ascii="Arial" w:hAnsi="Arial" w:cs="Arial"/>
        </w:rPr>
        <w:t>entes</w:t>
      </w:r>
      <w:r w:rsidR="0033109C" w:rsidRPr="008F506B">
        <w:rPr>
          <w:rFonts w:ascii="Arial" w:hAnsi="Arial" w:cs="Arial"/>
        </w:rPr>
        <w:t>:</w:t>
      </w:r>
      <w:r w:rsidR="00F83347" w:rsidRPr="008F506B">
        <w:rPr>
          <w:rFonts w:ascii="Arial" w:hAnsi="Arial" w:cs="Arial"/>
        </w:rPr>
        <w:t xml:space="preserve"> </w:t>
      </w:r>
      <w:r w:rsidR="00E434BD" w:rsidRPr="008F506B">
        <w:rPr>
          <w:rFonts w:ascii="Arial" w:hAnsi="Arial" w:cs="Arial"/>
        </w:rPr>
        <w:t>i)</w:t>
      </w:r>
      <w:r w:rsidR="00F83347" w:rsidRPr="008F506B">
        <w:rPr>
          <w:rFonts w:ascii="Arial" w:hAnsi="Arial" w:cs="Arial"/>
        </w:rPr>
        <w:t xml:space="preserve"> </w:t>
      </w:r>
      <w:r w:rsidR="004F725C" w:rsidRPr="008F506B">
        <w:rPr>
          <w:rFonts w:ascii="Arial" w:hAnsi="Arial" w:cs="Arial"/>
        </w:rPr>
        <w:t xml:space="preserve">se </w:t>
      </w:r>
      <w:r w:rsidR="00F83347" w:rsidRPr="008F506B">
        <w:rPr>
          <w:rFonts w:ascii="Arial" w:hAnsi="Arial" w:cs="Arial"/>
        </w:rPr>
        <w:t>inscribi</w:t>
      </w:r>
      <w:r w:rsidR="004F725C" w:rsidRPr="008F506B">
        <w:rPr>
          <w:rFonts w:ascii="Arial" w:hAnsi="Arial" w:cs="Arial"/>
        </w:rPr>
        <w:t>eron</w:t>
      </w:r>
      <w:r w:rsidR="00F83347" w:rsidRPr="008F506B">
        <w:rPr>
          <w:rFonts w:ascii="Arial" w:hAnsi="Arial" w:cs="Arial"/>
        </w:rPr>
        <w:t xml:space="preserve"> en</w:t>
      </w:r>
      <w:r w:rsidR="00D500C9" w:rsidRPr="008F506B">
        <w:rPr>
          <w:rFonts w:ascii="Arial" w:hAnsi="Arial" w:cs="Arial"/>
        </w:rPr>
        <w:t xml:space="preserve"> </w:t>
      </w:r>
      <w:r w:rsidR="00D85F01" w:rsidRPr="008F506B">
        <w:rPr>
          <w:rFonts w:ascii="Arial" w:hAnsi="Arial" w:cs="Arial"/>
        </w:rPr>
        <w:t xml:space="preserve">los </w:t>
      </w:r>
      <w:r w:rsidR="00F83347" w:rsidRPr="008F506B">
        <w:rPr>
          <w:rFonts w:ascii="Arial" w:hAnsi="Arial" w:cs="Arial"/>
        </w:rPr>
        <w:t xml:space="preserve">Registros Públicos </w:t>
      </w:r>
      <w:r w:rsidR="004F725C" w:rsidRPr="008F506B">
        <w:rPr>
          <w:rFonts w:ascii="Arial" w:hAnsi="Arial" w:cs="Arial"/>
        </w:rPr>
        <w:t>e inscribieron</w:t>
      </w:r>
      <w:r w:rsidR="00F83347" w:rsidRPr="008F506B">
        <w:rPr>
          <w:rFonts w:ascii="Arial" w:hAnsi="Arial" w:cs="Arial"/>
        </w:rPr>
        <w:t xml:space="preserve"> sus juntas directivas</w:t>
      </w:r>
      <w:r w:rsidR="002266C6" w:rsidRPr="008F506B">
        <w:rPr>
          <w:rFonts w:ascii="Arial" w:hAnsi="Arial" w:cs="Arial"/>
        </w:rPr>
        <w:t xml:space="preserve"> o</w:t>
      </w:r>
      <w:r w:rsidR="00F83347" w:rsidRPr="008F506B">
        <w:rPr>
          <w:rFonts w:ascii="Arial" w:hAnsi="Arial" w:cs="Arial"/>
        </w:rPr>
        <w:t xml:space="preserve"> consejos directivos, </w:t>
      </w:r>
      <w:r w:rsidR="00E434BD" w:rsidRPr="008F506B">
        <w:rPr>
          <w:rFonts w:ascii="Arial" w:hAnsi="Arial" w:cs="Arial"/>
        </w:rPr>
        <w:t xml:space="preserve">ii) </w:t>
      </w:r>
      <w:r w:rsidR="004F725C" w:rsidRPr="008F506B">
        <w:rPr>
          <w:rFonts w:ascii="Arial" w:hAnsi="Arial" w:cs="Arial"/>
        </w:rPr>
        <w:t xml:space="preserve">se </w:t>
      </w:r>
      <w:r w:rsidR="00F83347" w:rsidRPr="008F506B">
        <w:rPr>
          <w:rFonts w:ascii="Arial" w:hAnsi="Arial" w:cs="Arial"/>
        </w:rPr>
        <w:t>inscribi</w:t>
      </w:r>
      <w:r w:rsidR="004F725C" w:rsidRPr="008F506B">
        <w:rPr>
          <w:rFonts w:ascii="Arial" w:hAnsi="Arial" w:cs="Arial"/>
        </w:rPr>
        <w:t>eron</w:t>
      </w:r>
      <w:r w:rsidR="00F83347" w:rsidRPr="008F506B">
        <w:rPr>
          <w:rFonts w:ascii="Arial" w:hAnsi="Arial" w:cs="Arial"/>
        </w:rPr>
        <w:t xml:space="preserve"> en </w:t>
      </w:r>
      <w:r w:rsidR="00D85F01" w:rsidRPr="008F506B">
        <w:rPr>
          <w:rFonts w:ascii="Arial" w:hAnsi="Arial" w:cs="Arial"/>
        </w:rPr>
        <w:t xml:space="preserve">los </w:t>
      </w:r>
      <w:r w:rsidR="00F83347" w:rsidRPr="008F506B">
        <w:rPr>
          <w:rFonts w:ascii="Arial" w:hAnsi="Arial" w:cs="Arial"/>
        </w:rPr>
        <w:t>Registros Públicos</w:t>
      </w:r>
      <w:r w:rsidR="004F725C" w:rsidRPr="008F506B">
        <w:rPr>
          <w:rFonts w:ascii="Arial" w:hAnsi="Arial" w:cs="Arial"/>
        </w:rPr>
        <w:t>,</w:t>
      </w:r>
      <w:r w:rsidR="00F83347" w:rsidRPr="008F506B">
        <w:rPr>
          <w:rFonts w:ascii="Arial" w:hAnsi="Arial" w:cs="Arial"/>
        </w:rPr>
        <w:t xml:space="preserve"> pero no inscribieron una o más juntas directivas o consejos directivos </w:t>
      </w:r>
      <w:r w:rsidR="00E434BD" w:rsidRPr="008F506B">
        <w:rPr>
          <w:rFonts w:ascii="Arial" w:hAnsi="Arial" w:cs="Arial"/>
        </w:rPr>
        <w:t>y iii)</w:t>
      </w:r>
      <w:r w:rsidR="00F83347" w:rsidRPr="008F506B">
        <w:rPr>
          <w:rFonts w:ascii="Arial" w:hAnsi="Arial" w:cs="Arial"/>
        </w:rPr>
        <w:t xml:space="preserve"> </w:t>
      </w:r>
      <w:r w:rsidR="00F83347" w:rsidRPr="008F506B">
        <w:rPr>
          <w:rFonts w:ascii="Arial" w:hAnsi="Arial" w:cs="Arial"/>
          <w:lang w:eastAsia="es-PE"/>
        </w:rPr>
        <w:t>no</w:t>
      </w:r>
      <w:r w:rsidR="004F725C" w:rsidRPr="008F506B">
        <w:rPr>
          <w:rFonts w:ascii="Arial" w:hAnsi="Arial" w:cs="Arial"/>
          <w:lang w:eastAsia="es-PE"/>
        </w:rPr>
        <w:t xml:space="preserve"> se</w:t>
      </w:r>
      <w:r w:rsidR="00F83347" w:rsidRPr="008F506B">
        <w:rPr>
          <w:rFonts w:ascii="Arial" w:hAnsi="Arial" w:cs="Arial"/>
          <w:lang w:eastAsia="es-PE"/>
        </w:rPr>
        <w:t xml:space="preserve"> inscribi</w:t>
      </w:r>
      <w:r w:rsidR="004F725C" w:rsidRPr="008F506B">
        <w:rPr>
          <w:rFonts w:ascii="Arial" w:hAnsi="Arial" w:cs="Arial"/>
          <w:lang w:eastAsia="es-PE"/>
        </w:rPr>
        <w:t>eron</w:t>
      </w:r>
      <w:r w:rsidR="00F83347" w:rsidRPr="008F506B">
        <w:rPr>
          <w:rFonts w:ascii="Arial" w:hAnsi="Arial" w:cs="Arial"/>
          <w:lang w:eastAsia="es-PE"/>
        </w:rPr>
        <w:t xml:space="preserve"> en </w:t>
      </w:r>
      <w:r w:rsidR="00224C91" w:rsidRPr="008F506B">
        <w:rPr>
          <w:rFonts w:ascii="Arial" w:hAnsi="Arial" w:cs="Arial"/>
          <w:lang w:eastAsia="es-PE"/>
        </w:rPr>
        <w:t>los mencionados</w:t>
      </w:r>
      <w:r w:rsidR="00F83347" w:rsidRPr="008F506B">
        <w:rPr>
          <w:rFonts w:ascii="Arial" w:hAnsi="Arial" w:cs="Arial"/>
          <w:lang w:eastAsia="es-PE"/>
        </w:rPr>
        <w:t xml:space="preserve"> registros</w:t>
      </w:r>
      <w:r w:rsidR="00977F76" w:rsidRPr="008F506B">
        <w:rPr>
          <w:rFonts w:ascii="Arial" w:hAnsi="Arial" w:cs="Arial"/>
          <w:lang w:eastAsia="es-PE"/>
        </w:rPr>
        <w:t xml:space="preserve">. </w:t>
      </w:r>
    </w:p>
    <w:p w14:paraId="298C7F30" w14:textId="77777777" w:rsidR="00A5446A" w:rsidRPr="008F506B" w:rsidRDefault="00A5446A" w:rsidP="00A5446A">
      <w:pPr>
        <w:spacing w:after="0" w:line="240" w:lineRule="auto"/>
        <w:jc w:val="both"/>
        <w:rPr>
          <w:rFonts w:ascii="Arial" w:hAnsi="Arial" w:cs="Arial"/>
        </w:rPr>
      </w:pPr>
    </w:p>
    <w:p w14:paraId="0DF82836" w14:textId="77777777" w:rsidR="009E4FB3" w:rsidRPr="008F506B" w:rsidRDefault="00856B8E" w:rsidP="00547D58">
      <w:pPr>
        <w:spacing w:after="0" w:line="240" w:lineRule="auto"/>
        <w:jc w:val="both"/>
        <w:rPr>
          <w:rFonts w:ascii="Arial" w:hAnsi="Arial" w:cs="Arial"/>
        </w:rPr>
      </w:pPr>
      <w:r w:rsidRPr="008F506B">
        <w:rPr>
          <w:rFonts w:ascii="Arial" w:hAnsi="Arial" w:cs="Arial"/>
        </w:rPr>
        <w:t>Que</w:t>
      </w:r>
      <w:r w:rsidR="00821B9A" w:rsidRPr="008F506B">
        <w:rPr>
          <w:rFonts w:ascii="Arial" w:hAnsi="Arial" w:cs="Arial"/>
        </w:rPr>
        <w:t xml:space="preserve">, </w:t>
      </w:r>
      <w:r w:rsidR="005C5749" w:rsidRPr="008F506B">
        <w:rPr>
          <w:rFonts w:ascii="Arial" w:hAnsi="Arial" w:cs="Arial"/>
        </w:rPr>
        <w:t>adicionalmente</w:t>
      </w:r>
      <w:r w:rsidR="00821B9A" w:rsidRPr="008F506B">
        <w:rPr>
          <w:rFonts w:ascii="Arial" w:hAnsi="Arial" w:cs="Arial"/>
        </w:rPr>
        <w:t>,</w:t>
      </w:r>
      <w:r w:rsidRPr="008F506B">
        <w:rPr>
          <w:rFonts w:ascii="Arial" w:hAnsi="Arial" w:cs="Arial"/>
        </w:rPr>
        <w:t xml:space="preserve"> </w:t>
      </w:r>
      <w:r w:rsidR="00547D58" w:rsidRPr="008F506B">
        <w:rPr>
          <w:rFonts w:ascii="Arial" w:hAnsi="Arial" w:cs="Arial"/>
        </w:rPr>
        <w:t xml:space="preserve">si bien </w:t>
      </w:r>
      <w:bookmarkStart w:id="4" w:name="_Hlk33172642"/>
      <w:r w:rsidR="00DC254F" w:rsidRPr="008F506B">
        <w:rPr>
          <w:rFonts w:ascii="Arial" w:hAnsi="Arial" w:cs="Arial"/>
        </w:rPr>
        <w:t>para</w:t>
      </w:r>
      <w:r w:rsidR="009E4FB3" w:rsidRPr="008F506B">
        <w:rPr>
          <w:rFonts w:ascii="Arial" w:hAnsi="Arial" w:cs="Arial"/>
        </w:rPr>
        <w:t xml:space="preserve"> la comunicación de alta, modificación y baja de representantes legales </w:t>
      </w:r>
      <w:r w:rsidR="008E6A11" w:rsidRPr="008F506B">
        <w:rPr>
          <w:rFonts w:ascii="Arial" w:hAnsi="Arial" w:cs="Arial"/>
        </w:rPr>
        <w:t xml:space="preserve">de sujetos </w:t>
      </w:r>
      <w:r w:rsidR="009E4FB3" w:rsidRPr="008F506B">
        <w:rPr>
          <w:rFonts w:ascii="Arial" w:hAnsi="Arial" w:cs="Arial"/>
        </w:rPr>
        <w:t xml:space="preserve">inscritos en </w:t>
      </w:r>
      <w:r w:rsidR="007A4464" w:rsidRPr="008F506B">
        <w:rPr>
          <w:rFonts w:ascii="Arial" w:hAnsi="Arial" w:cs="Arial"/>
        </w:rPr>
        <w:t xml:space="preserve">los </w:t>
      </w:r>
      <w:r w:rsidR="009E4FB3" w:rsidRPr="008F506B">
        <w:rPr>
          <w:rFonts w:ascii="Arial" w:hAnsi="Arial" w:cs="Arial"/>
        </w:rPr>
        <w:t xml:space="preserve">Registros Públicos, </w:t>
      </w:r>
      <w:r w:rsidR="00A876E7" w:rsidRPr="008F506B">
        <w:rPr>
          <w:rFonts w:ascii="Arial" w:hAnsi="Arial" w:cs="Arial"/>
        </w:rPr>
        <w:t xml:space="preserve">no se requiere </w:t>
      </w:r>
      <w:r w:rsidR="009E4FB3" w:rsidRPr="008F506B">
        <w:rPr>
          <w:rFonts w:ascii="Arial" w:hAnsi="Arial" w:cs="Arial"/>
        </w:rPr>
        <w:t>documentación adicional expedida por dichos registros</w:t>
      </w:r>
      <w:bookmarkEnd w:id="4"/>
      <w:r w:rsidR="00547D58" w:rsidRPr="008F506B">
        <w:rPr>
          <w:rFonts w:ascii="Arial" w:hAnsi="Arial" w:cs="Arial"/>
        </w:rPr>
        <w:t xml:space="preserve">, corresponde modificar la </w:t>
      </w:r>
      <w:r w:rsidR="00BA0747" w:rsidRPr="008F506B">
        <w:rPr>
          <w:rFonts w:ascii="Arial" w:hAnsi="Arial" w:cs="Arial"/>
        </w:rPr>
        <w:t>Resolución de Superintendencia N.° 210-2004/SUNAT</w:t>
      </w:r>
      <w:r w:rsidR="009E4FB3" w:rsidRPr="008F506B">
        <w:rPr>
          <w:rFonts w:ascii="Arial" w:hAnsi="Arial" w:cs="Arial"/>
        </w:rPr>
        <w:t xml:space="preserve"> </w:t>
      </w:r>
      <w:r w:rsidR="00547D58" w:rsidRPr="008F506B">
        <w:rPr>
          <w:rFonts w:ascii="Arial" w:hAnsi="Arial" w:cs="Arial"/>
        </w:rPr>
        <w:t xml:space="preserve">a fin de que en ella se indique </w:t>
      </w:r>
      <w:r w:rsidR="009E4FB3" w:rsidRPr="008F506B">
        <w:rPr>
          <w:rFonts w:ascii="Arial" w:hAnsi="Arial" w:cs="Arial"/>
        </w:rPr>
        <w:t>qué información mínima</w:t>
      </w:r>
      <w:r w:rsidR="00BA0747" w:rsidRPr="008F506B">
        <w:rPr>
          <w:rFonts w:ascii="Arial" w:hAnsi="Arial" w:cs="Arial"/>
        </w:rPr>
        <w:t xml:space="preserve"> </w:t>
      </w:r>
      <w:r w:rsidR="009E4FB3" w:rsidRPr="008F506B">
        <w:rPr>
          <w:rFonts w:ascii="Arial" w:hAnsi="Arial" w:cs="Arial"/>
        </w:rPr>
        <w:t xml:space="preserve">se debe proporcionar para la ubicación de dicha inscripción;  </w:t>
      </w:r>
    </w:p>
    <w:p w14:paraId="042B55F2" w14:textId="77777777" w:rsidR="00DD5B5A" w:rsidRPr="008F506B" w:rsidRDefault="00DD5B5A" w:rsidP="000D557D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0D8CCC7B" w14:textId="77777777" w:rsidR="005E2FC1" w:rsidRPr="008F506B" w:rsidRDefault="005E2FC1" w:rsidP="006D52E9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F506B">
        <w:rPr>
          <w:rFonts w:ascii="Arial" w:eastAsia="Times New Roman" w:hAnsi="Arial" w:cs="Arial"/>
          <w:lang w:eastAsia="es-PE"/>
        </w:rPr>
        <w:t xml:space="preserve">En uso de las facultades conferidas por el artículo 6 del Decreto </w:t>
      </w:r>
      <w:r w:rsidR="00C807F2" w:rsidRPr="008F506B">
        <w:rPr>
          <w:rFonts w:ascii="Arial" w:eastAsia="Times New Roman" w:hAnsi="Arial" w:cs="Arial"/>
          <w:lang w:eastAsia="es-PE"/>
        </w:rPr>
        <w:t>Le</w:t>
      </w:r>
      <w:r w:rsidR="009E3BAD" w:rsidRPr="008F506B">
        <w:rPr>
          <w:rFonts w:ascii="Arial" w:eastAsia="Times New Roman" w:hAnsi="Arial" w:cs="Arial"/>
          <w:lang w:eastAsia="es-PE"/>
        </w:rPr>
        <w:t>g</w:t>
      </w:r>
      <w:r w:rsidR="006E3D9E" w:rsidRPr="008F506B">
        <w:rPr>
          <w:rFonts w:ascii="Arial" w:eastAsia="Times New Roman" w:hAnsi="Arial" w:cs="Arial"/>
          <w:lang w:eastAsia="es-PE"/>
        </w:rPr>
        <w:t>i</w:t>
      </w:r>
      <w:r w:rsidR="009E3BAD" w:rsidRPr="008F506B">
        <w:rPr>
          <w:rFonts w:ascii="Arial" w:eastAsia="Times New Roman" w:hAnsi="Arial" w:cs="Arial"/>
          <w:lang w:eastAsia="es-PE"/>
        </w:rPr>
        <w:t>slativo</w:t>
      </w:r>
      <w:r w:rsidRPr="008F506B">
        <w:rPr>
          <w:rFonts w:ascii="Arial" w:eastAsia="Times New Roman" w:hAnsi="Arial" w:cs="Arial"/>
          <w:lang w:eastAsia="es-PE"/>
        </w:rPr>
        <w:t xml:space="preserve"> N.° </w:t>
      </w:r>
      <w:r w:rsidR="009E3BAD" w:rsidRPr="008F506B">
        <w:rPr>
          <w:rFonts w:ascii="Arial" w:eastAsia="Times New Roman" w:hAnsi="Arial" w:cs="Arial"/>
          <w:lang w:eastAsia="es-PE"/>
        </w:rPr>
        <w:t>943</w:t>
      </w:r>
      <w:r w:rsidRPr="008F506B">
        <w:rPr>
          <w:rFonts w:ascii="Arial" w:hAnsi="Arial" w:cs="Arial"/>
        </w:rPr>
        <w:t>;</w:t>
      </w:r>
      <w:r w:rsidRPr="008F506B">
        <w:rPr>
          <w:rFonts w:ascii="Arial" w:eastAsia="Times New Roman" w:hAnsi="Arial" w:cs="Arial"/>
          <w:lang w:eastAsia="es-PE"/>
        </w:rPr>
        <w:t xml:space="preserve"> el artículo 11 del Decreto Legislativo N.° 501, Ley General de la SUNAT; el artículo 5 de la Ley N.° 29816, Ley de Fortalecimiento de la SUNAT y el inciso o) del artículo 8 del Reglamento de Organización y Funciones de la SUNAT</w:t>
      </w:r>
      <w:r w:rsidR="004E166A" w:rsidRPr="008F506B">
        <w:rPr>
          <w:rFonts w:ascii="Arial" w:eastAsia="Times New Roman" w:hAnsi="Arial" w:cs="Arial"/>
          <w:lang w:eastAsia="es-PE"/>
        </w:rPr>
        <w:t>,</w:t>
      </w:r>
      <w:r w:rsidRPr="008F506B">
        <w:rPr>
          <w:rFonts w:ascii="Arial" w:eastAsia="Times New Roman" w:hAnsi="Arial" w:cs="Arial"/>
          <w:lang w:eastAsia="es-PE"/>
        </w:rPr>
        <w:t xml:space="preserve"> aprobado por la Resolución de Superintendencia N.° 122-2014/SUNAT;</w:t>
      </w:r>
    </w:p>
    <w:p w14:paraId="6D8D3A8F" w14:textId="77777777" w:rsidR="009E3BAD" w:rsidRPr="008F506B" w:rsidRDefault="009E3BAD" w:rsidP="006D52E9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</w:p>
    <w:p w14:paraId="5E0C82C6" w14:textId="77777777" w:rsidR="005E2FC1" w:rsidRPr="008F506B" w:rsidRDefault="005E2FC1" w:rsidP="006D52E9">
      <w:pPr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>SE RESUELVE:</w:t>
      </w:r>
    </w:p>
    <w:p w14:paraId="2101C577" w14:textId="77777777" w:rsidR="004D622E" w:rsidRPr="008F506B" w:rsidRDefault="004D622E" w:rsidP="00B64402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lang w:eastAsia="es-PE"/>
        </w:rPr>
      </w:pPr>
    </w:p>
    <w:p w14:paraId="5C013068" w14:textId="77777777" w:rsidR="00256C40" w:rsidRPr="008F506B" w:rsidRDefault="00256C40" w:rsidP="00256C4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 xml:space="preserve">Artículo </w:t>
      </w:r>
      <w:r w:rsidR="00165A37" w:rsidRPr="008F506B">
        <w:rPr>
          <w:rFonts w:ascii="Arial" w:eastAsia="Times New Roman" w:hAnsi="Arial" w:cs="Arial"/>
          <w:b/>
          <w:lang w:eastAsia="es-PE"/>
        </w:rPr>
        <w:t>Único</w:t>
      </w:r>
      <w:r w:rsidRPr="008F506B">
        <w:rPr>
          <w:rFonts w:ascii="Arial" w:eastAsia="Times New Roman" w:hAnsi="Arial" w:cs="Arial"/>
          <w:b/>
          <w:lang w:eastAsia="es-PE"/>
        </w:rPr>
        <w:t xml:space="preserve">. </w:t>
      </w:r>
      <w:r w:rsidR="00B64402" w:rsidRPr="008F506B">
        <w:rPr>
          <w:rFonts w:ascii="Arial" w:eastAsia="Times New Roman" w:hAnsi="Arial" w:cs="Arial"/>
          <w:b/>
          <w:lang w:eastAsia="es-PE"/>
        </w:rPr>
        <w:t>Modif</w:t>
      </w:r>
      <w:r w:rsidR="001F7668" w:rsidRPr="008F506B">
        <w:rPr>
          <w:rFonts w:ascii="Arial" w:eastAsia="Times New Roman" w:hAnsi="Arial" w:cs="Arial"/>
          <w:b/>
          <w:lang w:eastAsia="es-PE"/>
        </w:rPr>
        <w:t>icaci</w:t>
      </w:r>
      <w:r w:rsidR="00B33C03" w:rsidRPr="008F506B">
        <w:rPr>
          <w:rFonts w:ascii="Arial" w:eastAsia="Times New Roman" w:hAnsi="Arial" w:cs="Arial"/>
          <w:b/>
          <w:lang w:eastAsia="es-PE"/>
        </w:rPr>
        <w:t>ón</w:t>
      </w:r>
      <w:r w:rsidR="001F7668" w:rsidRPr="008F506B">
        <w:rPr>
          <w:rFonts w:ascii="Arial" w:eastAsia="Times New Roman" w:hAnsi="Arial" w:cs="Arial"/>
          <w:b/>
          <w:lang w:eastAsia="es-PE"/>
        </w:rPr>
        <w:t xml:space="preserve"> </w:t>
      </w:r>
      <w:r w:rsidR="00134917" w:rsidRPr="008F506B">
        <w:rPr>
          <w:rFonts w:ascii="Arial" w:eastAsia="Times New Roman" w:hAnsi="Arial" w:cs="Arial"/>
          <w:b/>
          <w:lang w:eastAsia="es-PE"/>
        </w:rPr>
        <w:t>de</w:t>
      </w:r>
      <w:r w:rsidRPr="008F506B">
        <w:rPr>
          <w:rFonts w:ascii="Arial" w:eastAsia="Times New Roman" w:hAnsi="Arial" w:cs="Arial"/>
          <w:b/>
          <w:lang w:eastAsia="es-PE"/>
        </w:rPr>
        <w:t xml:space="preserve"> la </w:t>
      </w:r>
      <w:r w:rsidRPr="008F506B">
        <w:rPr>
          <w:rFonts w:ascii="Arial" w:hAnsi="Arial" w:cs="Arial"/>
          <w:b/>
        </w:rPr>
        <w:t xml:space="preserve">Resolución de Superintendencia N.° </w:t>
      </w:r>
      <w:r w:rsidRPr="008F506B">
        <w:rPr>
          <w:rFonts w:ascii="Arial" w:eastAsia="Times New Roman" w:hAnsi="Arial" w:cs="Arial"/>
          <w:b/>
          <w:lang w:eastAsia="es-PE"/>
        </w:rPr>
        <w:t>210</w:t>
      </w:r>
      <w:r w:rsidRPr="008F506B">
        <w:rPr>
          <w:rFonts w:ascii="Arial" w:hAnsi="Arial" w:cs="Arial"/>
          <w:b/>
        </w:rPr>
        <w:t>-2004/SUNAT</w:t>
      </w:r>
    </w:p>
    <w:p w14:paraId="34AAFF3E" w14:textId="77777777" w:rsidR="00256C40" w:rsidRPr="008F506B" w:rsidRDefault="00256C40" w:rsidP="00256C40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F0EB1DC" w14:textId="77777777" w:rsidR="00256C40" w:rsidRPr="008F506B" w:rsidRDefault="00256C40" w:rsidP="00256C40">
      <w:pPr>
        <w:spacing w:after="0" w:line="240" w:lineRule="auto"/>
        <w:jc w:val="both"/>
        <w:rPr>
          <w:rFonts w:ascii="Arial" w:hAnsi="Arial" w:cs="Arial"/>
        </w:rPr>
      </w:pPr>
      <w:r w:rsidRPr="008F506B">
        <w:rPr>
          <w:rFonts w:ascii="Arial" w:eastAsia="Times New Roman" w:hAnsi="Arial" w:cs="Arial"/>
          <w:lang w:eastAsia="es-PE"/>
        </w:rPr>
        <w:t>Modifí</w:t>
      </w:r>
      <w:r w:rsidR="007254FB" w:rsidRPr="008F506B">
        <w:rPr>
          <w:rFonts w:ascii="Arial" w:eastAsia="Times New Roman" w:hAnsi="Arial" w:cs="Arial"/>
          <w:lang w:eastAsia="es-PE"/>
        </w:rPr>
        <w:t>ca</w:t>
      </w:r>
      <w:r w:rsidRPr="008F506B">
        <w:rPr>
          <w:rFonts w:ascii="Arial" w:eastAsia="Times New Roman" w:hAnsi="Arial" w:cs="Arial"/>
          <w:lang w:eastAsia="es-PE"/>
        </w:rPr>
        <w:t>se</w:t>
      </w:r>
      <w:r w:rsidR="006646B6" w:rsidRPr="008F506B">
        <w:rPr>
          <w:rFonts w:ascii="Arial" w:eastAsia="Times New Roman" w:hAnsi="Arial" w:cs="Arial"/>
          <w:lang w:eastAsia="es-PE"/>
        </w:rPr>
        <w:t xml:space="preserve"> </w:t>
      </w:r>
      <w:bookmarkStart w:id="5" w:name="_Hlk24640451"/>
      <w:r w:rsidR="00DC254F" w:rsidRPr="008F506B">
        <w:rPr>
          <w:rFonts w:ascii="Arial" w:eastAsia="Times New Roman" w:hAnsi="Arial" w:cs="Arial"/>
          <w:lang w:eastAsia="es-PE"/>
        </w:rPr>
        <w:t>el</w:t>
      </w:r>
      <w:r w:rsidR="00B64402" w:rsidRPr="008F506B">
        <w:rPr>
          <w:rFonts w:ascii="Arial" w:eastAsia="Times New Roman" w:hAnsi="Arial" w:cs="Arial"/>
          <w:lang w:eastAsia="es-PE"/>
        </w:rPr>
        <w:t xml:space="preserve"> numeral 2.1</w:t>
      </w:r>
      <w:r w:rsidR="00CC788D" w:rsidRPr="008F506B">
        <w:rPr>
          <w:rFonts w:ascii="Arial" w:eastAsia="Times New Roman" w:hAnsi="Arial" w:cs="Arial"/>
          <w:lang w:eastAsia="es-PE"/>
        </w:rPr>
        <w:t>3</w:t>
      </w:r>
      <w:r w:rsidR="00B64402" w:rsidRPr="008F506B">
        <w:rPr>
          <w:rFonts w:ascii="Arial" w:eastAsia="Times New Roman" w:hAnsi="Arial" w:cs="Arial"/>
          <w:lang w:eastAsia="es-PE"/>
        </w:rPr>
        <w:t xml:space="preserve"> del </w:t>
      </w:r>
      <w:r w:rsidR="00D40039" w:rsidRPr="008F506B">
        <w:rPr>
          <w:rFonts w:ascii="Arial" w:eastAsia="Times New Roman" w:hAnsi="Arial" w:cs="Arial"/>
          <w:lang w:eastAsia="es-PE"/>
        </w:rPr>
        <w:t>a</w:t>
      </w:r>
      <w:r w:rsidR="00B64402" w:rsidRPr="008F506B">
        <w:rPr>
          <w:rFonts w:ascii="Arial" w:eastAsia="Times New Roman" w:hAnsi="Arial" w:cs="Arial"/>
          <w:lang w:eastAsia="es-PE"/>
        </w:rPr>
        <w:t xml:space="preserve">nexo </w:t>
      </w:r>
      <w:r w:rsidR="004A0093" w:rsidRPr="008F506B">
        <w:rPr>
          <w:rFonts w:ascii="Arial" w:eastAsia="Times New Roman" w:hAnsi="Arial" w:cs="Arial"/>
          <w:lang w:eastAsia="es-PE"/>
        </w:rPr>
        <w:t xml:space="preserve">N.° </w:t>
      </w:r>
      <w:r w:rsidR="00B64402" w:rsidRPr="008F506B">
        <w:rPr>
          <w:rFonts w:ascii="Arial" w:eastAsia="Times New Roman" w:hAnsi="Arial" w:cs="Arial"/>
          <w:lang w:eastAsia="es-PE"/>
        </w:rPr>
        <w:t xml:space="preserve">2 </w:t>
      </w:r>
      <w:r w:rsidR="00821F95" w:rsidRPr="008F506B">
        <w:rPr>
          <w:rFonts w:ascii="Arial" w:eastAsia="Times New Roman" w:hAnsi="Arial" w:cs="Arial"/>
          <w:lang w:eastAsia="es-PE"/>
        </w:rPr>
        <w:t>de</w:t>
      </w:r>
      <w:r w:rsidR="0049734D" w:rsidRPr="008F506B">
        <w:rPr>
          <w:rFonts w:ascii="Arial" w:eastAsia="Times New Roman" w:hAnsi="Arial" w:cs="Arial"/>
          <w:lang w:eastAsia="es-PE"/>
        </w:rPr>
        <w:t xml:space="preserve"> la</w:t>
      </w:r>
      <w:r w:rsidR="00821F95" w:rsidRPr="008F506B">
        <w:rPr>
          <w:rFonts w:ascii="Arial" w:eastAsia="Times New Roman" w:hAnsi="Arial" w:cs="Arial"/>
          <w:lang w:eastAsia="es-PE"/>
        </w:rPr>
        <w:t xml:space="preserve"> </w:t>
      </w:r>
      <w:r w:rsidRPr="008F506B">
        <w:rPr>
          <w:rFonts w:ascii="Arial" w:hAnsi="Arial" w:cs="Arial"/>
        </w:rPr>
        <w:t xml:space="preserve">Resolución de Superintendencia N.° </w:t>
      </w:r>
      <w:r w:rsidRPr="008F506B">
        <w:rPr>
          <w:rFonts w:ascii="Arial" w:eastAsia="Times New Roman" w:hAnsi="Arial" w:cs="Arial"/>
          <w:lang w:eastAsia="es-PE"/>
        </w:rPr>
        <w:t>210</w:t>
      </w:r>
      <w:r w:rsidRPr="008F506B">
        <w:rPr>
          <w:rFonts w:ascii="Arial" w:hAnsi="Arial" w:cs="Arial"/>
        </w:rPr>
        <w:t xml:space="preserve">-2004/SUNAT, en los términos siguientes: </w:t>
      </w:r>
    </w:p>
    <w:p w14:paraId="11CA1194" w14:textId="77777777" w:rsidR="006269AF" w:rsidRPr="008F506B" w:rsidRDefault="006269AF" w:rsidP="00256C40">
      <w:pPr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bookmarkEnd w:id="5"/>
    <w:p w14:paraId="10110747" w14:textId="77777777" w:rsidR="00B64402" w:rsidRPr="008F506B" w:rsidRDefault="00B64402" w:rsidP="00B6440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F506B">
        <w:rPr>
          <w:rFonts w:ascii="Arial" w:hAnsi="Arial" w:cs="Arial"/>
          <w:sz w:val="20"/>
          <w:szCs w:val="20"/>
        </w:rPr>
        <w:t>“Anexo N.° 2</w:t>
      </w:r>
    </w:p>
    <w:p w14:paraId="7850DE38" w14:textId="77777777" w:rsidR="00E417E7" w:rsidRPr="00FB1953" w:rsidRDefault="00E417E7" w:rsidP="00E417E7">
      <w:pPr>
        <w:spacing w:after="0" w:line="240" w:lineRule="auto"/>
        <w:rPr>
          <w:rFonts w:ascii="Arial" w:hAnsi="Arial" w:cs="Arial"/>
          <w:bCs/>
          <w:sz w:val="16"/>
          <w:szCs w:val="16"/>
        </w:rPr>
      </w:pPr>
    </w:p>
    <w:tbl>
      <w:tblPr>
        <w:tblW w:w="8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12"/>
        <w:gridCol w:w="4820"/>
      </w:tblGrid>
      <w:tr w:rsidR="00DC7A7B" w:rsidRPr="008F506B" w14:paraId="59E4521D" w14:textId="77777777" w:rsidTr="00DC7A7B">
        <w:tc>
          <w:tcPr>
            <w:tcW w:w="8926" w:type="dxa"/>
            <w:gridSpan w:val="3"/>
            <w:shd w:val="clear" w:color="auto" w:fill="auto"/>
          </w:tcPr>
          <w:p w14:paraId="516A09B9" w14:textId="77777777" w:rsidR="00DA402A" w:rsidRPr="008F506B" w:rsidRDefault="00DA402A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03CFF4" w14:textId="77777777" w:rsidR="00EB66B3" w:rsidRPr="008F506B" w:rsidRDefault="00EB66B3" w:rsidP="00170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COMUNICACIONES AL REGISTRO</w:t>
            </w:r>
          </w:p>
          <w:p w14:paraId="694DA3FF" w14:textId="77777777" w:rsidR="00EB66B3" w:rsidRPr="00FB1953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2995E41" w14:textId="77777777" w:rsidR="00EB66B3" w:rsidRPr="008F506B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(…)</w:t>
            </w:r>
          </w:p>
          <w:p w14:paraId="30C1BDAE" w14:textId="77777777" w:rsidR="00EB66B3" w:rsidRPr="00FB1953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3967C6D" w14:textId="77777777" w:rsidR="00EB66B3" w:rsidRPr="008F506B" w:rsidRDefault="00EB66B3" w:rsidP="00170D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REQUISITOS ESPECÍFICOS:</w:t>
            </w:r>
          </w:p>
          <w:p w14:paraId="0F302EA1" w14:textId="77777777" w:rsidR="00EB66B3" w:rsidRPr="00FB1953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6797F79" w14:textId="77777777" w:rsidR="00EB66B3" w:rsidRPr="008F506B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(…)</w:t>
            </w:r>
          </w:p>
          <w:p w14:paraId="3E1C2C82" w14:textId="77777777" w:rsidR="00EB66B3" w:rsidRPr="008F506B" w:rsidRDefault="00EB66B3" w:rsidP="00170D9E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7A7B" w:rsidRPr="008F506B" w14:paraId="7FC41BBD" w14:textId="77777777" w:rsidTr="00DC7A7B">
        <w:tc>
          <w:tcPr>
            <w:tcW w:w="1094" w:type="dxa"/>
            <w:shd w:val="clear" w:color="auto" w:fill="auto"/>
          </w:tcPr>
          <w:p w14:paraId="272F090A" w14:textId="77777777" w:rsidR="00E417E7" w:rsidRPr="008F506B" w:rsidRDefault="00E417E7" w:rsidP="00170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N.°</w:t>
            </w:r>
          </w:p>
        </w:tc>
        <w:tc>
          <w:tcPr>
            <w:tcW w:w="3012" w:type="dxa"/>
            <w:shd w:val="clear" w:color="auto" w:fill="auto"/>
          </w:tcPr>
          <w:p w14:paraId="527A8AB1" w14:textId="77777777" w:rsidR="00E417E7" w:rsidRPr="008F506B" w:rsidRDefault="00E417E7" w:rsidP="00170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COMUNICACIONES AL REGISTRO</w:t>
            </w:r>
          </w:p>
        </w:tc>
        <w:tc>
          <w:tcPr>
            <w:tcW w:w="4820" w:type="dxa"/>
            <w:shd w:val="clear" w:color="auto" w:fill="auto"/>
          </w:tcPr>
          <w:p w14:paraId="42277BC5" w14:textId="77777777" w:rsidR="00E417E7" w:rsidRPr="008F506B" w:rsidRDefault="00E417E7" w:rsidP="00170D9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F506B">
              <w:rPr>
                <w:rFonts w:ascii="Arial" w:hAnsi="Arial" w:cs="Arial"/>
                <w:bCs/>
                <w:sz w:val="20"/>
                <w:szCs w:val="20"/>
              </w:rPr>
              <w:t>REQUISITOS</w:t>
            </w:r>
          </w:p>
        </w:tc>
      </w:tr>
      <w:tr w:rsidR="00DC7A7B" w:rsidRPr="008F506B" w14:paraId="2E05A949" w14:textId="77777777" w:rsidTr="00DC7A7B">
        <w:tc>
          <w:tcPr>
            <w:tcW w:w="1094" w:type="dxa"/>
            <w:shd w:val="clear" w:color="auto" w:fill="auto"/>
          </w:tcPr>
          <w:p w14:paraId="2169266F" w14:textId="77777777" w:rsidR="00E417E7" w:rsidRPr="008F506B" w:rsidRDefault="00E417E7" w:rsidP="0017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lastRenderedPageBreak/>
              <w:t>(…)</w:t>
            </w:r>
          </w:p>
        </w:tc>
        <w:tc>
          <w:tcPr>
            <w:tcW w:w="3012" w:type="dxa"/>
            <w:shd w:val="clear" w:color="auto" w:fill="auto"/>
          </w:tcPr>
          <w:p w14:paraId="59F44511" w14:textId="77777777" w:rsidR="00E417E7" w:rsidRPr="008F506B" w:rsidRDefault="00E417E7" w:rsidP="0017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B0A87BA" w14:textId="77777777" w:rsidR="00E417E7" w:rsidRPr="008F506B" w:rsidRDefault="00E417E7" w:rsidP="0017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7A7B" w:rsidRPr="008F506B" w14:paraId="51F5CB8C" w14:textId="77777777" w:rsidTr="00DC7A7B">
        <w:tc>
          <w:tcPr>
            <w:tcW w:w="1094" w:type="dxa"/>
            <w:shd w:val="clear" w:color="auto" w:fill="auto"/>
          </w:tcPr>
          <w:p w14:paraId="2A3C30A2" w14:textId="77777777" w:rsidR="00E417E7" w:rsidRPr="008F506B" w:rsidRDefault="00E417E7" w:rsidP="00170D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>2.1</w:t>
            </w:r>
            <w:r w:rsidR="00CC788D" w:rsidRPr="008F506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12" w:type="dxa"/>
            <w:shd w:val="clear" w:color="auto" w:fill="auto"/>
          </w:tcPr>
          <w:p w14:paraId="62228BE5" w14:textId="77777777" w:rsidR="00E417E7" w:rsidRPr="008F506B" w:rsidRDefault="00E417E7" w:rsidP="00170D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>Comunicación de alta, modificación o baja de representantes legales</w:t>
            </w:r>
          </w:p>
        </w:tc>
        <w:tc>
          <w:tcPr>
            <w:tcW w:w="4820" w:type="dxa"/>
            <w:shd w:val="clear" w:color="auto" w:fill="auto"/>
          </w:tcPr>
          <w:p w14:paraId="625DB03F" w14:textId="77777777" w:rsidR="00EB66B3" w:rsidRPr="008F506B" w:rsidRDefault="00EB66B3" w:rsidP="00170D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81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En el caso de sujetos inscritos en </w:t>
            </w:r>
            <w:r w:rsidR="00F212AD" w:rsidRPr="008F506B">
              <w:rPr>
                <w:rFonts w:ascii="Arial" w:hAnsi="Arial" w:cs="Arial"/>
                <w:sz w:val="20"/>
                <w:szCs w:val="20"/>
              </w:rPr>
              <w:t xml:space="preserve">los </w:t>
            </w:r>
            <w:r w:rsidRPr="008F506B">
              <w:rPr>
                <w:rFonts w:ascii="Arial" w:hAnsi="Arial" w:cs="Arial"/>
                <w:sz w:val="20"/>
                <w:szCs w:val="20"/>
              </w:rPr>
              <w:t>Registros Públicos, indicar la oficina registral, la zona registral y el número de la partida, el asiento y el título registral relativo a la inscripción del nombramiento, renuncia, revocación, sustitución u otro del representante legal, cuya alta, modificación o baja como tal se solicita.</w:t>
            </w:r>
          </w:p>
          <w:p w14:paraId="3F3F5BD8" w14:textId="77777777" w:rsidR="00EB66B3" w:rsidRPr="008F506B" w:rsidRDefault="00EB66B3" w:rsidP="00170D9E">
            <w:pPr>
              <w:pStyle w:val="Prrafodelista"/>
              <w:spacing w:after="0" w:line="240" w:lineRule="auto"/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CB34A14" w14:textId="77777777" w:rsidR="00EB66B3" w:rsidRPr="008F506B" w:rsidRDefault="00EB66B3" w:rsidP="00170D9E">
            <w:pPr>
              <w:pStyle w:val="Prrafodelista"/>
              <w:spacing w:after="0" w:line="240" w:lineRule="auto"/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>Lo dispuesto en el párrafo anterior resulta de aplicación tratándose de los colegios profesionales y juntas de decanos de los colegios profesionales que hubiesen inscri</w:t>
            </w:r>
            <w:r w:rsidR="004F725C" w:rsidRPr="008F506B">
              <w:rPr>
                <w:rFonts w:ascii="Arial" w:hAnsi="Arial" w:cs="Arial"/>
                <w:sz w:val="20"/>
                <w:szCs w:val="20"/>
              </w:rPr>
              <w:t>to</w:t>
            </w:r>
            <w:r w:rsidRPr="008F506B">
              <w:rPr>
                <w:rFonts w:ascii="Arial" w:hAnsi="Arial" w:cs="Arial"/>
                <w:sz w:val="20"/>
                <w:szCs w:val="20"/>
              </w:rPr>
              <w:t xml:space="preserve"> todas sus juntas directivas o consejos directivos en los Registros Públicos.</w:t>
            </w:r>
          </w:p>
          <w:p w14:paraId="052DCE97" w14:textId="77777777" w:rsidR="00EB66B3" w:rsidRPr="008F506B" w:rsidRDefault="00EB66B3" w:rsidP="00170D9E">
            <w:pPr>
              <w:pStyle w:val="Prrafodelista"/>
              <w:spacing w:after="0" w:line="240" w:lineRule="auto"/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5B2AEE" w14:textId="77777777" w:rsidR="00EB66B3" w:rsidRPr="008F506B" w:rsidRDefault="00EB66B3" w:rsidP="00170D9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181" w:hanging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>Respecto de los demás sujetos, exhibir el original y presentar la fotocopia simple del documento que acredite el nombramiento, renuncia, revocación o sustitución, según el tipo de contribuyente inscrito en el RUC.</w:t>
            </w:r>
          </w:p>
          <w:p w14:paraId="498ACF84" w14:textId="77777777" w:rsidR="00EB66B3" w:rsidRPr="008F506B" w:rsidRDefault="00EB66B3" w:rsidP="00170D9E">
            <w:pPr>
              <w:pStyle w:val="Prrafodelista"/>
              <w:spacing w:after="0" w:line="240" w:lineRule="auto"/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D47D9BC" w14:textId="77777777" w:rsidR="00EB66B3" w:rsidRPr="008F506B" w:rsidRDefault="00EB66B3" w:rsidP="00170D9E">
            <w:pPr>
              <w:pStyle w:val="Prrafodelista"/>
              <w:spacing w:after="0" w:line="240" w:lineRule="auto"/>
              <w:ind w:left="18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En el caso de la comunicación respecto del decano o presidente, según sea el caso o quien reemplace a estos de acuerdo con la ley de creación, el reglamento o estatuto de los colegios profesionales y juntas de decanos de los colegios profesionales </w:t>
            </w:r>
            <w:bookmarkStart w:id="6" w:name="_Hlk24645367"/>
            <w:r w:rsidRPr="008F506B">
              <w:rPr>
                <w:rFonts w:ascii="Arial" w:hAnsi="Arial" w:cs="Arial"/>
                <w:sz w:val="20"/>
                <w:szCs w:val="20"/>
              </w:rPr>
              <w:t xml:space="preserve">que </w:t>
            </w:r>
            <w:r w:rsidR="004F725C" w:rsidRPr="008F506B">
              <w:rPr>
                <w:rFonts w:ascii="Arial" w:hAnsi="Arial" w:cs="Arial"/>
                <w:sz w:val="20"/>
                <w:szCs w:val="20"/>
              </w:rPr>
              <w:t xml:space="preserve">no se </w:t>
            </w:r>
            <w:r w:rsidRPr="008F506B">
              <w:rPr>
                <w:rFonts w:ascii="Arial" w:hAnsi="Arial" w:cs="Arial"/>
                <w:sz w:val="20"/>
                <w:szCs w:val="20"/>
              </w:rPr>
              <w:t xml:space="preserve">hubiesen </w:t>
            </w:r>
            <w:r w:rsidR="004F725C" w:rsidRPr="008F506B">
              <w:rPr>
                <w:rFonts w:ascii="Arial" w:hAnsi="Arial" w:cs="Arial"/>
                <w:sz w:val="20"/>
                <w:szCs w:val="20"/>
              </w:rPr>
              <w:t xml:space="preserve">inscrito </w:t>
            </w:r>
            <w:r w:rsidRPr="008F506B">
              <w:rPr>
                <w:rFonts w:ascii="Arial" w:hAnsi="Arial" w:cs="Arial"/>
                <w:sz w:val="20"/>
                <w:szCs w:val="20"/>
              </w:rPr>
              <w:t xml:space="preserve">en los Registros Públicos o que, estando inscritos en estos, no </w:t>
            </w:r>
            <w:r w:rsidR="004F725C" w:rsidRPr="008F506B">
              <w:rPr>
                <w:rFonts w:ascii="Arial" w:hAnsi="Arial" w:cs="Arial"/>
                <w:sz w:val="20"/>
                <w:szCs w:val="20"/>
              </w:rPr>
              <w:t xml:space="preserve">hubiesen </w:t>
            </w:r>
            <w:r w:rsidR="00E36094" w:rsidRPr="008F506B">
              <w:rPr>
                <w:rFonts w:ascii="Arial" w:hAnsi="Arial" w:cs="Arial"/>
                <w:sz w:val="20"/>
                <w:szCs w:val="20"/>
              </w:rPr>
              <w:t>inscri</w:t>
            </w:r>
            <w:r w:rsidR="004F725C" w:rsidRPr="008F506B">
              <w:rPr>
                <w:rFonts w:ascii="Arial" w:hAnsi="Arial" w:cs="Arial"/>
                <w:sz w:val="20"/>
                <w:szCs w:val="20"/>
              </w:rPr>
              <w:t>to</w:t>
            </w:r>
            <w:r w:rsidR="00E36094" w:rsidRPr="008F50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506B">
              <w:rPr>
                <w:rFonts w:ascii="Arial" w:hAnsi="Arial" w:cs="Arial"/>
                <w:sz w:val="20"/>
                <w:szCs w:val="20"/>
              </w:rPr>
              <w:t xml:space="preserve">en los mencionados registros </w:t>
            </w:r>
            <w:r w:rsidR="0035253C" w:rsidRPr="008F506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F506B">
              <w:rPr>
                <w:rFonts w:ascii="Arial" w:hAnsi="Arial" w:cs="Arial"/>
                <w:sz w:val="20"/>
                <w:szCs w:val="20"/>
              </w:rPr>
              <w:t>la junta directiva o el consejo directivo</w:t>
            </w:r>
            <w:bookmarkEnd w:id="6"/>
            <w:r w:rsidRPr="008F506B">
              <w:rPr>
                <w:rFonts w:ascii="Arial" w:hAnsi="Arial" w:cs="Arial"/>
                <w:sz w:val="20"/>
                <w:szCs w:val="20"/>
              </w:rPr>
              <w:t xml:space="preserve"> al que pertenece el representante legal cuya alta, modificación o baja se solicita o incluso una o más juntas directivas o consejos directivos anteriores, presentar</w:t>
            </w:r>
            <w:bookmarkStart w:id="7" w:name="_Hlk25224008"/>
            <w:r w:rsidRPr="008F506B">
              <w:rPr>
                <w:rFonts w:ascii="Arial" w:hAnsi="Arial" w:cs="Arial"/>
                <w:sz w:val="20"/>
                <w:szCs w:val="20"/>
              </w:rPr>
              <w:t xml:space="preserve"> copia certificada por fedatario designado por la Administración Tributaria o por notario o, en defecto de este último, por juez de paz en los casos establecidos por la normativa vigente, de los siguientes documentos:</w:t>
            </w:r>
          </w:p>
          <w:bookmarkEnd w:id="7"/>
          <w:p w14:paraId="7878F8E1" w14:textId="77777777" w:rsidR="00EB66B3" w:rsidRPr="008F506B" w:rsidRDefault="00EB66B3" w:rsidP="00170D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F0CC0B" w14:textId="77777777" w:rsidR="00EB66B3" w:rsidRPr="008F506B" w:rsidRDefault="00EB66B3" w:rsidP="00F41DD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7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Acta de elección del organismo electoral responsable del proceso de elección, </w:t>
            </w:r>
          </w:p>
          <w:p w14:paraId="57D0A905" w14:textId="77777777" w:rsidR="00EB66B3" w:rsidRPr="008F506B" w:rsidRDefault="00EB66B3" w:rsidP="00F41DD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7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>Convocatoria para la elección de la junta directiva o consejo directivo,</w:t>
            </w:r>
          </w:p>
          <w:p w14:paraId="7AF11BA6" w14:textId="77777777" w:rsidR="00EB66B3" w:rsidRPr="008F506B" w:rsidRDefault="00EB66B3" w:rsidP="00F41DD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7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Acta y/o resolución del organismo electoral en la que conste la elección y proclamación de la junta directiva o consejo directivo y </w:t>
            </w:r>
          </w:p>
          <w:p w14:paraId="0EBEB2A8" w14:textId="77777777" w:rsidR="00EB66B3" w:rsidRPr="008F506B" w:rsidRDefault="00EB66B3" w:rsidP="00F41DD6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427" w:hanging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Credencial otorgada por el organismo electoral al decano o al presidente y, de corresponder, a los demás miembros elegidos de la junta directiva o consejo directivo.  </w:t>
            </w:r>
          </w:p>
          <w:p w14:paraId="44D89A8B" w14:textId="77777777" w:rsidR="00EB66B3" w:rsidRPr="008F506B" w:rsidRDefault="00EB66B3" w:rsidP="00170D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4AD9339" w14:textId="77777777" w:rsidR="00E417E7" w:rsidRPr="008F506B" w:rsidRDefault="00EB66B3" w:rsidP="00170D9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506B">
              <w:rPr>
                <w:rFonts w:ascii="Arial" w:hAnsi="Arial" w:cs="Arial"/>
                <w:sz w:val="20"/>
                <w:szCs w:val="20"/>
              </w:rPr>
              <w:t xml:space="preserve">En el caso de la comunicación respecto del sujeto que reemplace al decano o presidente de acuerdo </w:t>
            </w:r>
            <w:r w:rsidRPr="008F506B">
              <w:rPr>
                <w:rFonts w:ascii="Arial" w:hAnsi="Arial" w:cs="Arial"/>
                <w:sz w:val="20"/>
                <w:szCs w:val="20"/>
              </w:rPr>
              <w:lastRenderedPageBreak/>
              <w:t>con la ley de creación, el reglamento o estatuto de los colegios profesionales y juntas de decanos de los colegios profesionales, además presentar copia del estatuto o reglamento, según corresponda, incluidas sus modificatorias</w:t>
            </w:r>
            <w:r w:rsidR="00A63580" w:rsidRPr="008F506B">
              <w:rPr>
                <w:rFonts w:ascii="Arial" w:hAnsi="Arial" w:cs="Arial"/>
                <w:sz w:val="20"/>
                <w:szCs w:val="20"/>
              </w:rPr>
              <w:t xml:space="preserve">. Dicha copia debe </w:t>
            </w:r>
            <w:r w:rsidR="00CA170A" w:rsidRPr="008F506B">
              <w:rPr>
                <w:rFonts w:ascii="Arial" w:hAnsi="Arial" w:cs="Arial"/>
                <w:sz w:val="20"/>
                <w:szCs w:val="20"/>
              </w:rPr>
              <w:t>ser</w:t>
            </w:r>
            <w:r w:rsidR="00A63580" w:rsidRPr="008F506B">
              <w:rPr>
                <w:rFonts w:ascii="Arial" w:hAnsi="Arial" w:cs="Arial"/>
                <w:sz w:val="20"/>
                <w:szCs w:val="20"/>
              </w:rPr>
              <w:t xml:space="preserve"> certificada por fedatario designado por la Administración Tributaria o por notario o, en defecto de este último, por juez de paz en los casos establecidos por la normativa vigente</w:t>
            </w:r>
            <w:r w:rsidRPr="008F506B">
              <w:rPr>
                <w:rFonts w:ascii="Arial" w:hAnsi="Arial" w:cs="Arial"/>
                <w:sz w:val="20"/>
                <w:szCs w:val="20"/>
              </w:rPr>
              <w:t>.</w:t>
            </w:r>
            <w:r w:rsidR="0035253C" w:rsidRPr="008F506B">
              <w:rPr>
                <w:rFonts w:ascii="Arial" w:hAnsi="Arial" w:cs="Arial"/>
                <w:sz w:val="20"/>
                <w:szCs w:val="20"/>
              </w:rPr>
              <w:t>”</w:t>
            </w:r>
          </w:p>
        </w:tc>
      </w:tr>
    </w:tbl>
    <w:p w14:paraId="5D8E8B88" w14:textId="77777777" w:rsidR="00E417E7" w:rsidRPr="008F506B" w:rsidRDefault="00E417E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PE"/>
        </w:rPr>
      </w:pPr>
    </w:p>
    <w:p w14:paraId="408BB9CC" w14:textId="77777777" w:rsidR="00134917" w:rsidRPr="008F506B" w:rsidRDefault="00134917" w:rsidP="0035253C">
      <w:pPr>
        <w:tabs>
          <w:tab w:val="left" w:pos="993"/>
        </w:tabs>
        <w:spacing w:after="0" w:line="240" w:lineRule="auto"/>
        <w:jc w:val="center"/>
        <w:rPr>
          <w:rFonts w:ascii="Arial" w:eastAsia="Times New Roman" w:hAnsi="Arial" w:cs="Arial"/>
          <w:b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>Disposición Complementaria Final</w:t>
      </w:r>
    </w:p>
    <w:p w14:paraId="4B639556" w14:textId="77777777" w:rsidR="00134917" w:rsidRPr="008F506B" w:rsidRDefault="0013491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4664CFFF" w14:textId="77777777" w:rsidR="00134917" w:rsidRPr="008F506B" w:rsidRDefault="0013491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lang w:eastAsia="es-PE"/>
        </w:rPr>
      </w:pPr>
      <w:r w:rsidRPr="008F506B">
        <w:rPr>
          <w:rFonts w:ascii="Arial" w:eastAsia="Times New Roman" w:hAnsi="Arial" w:cs="Arial"/>
          <w:b/>
          <w:lang w:eastAsia="es-PE"/>
        </w:rPr>
        <w:t>Única. Vigencia</w:t>
      </w:r>
    </w:p>
    <w:p w14:paraId="248C359E" w14:textId="77777777" w:rsidR="00134917" w:rsidRPr="008F506B" w:rsidRDefault="0013491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31F1A8EB" w14:textId="77777777" w:rsidR="00134917" w:rsidRPr="008F506B" w:rsidRDefault="0013491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F506B">
        <w:rPr>
          <w:rFonts w:ascii="Arial" w:eastAsia="Times New Roman" w:hAnsi="Arial" w:cs="Arial"/>
          <w:lang w:eastAsia="es-PE"/>
        </w:rPr>
        <w:t>La presente resolución entra en vigencia al día siguiente de su publicación en el diario oficial El Peruano.</w:t>
      </w:r>
    </w:p>
    <w:p w14:paraId="1EEA13E4" w14:textId="77777777" w:rsidR="00134917" w:rsidRPr="008F506B" w:rsidRDefault="0013491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</w:p>
    <w:p w14:paraId="1509E779" w14:textId="77777777" w:rsidR="00E417E7" w:rsidRPr="00F41DD6" w:rsidRDefault="00E417E7" w:rsidP="00E417E7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es-PE"/>
        </w:rPr>
      </w:pPr>
      <w:r w:rsidRPr="008F506B">
        <w:rPr>
          <w:rFonts w:ascii="Arial" w:eastAsia="Times New Roman" w:hAnsi="Arial" w:cs="Arial"/>
          <w:lang w:eastAsia="es-PE"/>
        </w:rPr>
        <w:t>Regístrese, comuníquese y publíquese.</w:t>
      </w:r>
      <w:r w:rsidRPr="00F41DD6">
        <w:rPr>
          <w:rFonts w:ascii="Arial" w:eastAsia="Times New Roman" w:hAnsi="Arial" w:cs="Arial"/>
          <w:lang w:eastAsia="es-PE"/>
        </w:rPr>
        <w:t xml:space="preserve"> </w:t>
      </w:r>
    </w:p>
    <w:p w14:paraId="3801D809" w14:textId="77777777" w:rsidR="00092CA7" w:rsidRPr="00F41DD6" w:rsidRDefault="00092CA7" w:rsidP="00E417E7">
      <w:pPr>
        <w:spacing w:after="0" w:line="240" w:lineRule="auto"/>
        <w:rPr>
          <w:rFonts w:ascii="Arial" w:eastAsia="Times New Roman" w:hAnsi="Arial" w:cs="Arial"/>
          <w:lang w:eastAsia="es-PE"/>
        </w:rPr>
      </w:pPr>
    </w:p>
    <w:sectPr w:rsidR="00092CA7" w:rsidRPr="00F41DD6" w:rsidSect="003123AB">
      <w:pgSz w:w="12240" w:h="15840"/>
      <w:pgMar w:top="1418" w:right="1701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97B84" w14:textId="77777777" w:rsidR="008E5736" w:rsidRDefault="008E5736" w:rsidP="008655DA">
      <w:pPr>
        <w:spacing w:after="0" w:line="240" w:lineRule="auto"/>
      </w:pPr>
      <w:r>
        <w:separator/>
      </w:r>
    </w:p>
  </w:endnote>
  <w:endnote w:type="continuationSeparator" w:id="0">
    <w:p w14:paraId="04A05BF6" w14:textId="77777777" w:rsidR="008E5736" w:rsidRDefault="008E5736" w:rsidP="00865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52877" w14:textId="77777777" w:rsidR="008E5736" w:rsidRDefault="008E5736" w:rsidP="008655DA">
      <w:pPr>
        <w:spacing w:after="0" w:line="240" w:lineRule="auto"/>
      </w:pPr>
      <w:r>
        <w:separator/>
      </w:r>
    </w:p>
  </w:footnote>
  <w:footnote w:type="continuationSeparator" w:id="0">
    <w:p w14:paraId="7B384A85" w14:textId="77777777" w:rsidR="008E5736" w:rsidRDefault="008E5736" w:rsidP="00865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1F"/>
    <w:multiLevelType w:val="hybridMultilevel"/>
    <w:tmpl w:val="EB60845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C23"/>
    <w:multiLevelType w:val="hybridMultilevel"/>
    <w:tmpl w:val="DD687BE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D6887"/>
    <w:multiLevelType w:val="hybridMultilevel"/>
    <w:tmpl w:val="3F8E8C0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F1695"/>
    <w:multiLevelType w:val="hybridMultilevel"/>
    <w:tmpl w:val="4E6045C8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F5219A"/>
    <w:multiLevelType w:val="hybridMultilevel"/>
    <w:tmpl w:val="B10EFEEE"/>
    <w:lvl w:ilvl="0" w:tplc="1FA8B2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C6C0F"/>
    <w:multiLevelType w:val="hybridMultilevel"/>
    <w:tmpl w:val="17AA2FA8"/>
    <w:lvl w:ilvl="0" w:tplc="280A0017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0" w:hanging="360"/>
      </w:pPr>
    </w:lvl>
    <w:lvl w:ilvl="2" w:tplc="280A001B" w:tentative="1">
      <w:start w:val="1"/>
      <w:numFmt w:val="lowerRoman"/>
      <w:lvlText w:val="%3."/>
      <w:lvlJc w:val="right"/>
      <w:pPr>
        <w:ind w:left="1830" w:hanging="180"/>
      </w:pPr>
    </w:lvl>
    <w:lvl w:ilvl="3" w:tplc="280A000F" w:tentative="1">
      <w:start w:val="1"/>
      <w:numFmt w:val="decimal"/>
      <w:lvlText w:val="%4."/>
      <w:lvlJc w:val="left"/>
      <w:pPr>
        <w:ind w:left="2550" w:hanging="360"/>
      </w:pPr>
    </w:lvl>
    <w:lvl w:ilvl="4" w:tplc="280A0019" w:tentative="1">
      <w:start w:val="1"/>
      <w:numFmt w:val="lowerLetter"/>
      <w:lvlText w:val="%5."/>
      <w:lvlJc w:val="left"/>
      <w:pPr>
        <w:ind w:left="3270" w:hanging="360"/>
      </w:pPr>
    </w:lvl>
    <w:lvl w:ilvl="5" w:tplc="280A001B" w:tentative="1">
      <w:start w:val="1"/>
      <w:numFmt w:val="lowerRoman"/>
      <w:lvlText w:val="%6."/>
      <w:lvlJc w:val="right"/>
      <w:pPr>
        <w:ind w:left="3990" w:hanging="180"/>
      </w:pPr>
    </w:lvl>
    <w:lvl w:ilvl="6" w:tplc="280A000F" w:tentative="1">
      <w:start w:val="1"/>
      <w:numFmt w:val="decimal"/>
      <w:lvlText w:val="%7."/>
      <w:lvlJc w:val="left"/>
      <w:pPr>
        <w:ind w:left="4710" w:hanging="360"/>
      </w:pPr>
    </w:lvl>
    <w:lvl w:ilvl="7" w:tplc="280A0019" w:tentative="1">
      <w:start w:val="1"/>
      <w:numFmt w:val="lowerLetter"/>
      <w:lvlText w:val="%8."/>
      <w:lvlJc w:val="left"/>
      <w:pPr>
        <w:ind w:left="5430" w:hanging="360"/>
      </w:pPr>
    </w:lvl>
    <w:lvl w:ilvl="8" w:tplc="2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63CB2E4F"/>
    <w:multiLevelType w:val="hybridMultilevel"/>
    <w:tmpl w:val="17AA2FA8"/>
    <w:lvl w:ilvl="0" w:tplc="280A0017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10" w:hanging="360"/>
      </w:pPr>
    </w:lvl>
    <w:lvl w:ilvl="2" w:tplc="280A001B" w:tentative="1">
      <w:start w:val="1"/>
      <w:numFmt w:val="lowerRoman"/>
      <w:lvlText w:val="%3."/>
      <w:lvlJc w:val="right"/>
      <w:pPr>
        <w:ind w:left="1830" w:hanging="180"/>
      </w:pPr>
    </w:lvl>
    <w:lvl w:ilvl="3" w:tplc="280A000F" w:tentative="1">
      <w:start w:val="1"/>
      <w:numFmt w:val="decimal"/>
      <w:lvlText w:val="%4."/>
      <w:lvlJc w:val="left"/>
      <w:pPr>
        <w:ind w:left="2550" w:hanging="360"/>
      </w:pPr>
    </w:lvl>
    <w:lvl w:ilvl="4" w:tplc="280A0019" w:tentative="1">
      <w:start w:val="1"/>
      <w:numFmt w:val="lowerLetter"/>
      <w:lvlText w:val="%5."/>
      <w:lvlJc w:val="left"/>
      <w:pPr>
        <w:ind w:left="3270" w:hanging="360"/>
      </w:pPr>
    </w:lvl>
    <w:lvl w:ilvl="5" w:tplc="280A001B" w:tentative="1">
      <w:start w:val="1"/>
      <w:numFmt w:val="lowerRoman"/>
      <w:lvlText w:val="%6."/>
      <w:lvlJc w:val="right"/>
      <w:pPr>
        <w:ind w:left="3990" w:hanging="180"/>
      </w:pPr>
    </w:lvl>
    <w:lvl w:ilvl="6" w:tplc="280A000F" w:tentative="1">
      <w:start w:val="1"/>
      <w:numFmt w:val="decimal"/>
      <w:lvlText w:val="%7."/>
      <w:lvlJc w:val="left"/>
      <w:pPr>
        <w:ind w:left="4710" w:hanging="360"/>
      </w:pPr>
    </w:lvl>
    <w:lvl w:ilvl="7" w:tplc="280A0019" w:tentative="1">
      <w:start w:val="1"/>
      <w:numFmt w:val="lowerLetter"/>
      <w:lvlText w:val="%8."/>
      <w:lvlJc w:val="left"/>
      <w:pPr>
        <w:ind w:left="5430" w:hanging="360"/>
      </w:pPr>
    </w:lvl>
    <w:lvl w:ilvl="8" w:tplc="280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 w15:restartNumberingAfterBreak="0">
    <w:nsid w:val="79E33D45"/>
    <w:multiLevelType w:val="hybridMultilevel"/>
    <w:tmpl w:val="501A693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9432FA"/>
    <w:multiLevelType w:val="hybridMultilevel"/>
    <w:tmpl w:val="FF7498F8"/>
    <w:lvl w:ilvl="0" w:tplc="6CAEAF64">
      <w:start w:val="1"/>
      <w:numFmt w:val="lowerRoman"/>
      <w:lvlText w:val="%1)"/>
      <w:lvlJc w:val="left"/>
      <w:pPr>
        <w:ind w:left="226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586" w:hanging="360"/>
      </w:pPr>
    </w:lvl>
    <w:lvl w:ilvl="2" w:tplc="280A001B" w:tentative="1">
      <w:start w:val="1"/>
      <w:numFmt w:val="lowerRoman"/>
      <w:lvlText w:val="%3."/>
      <w:lvlJc w:val="right"/>
      <w:pPr>
        <w:ind w:left="1306" w:hanging="180"/>
      </w:pPr>
    </w:lvl>
    <w:lvl w:ilvl="3" w:tplc="280A000F" w:tentative="1">
      <w:start w:val="1"/>
      <w:numFmt w:val="decimal"/>
      <w:lvlText w:val="%4."/>
      <w:lvlJc w:val="left"/>
      <w:pPr>
        <w:ind w:left="2026" w:hanging="360"/>
      </w:pPr>
    </w:lvl>
    <w:lvl w:ilvl="4" w:tplc="280A0019" w:tentative="1">
      <w:start w:val="1"/>
      <w:numFmt w:val="lowerLetter"/>
      <w:lvlText w:val="%5."/>
      <w:lvlJc w:val="left"/>
      <w:pPr>
        <w:ind w:left="2746" w:hanging="360"/>
      </w:pPr>
    </w:lvl>
    <w:lvl w:ilvl="5" w:tplc="280A001B" w:tentative="1">
      <w:start w:val="1"/>
      <w:numFmt w:val="lowerRoman"/>
      <w:lvlText w:val="%6."/>
      <w:lvlJc w:val="right"/>
      <w:pPr>
        <w:ind w:left="3466" w:hanging="180"/>
      </w:pPr>
    </w:lvl>
    <w:lvl w:ilvl="6" w:tplc="280A000F" w:tentative="1">
      <w:start w:val="1"/>
      <w:numFmt w:val="decimal"/>
      <w:lvlText w:val="%7."/>
      <w:lvlJc w:val="left"/>
      <w:pPr>
        <w:ind w:left="4186" w:hanging="360"/>
      </w:pPr>
    </w:lvl>
    <w:lvl w:ilvl="7" w:tplc="280A0019" w:tentative="1">
      <w:start w:val="1"/>
      <w:numFmt w:val="lowerLetter"/>
      <w:lvlText w:val="%8."/>
      <w:lvlJc w:val="left"/>
      <w:pPr>
        <w:ind w:left="4906" w:hanging="360"/>
      </w:pPr>
    </w:lvl>
    <w:lvl w:ilvl="8" w:tplc="280A001B" w:tentative="1">
      <w:start w:val="1"/>
      <w:numFmt w:val="lowerRoman"/>
      <w:lvlText w:val="%9."/>
      <w:lvlJc w:val="right"/>
      <w:pPr>
        <w:ind w:left="5626" w:hanging="180"/>
      </w:pPr>
    </w:lvl>
  </w:abstractNum>
  <w:abstractNum w:abstractNumId="9" w15:restartNumberingAfterBreak="0">
    <w:nsid w:val="7DF165CC"/>
    <w:multiLevelType w:val="hybridMultilevel"/>
    <w:tmpl w:val="76622346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0F534C"/>
    <w:multiLevelType w:val="hybridMultilevel"/>
    <w:tmpl w:val="D6D8CEE0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210C6D"/>
    <w:multiLevelType w:val="hybridMultilevel"/>
    <w:tmpl w:val="9872BEBC"/>
    <w:lvl w:ilvl="0" w:tplc="4EF8169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9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064"/>
    <w:rsid w:val="00002060"/>
    <w:rsid w:val="00004831"/>
    <w:rsid w:val="000166A5"/>
    <w:rsid w:val="000314A7"/>
    <w:rsid w:val="000437DF"/>
    <w:rsid w:val="00052FF4"/>
    <w:rsid w:val="00054880"/>
    <w:rsid w:val="000555F1"/>
    <w:rsid w:val="000640ED"/>
    <w:rsid w:val="00077571"/>
    <w:rsid w:val="000841BD"/>
    <w:rsid w:val="00092CA7"/>
    <w:rsid w:val="000931DD"/>
    <w:rsid w:val="00093DDF"/>
    <w:rsid w:val="000A01A6"/>
    <w:rsid w:val="000A08AD"/>
    <w:rsid w:val="000A6BC3"/>
    <w:rsid w:val="000C3FDD"/>
    <w:rsid w:val="000C5BFF"/>
    <w:rsid w:val="000D4395"/>
    <w:rsid w:val="000D557D"/>
    <w:rsid w:val="000D7BA1"/>
    <w:rsid w:val="000E1676"/>
    <w:rsid w:val="000F3BBC"/>
    <w:rsid w:val="001105D3"/>
    <w:rsid w:val="00112CEA"/>
    <w:rsid w:val="00115EAB"/>
    <w:rsid w:val="001274CD"/>
    <w:rsid w:val="00134917"/>
    <w:rsid w:val="001413AD"/>
    <w:rsid w:val="0014263B"/>
    <w:rsid w:val="00142A75"/>
    <w:rsid w:val="00146491"/>
    <w:rsid w:val="00161D8D"/>
    <w:rsid w:val="001646A3"/>
    <w:rsid w:val="00165A37"/>
    <w:rsid w:val="00170D9E"/>
    <w:rsid w:val="00171B9A"/>
    <w:rsid w:val="001822F6"/>
    <w:rsid w:val="001A609E"/>
    <w:rsid w:val="001C4236"/>
    <w:rsid w:val="001D0EDB"/>
    <w:rsid w:val="001E30E6"/>
    <w:rsid w:val="001F2E41"/>
    <w:rsid w:val="001F7668"/>
    <w:rsid w:val="00200373"/>
    <w:rsid w:val="00214D70"/>
    <w:rsid w:val="00224C91"/>
    <w:rsid w:val="00226169"/>
    <w:rsid w:val="002266C6"/>
    <w:rsid w:val="002421A2"/>
    <w:rsid w:val="00256C40"/>
    <w:rsid w:val="00261617"/>
    <w:rsid w:val="002A05A1"/>
    <w:rsid w:val="002A57CE"/>
    <w:rsid w:val="002A7AFC"/>
    <w:rsid w:val="002B5B8E"/>
    <w:rsid w:val="002B6CC5"/>
    <w:rsid w:val="002C2644"/>
    <w:rsid w:val="002D4565"/>
    <w:rsid w:val="002D56BC"/>
    <w:rsid w:val="002D5D90"/>
    <w:rsid w:val="002D7241"/>
    <w:rsid w:val="002E10EC"/>
    <w:rsid w:val="002E2619"/>
    <w:rsid w:val="002F50B5"/>
    <w:rsid w:val="00301AD1"/>
    <w:rsid w:val="00302C16"/>
    <w:rsid w:val="00307767"/>
    <w:rsid w:val="003123AB"/>
    <w:rsid w:val="003161CC"/>
    <w:rsid w:val="003204C6"/>
    <w:rsid w:val="00322F1F"/>
    <w:rsid w:val="00323FEC"/>
    <w:rsid w:val="0033109C"/>
    <w:rsid w:val="003370F3"/>
    <w:rsid w:val="00340CF7"/>
    <w:rsid w:val="00340F97"/>
    <w:rsid w:val="0035248F"/>
    <w:rsid w:val="0035253C"/>
    <w:rsid w:val="00352966"/>
    <w:rsid w:val="003531F1"/>
    <w:rsid w:val="00354B84"/>
    <w:rsid w:val="00360415"/>
    <w:rsid w:val="003645B0"/>
    <w:rsid w:val="003665C3"/>
    <w:rsid w:val="003677D2"/>
    <w:rsid w:val="00371851"/>
    <w:rsid w:val="0038169C"/>
    <w:rsid w:val="003863D7"/>
    <w:rsid w:val="00396830"/>
    <w:rsid w:val="003B289B"/>
    <w:rsid w:val="003B7A1B"/>
    <w:rsid w:val="003C4052"/>
    <w:rsid w:val="003D3588"/>
    <w:rsid w:val="003D39AB"/>
    <w:rsid w:val="003E0AB2"/>
    <w:rsid w:val="003E3504"/>
    <w:rsid w:val="003E71CF"/>
    <w:rsid w:val="003F1680"/>
    <w:rsid w:val="003F5F90"/>
    <w:rsid w:val="00404B5A"/>
    <w:rsid w:val="004209C4"/>
    <w:rsid w:val="00430D4E"/>
    <w:rsid w:val="00437AEE"/>
    <w:rsid w:val="00461326"/>
    <w:rsid w:val="004738F7"/>
    <w:rsid w:val="00480159"/>
    <w:rsid w:val="00495CFA"/>
    <w:rsid w:val="0049734D"/>
    <w:rsid w:val="004A0093"/>
    <w:rsid w:val="004A7C35"/>
    <w:rsid w:val="004B5FFE"/>
    <w:rsid w:val="004B7A13"/>
    <w:rsid w:val="004C0CC1"/>
    <w:rsid w:val="004C3548"/>
    <w:rsid w:val="004C37FD"/>
    <w:rsid w:val="004D307B"/>
    <w:rsid w:val="004D5892"/>
    <w:rsid w:val="004D622E"/>
    <w:rsid w:val="004D75E0"/>
    <w:rsid w:val="004E166A"/>
    <w:rsid w:val="004F2642"/>
    <w:rsid w:val="004F47B6"/>
    <w:rsid w:val="004F725C"/>
    <w:rsid w:val="00501068"/>
    <w:rsid w:val="00503227"/>
    <w:rsid w:val="005033BC"/>
    <w:rsid w:val="00514847"/>
    <w:rsid w:val="005246AC"/>
    <w:rsid w:val="00530F22"/>
    <w:rsid w:val="00531069"/>
    <w:rsid w:val="00532B2F"/>
    <w:rsid w:val="00533B2D"/>
    <w:rsid w:val="00536785"/>
    <w:rsid w:val="00541358"/>
    <w:rsid w:val="00542553"/>
    <w:rsid w:val="00547D58"/>
    <w:rsid w:val="005545E8"/>
    <w:rsid w:val="00556E79"/>
    <w:rsid w:val="00562B40"/>
    <w:rsid w:val="00572C4B"/>
    <w:rsid w:val="005731EF"/>
    <w:rsid w:val="0058641E"/>
    <w:rsid w:val="00595704"/>
    <w:rsid w:val="005A2AD6"/>
    <w:rsid w:val="005A70BD"/>
    <w:rsid w:val="005B5B7C"/>
    <w:rsid w:val="005C5749"/>
    <w:rsid w:val="005D2912"/>
    <w:rsid w:val="005D39CA"/>
    <w:rsid w:val="005E102C"/>
    <w:rsid w:val="005E2FC1"/>
    <w:rsid w:val="005E6E3E"/>
    <w:rsid w:val="005F1512"/>
    <w:rsid w:val="005F5758"/>
    <w:rsid w:val="005F74C6"/>
    <w:rsid w:val="00602584"/>
    <w:rsid w:val="006049C8"/>
    <w:rsid w:val="00610B6A"/>
    <w:rsid w:val="00614DB9"/>
    <w:rsid w:val="00615115"/>
    <w:rsid w:val="00622EC2"/>
    <w:rsid w:val="006269AF"/>
    <w:rsid w:val="00633E1D"/>
    <w:rsid w:val="006357F5"/>
    <w:rsid w:val="006409A9"/>
    <w:rsid w:val="006571BE"/>
    <w:rsid w:val="006646B6"/>
    <w:rsid w:val="00665061"/>
    <w:rsid w:val="00677D28"/>
    <w:rsid w:val="006840DF"/>
    <w:rsid w:val="0068492B"/>
    <w:rsid w:val="00691F2E"/>
    <w:rsid w:val="0069755C"/>
    <w:rsid w:val="006C014E"/>
    <w:rsid w:val="006C0F9B"/>
    <w:rsid w:val="006C36EC"/>
    <w:rsid w:val="006D1A82"/>
    <w:rsid w:val="006D52E9"/>
    <w:rsid w:val="006E3D9E"/>
    <w:rsid w:val="00703F30"/>
    <w:rsid w:val="00705C03"/>
    <w:rsid w:val="007153DD"/>
    <w:rsid w:val="00715CC0"/>
    <w:rsid w:val="00716217"/>
    <w:rsid w:val="007165E5"/>
    <w:rsid w:val="007254FB"/>
    <w:rsid w:val="00747ACC"/>
    <w:rsid w:val="00750875"/>
    <w:rsid w:val="007604EF"/>
    <w:rsid w:val="00766C91"/>
    <w:rsid w:val="0076764D"/>
    <w:rsid w:val="00782A2E"/>
    <w:rsid w:val="00783C01"/>
    <w:rsid w:val="00787845"/>
    <w:rsid w:val="00793028"/>
    <w:rsid w:val="007A4464"/>
    <w:rsid w:val="007B22A8"/>
    <w:rsid w:val="007C2070"/>
    <w:rsid w:val="007C6F13"/>
    <w:rsid w:val="007D36F6"/>
    <w:rsid w:val="007E3829"/>
    <w:rsid w:val="007F638A"/>
    <w:rsid w:val="008004F4"/>
    <w:rsid w:val="00821B9A"/>
    <w:rsid w:val="00821F95"/>
    <w:rsid w:val="008307C4"/>
    <w:rsid w:val="008308A4"/>
    <w:rsid w:val="008351B3"/>
    <w:rsid w:val="00837156"/>
    <w:rsid w:val="00841FFE"/>
    <w:rsid w:val="008517B0"/>
    <w:rsid w:val="0085675D"/>
    <w:rsid w:val="00856B8E"/>
    <w:rsid w:val="00865327"/>
    <w:rsid w:val="008655DA"/>
    <w:rsid w:val="00881854"/>
    <w:rsid w:val="00884B20"/>
    <w:rsid w:val="00891BDF"/>
    <w:rsid w:val="008964F2"/>
    <w:rsid w:val="008A57F3"/>
    <w:rsid w:val="008B2809"/>
    <w:rsid w:val="008B4B7F"/>
    <w:rsid w:val="008B73EB"/>
    <w:rsid w:val="008B7B71"/>
    <w:rsid w:val="008D0124"/>
    <w:rsid w:val="008E5736"/>
    <w:rsid w:val="008E6775"/>
    <w:rsid w:val="008E6A11"/>
    <w:rsid w:val="008F506B"/>
    <w:rsid w:val="008F64C9"/>
    <w:rsid w:val="0090360E"/>
    <w:rsid w:val="00910150"/>
    <w:rsid w:val="0091015D"/>
    <w:rsid w:val="00915EC1"/>
    <w:rsid w:val="009335EC"/>
    <w:rsid w:val="00946811"/>
    <w:rsid w:val="00952ACD"/>
    <w:rsid w:val="00953CF8"/>
    <w:rsid w:val="0096176B"/>
    <w:rsid w:val="00977F76"/>
    <w:rsid w:val="00985C53"/>
    <w:rsid w:val="00987064"/>
    <w:rsid w:val="009A2FD8"/>
    <w:rsid w:val="009A4FBB"/>
    <w:rsid w:val="009B52E0"/>
    <w:rsid w:val="009C22B9"/>
    <w:rsid w:val="009D0519"/>
    <w:rsid w:val="009D1C78"/>
    <w:rsid w:val="009D3E59"/>
    <w:rsid w:val="009E3BAD"/>
    <w:rsid w:val="009E4FB3"/>
    <w:rsid w:val="009E6D0A"/>
    <w:rsid w:val="009F06DD"/>
    <w:rsid w:val="009F5F47"/>
    <w:rsid w:val="00A05D1B"/>
    <w:rsid w:val="00A143F7"/>
    <w:rsid w:val="00A2144C"/>
    <w:rsid w:val="00A23D6F"/>
    <w:rsid w:val="00A25AA4"/>
    <w:rsid w:val="00A30E65"/>
    <w:rsid w:val="00A317A5"/>
    <w:rsid w:val="00A33262"/>
    <w:rsid w:val="00A5446A"/>
    <w:rsid w:val="00A54A57"/>
    <w:rsid w:val="00A556F0"/>
    <w:rsid w:val="00A561B4"/>
    <w:rsid w:val="00A63580"/>
    <w:rsid w:val="00A65987"/>
    <w:rsid w:val="00A82643"/>
    <w:rsid w:val="00A834F6"/>
    <w:rsid w:val="00A8457A"/>
    <w:rsid w:val="00A876E7"/>
    <w:rsid w:val="00A97563"/>
    <w:rsid w:val="00AA28D4"/>
    <w:rsid w:val="00AA6738"/>
    <w:rsid w:val="00AA67F7"/>
    <w:rsid w:val="00AA714A"/>
    <w:rsid w:val="00AB695B"/>
    <w:rsid w:val="00AB7F6E"/>
    <w:rsid w:val="00AD001C"/>
    <w:rsid w:val="00AF572B"/>
    <w:rsid w:val="00B017DA"/>
    <w:rsid w:val="00B11B70"/>
    <w:rsid w:val="00B25B5C"/>
    <w:rsid w:val="00B27299"/>
    <w:rsid w:val="00B33C03"/>
    <w:rsid w:val="00B40666"/>
    <w:rsid w:val="00B4193C"/>
    <w:rsid w:val="00B44F78"/>
    <w:rsid w:val="00B47ACC"/>
    <w:rsid w:val="00B54C17"/>
    <w:rsid w:val="00B6062A"/>
    <w:rsid w:val="00B61B49"/>
    <w:rsid w:val="00B64402"/>
    <w:rsid w:val="00B65471"/>
    <w:rsid w:val="00B7026C"/>
    <w:rsid w:val="00B750A3"/>
    <w:rsid w:val="00B82BD4"/>
    <w:rsid w:val="00B90FF3"/>
    <w:rsid w:val="00BA0747"/>
    <w:rsid w:val="00BA439E"/>
    <w:rsid w:val="00BA48A1"/>
    <w:rsid w:val="00BA7DC5"/>
    <w:rsid w:val="00BB79E1"/>
    <w:rsid w:val="00BC46AB"/>
    <w:rsid w:val="00BD32F3"/>
    <w:rsid w:val="00BD5EE3"/>
    <w:rsid w:val="00BD7EDA"/>
    <w:rsid w:val="00BE0E4F"/>
    <w:rsid w:val="00BE5434"/>
    <w:rsid w:val="00BF5B0E"/>
    <w:rsid w:val="00C05F36"/>
    <w:rsid w:val="00C07221"/>
    <w:rsid w:val="00C15A1E"/>
    <w:rsid w:val="00C20D4A"/>
    <w:rsid w:val="00C2656B"/>
    <w:rsid w:val="00C30805"/>
    <w:rsid w:val="00C31018"/>
    <w:rsid w:val="00C40CB6"/>
    <w:rsid w:val="00C43986"/>
    <w:rsid w:val="00C518A3"/>
    <w:rsid w:val="00C53537"/>
    <w:rsid w:val="00C60196"/>
    <w:rsid w:val="00C7764D"/>
    <w:rsid w:val="00C77B0C"/>
    <w:rsid w:val="00C807F2"/>
    <w:rsid w:val="00CA13A8"/>
    <w:rsid w:val="00CA170A"/>
    <w:rsid w:val="00CA2B24"/>
    <w:rsid w:val="00CB2A3F"/>
    <w:rsid w:val="00CC0B2D"/>
    <w:rsid w:val="00CC1463"/>
    <w:rsid w:val="00CC20BD"/>
    <w:rsid w:val="00CC4FE6"/>
    <w:rsid w:val="00CC788D"/>
    <w:rsid w:val="00CD140F"/>
    <w:rsid w:val="00CD1F44"/>
    <w:rsid w:val="00CD347B"/>
    <w:rsid w:val="00CD4600"/>
    <w:rsid w:val="00CE2CE9"/>
    <w:rsid w:val="00CE305C"/>
    <w:rsid w:val="00CE6950"/>
    <w:rsid w:val="00CF0B01"/>
    <w:rsid w:val="00CF35E7"/>
    <w:rsid w:val="00D1086C"/>
    <w:rsid w:val="00D31AC1"/>
    <w:rsid w:val="00D34D9F"/>
    <w:rsid w:val="00D40039"/>
    <w:rsid w:val="00D500C9"/>
    <w:rsid w:val="00D50BFA"/>
    <w:rsid w:val="00D54134"/>
    <w:rsid w:val="00D82C23"/>
    <w:rsid w:val="00D85F01"/>
    <w:rsid w:val="00D87A24"/>
    <w:rsid w:val="00D90B89"/>
    <w:rsid w:val="00DA38BE"/>
    <w:rsid w:val="00DA402A"/>
    <w:rsid w:val="00DB32B9"/>
    <w:rsid w:val="00DC254F"/>
    <w:rsid w:val="00DC2DCB"/>
    <w:rsid w:val="00DC7A7B"/>
    <w:rsid w:val="00DD30EE"/>
    <w:rsid w:val="00DD5B5A"/>
    <w:rsid w:val="00DE10F5"/>
    <w:rsid w:val="00DE3983"/>
    <w:rsid w:val="00DE43A1"/>
    <w:rsid w:val="00DF1BF9"/>
    <w:rsid w:val="00DF7B79"/>
    <w:rsid w:val="00DF7F4C"/>
    <w:rsid w:val="00E0474B"/>
    <w:rsid w:val="00E075A8"/>
    <w:rsid w:val="00E16EBE"/>
    <w:rsid w:val="00E32E2F"/>
    <w:rsid w:val="00E34A28"/>
    <w:rsid w:val="00E34DEE"/>
    <w:rsid w:val="00E36094"/>
    <w:rsid w:val="00E37A98"/>
    <w:rsid w:val="00E417E7"/>
    <w:rsid w:val="00E434BD"/>
    <w:rsid w:val="00E505E8"/>
    <w:rsid w:val="00E53B65"/>
    <w:rsid w:val="00E54A37"/>
    <w:rsid w:val="00E57BF1"/>
    <w:rsid w:val="00E715E8"/>
    <w:rsid w:val="00E7733D"/>
    <w:rsid w:val="00E83FC7"/>
    <w:rsid w:val="00E8676A"/>
    <w:rsid w:val="00E87FD5"/>
    <w:rsid w:val="00E9074C"/>
    <w:rsid w:val="00E97702"/>
    <w:rsid w:val="00EB271B"/>
    <w:rsid w:val="00EB66B3"/>
    <w:rsid w:val="00EC29DB"/>
    <w:rsid w:val="00ED1941"/>
    <w:rsid w:val="00ED1C9C"/>
    <w:rsid w:val="00ED4D92"/>
    <w:rsid w:val="00EF0FAD"/>
    <w:rsid w:val="00EF66B4"/>
    <w:rsid w:val="00F019A0"/>
    <w:rsid w:val="00F212AD"/>
    <w:rsid w:val="00F25190"/>
    <w:rsid w:val="00F41DD6"/>
    <w:rsid w:val="00F4527D"/>
    <w:rsid w:val="00F5013F"/>
    <w:rsid w:val="00F571D5"/>
    <w:rsid w:val="00F7740C"/>
    <w:rsid w:val="00F815AA"/>
    <w:rsid w:val="00F81A13"/>
    <w:rsid w:val="00F82D49"/>
    <w:rsid w:val="00F83170"/>
    <w:rsid w:val="00F83347"/>
    <w:rsid w:val="00FB02D9"/>
    <w:rsid w:val="00FB1953"/>
    <w:rsid w:val="00FC4C7A"/>
    <w:rsid w:val="00FC56C9"/>
    <w:rsid w:val="00FE1F82"/>
    <w:rsid w:val="00FE538C"/>
    <w:rsid w:val="00FF006C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1ECF5A"/>
  <w15:chartTrackingRefBased/>
  <w15:docId w15:val="{B2B890B2-BF13-4944-919C-90091A60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87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87064"/>
    <w:pPr>
      <w:ind w:left="720"/>
      <w:contextualSpacing/>
    </w:pPr>
  </w:style>
  <w:style w:type="paragraph" w:styleId="Sinespaciado">
    <w:name w:val="No Spacing"/>
    <w:uiPriority w:val="1"/>
    <w:qFormat/>
    <w:rsid w:val="005E2FC1"/>
    <w:rPr>
      <w:sz w:val="22"/>
      <w:szCs w:val="22"/>
      <w:lang w:eastAsia="en-US"/>
    </w:rPr>
  </w:style>
  <w:style w:type="character" w:styleId="Refdecomentario">
    <w:name w:val="annotation reference"/>
    <w:uiPriority w:val="99"/>
    <w:semiHidden/>
    <w:unhideWhenUsed/>
    <w:rsid w:val="00E83F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3F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83F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3FC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83F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3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83FC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D35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626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9AF"/>
  </w:style>
  <w:style w:type="paragraph" w:styleId="Piedepgina">
    <w:name w:val="footer"/>
    <w:basedOn w:val="Normal"/>
    <w:link w:val="PiedepginaCar"/>
    <w:uiPriority w:val="99"/>
    <w:unhideWhenUsed/>
    <w:rsid w:val="006269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9AF"/>
  </w:style>
  <w:style w:type="paragraph" w:customStyle="1" w:styleId="xmsonormal">
    <w:name w:val="x_msonormal"/>
    <w:basedOn w:val="Normal"/>
    <w:rsid w:val="00CC4FE6"/>
    <w:pPr>
      <w:spacing w:after="0" w:line="240" w:lineRule="auto"/>
    </w:pPr>
    <w:rPr>
      <w:rFonts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97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A635-F39B-4DBE-82DE-ED1D69EC8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1093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Tello Vidal Ana Sofia</dc:creator>
  <cp:keywords/>
  <dc:description/>
  <cp:lastModifiedBy>Enrique Soto</cp:lastModifiedBy>
  <cp:revision>2</cp:revision>
  <cp:lastPrinted>2020-02-27T20:09:00Z</cp:lastPrinted>
  <dcterms:created xsi:type="dcterms:W3CDTF">2020-09-14T21:51:00Z</dcterms:created>
  <dcterms:modified xsi:type="dcterms:W3CDTF">2020-09-14T21:51:00Z</dcterms:modified>
</cp:coreProperties>
</file>