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11F32" w14:textId="77777777" w:rsidR="001F00EC" w:rsidRPr="004A5B10" w:rsidRDefault="001F00EC" w:rsidP="001F00EC">
      <w:pPr>
        <w:pStyle w:val="Ttulo"/>
        <w:rPr>
          <w:rFonts w:cs="Arial"/>
          <w:sz w:val="22"/>
          <w:szCs w:val="22"/>
        </w:rPr>
      </w:pPr>
      <w:bookmarkStart w:id="0" w:name="_GoBack"/>
      <w:bookmarkEnd w:id="0"/>
      <w:proofErr w:type="spellStart"/>
      <w:r w:rsidRPr="004A5B10">
        <w:rPr>
          <w:rFonts w:cs="Arial"/>
          <w:sz w:val="22"/>
          <w:szCs w:val="22"/>
        </w:rPr>
        <w:t>N°</w:t>
      </w:r>
      <w:proofErr w:type="spellEnd"/>
      <w:r w:rsidRPr="004A5B10">
        <w:rPr>
          <w:rFonts w:cs="Arial"/>
          <w:sz w:val="22"/>
          <w:szCs w:val="22"/>
        </w:rPr>
        <w:t xml:space="preserve">                     -2021/SUNAT</w:t>
      </w:r>
    </w:p>
    <w:p w14:paraId="6CA6990D" w14:textId="77777777" w:rsidR="001F00EC" w:rsidRPr="004A5B10" w:rsidRDefault="001F00EC" w:rsidP="001F00EC">
      <w:pPr>
        <w:pStyle w:val="Ttulo"/>
        <w:rPr>
          <w:rFonts w:cs="Arial"/>
          <w:sz w:val="22"/>
          <w:szCs w:val="22"/>
        </w:rPr>
      </w:pPr>
    </w:p>
    <w:p w14:paraId="4E4A8A66" w14:textId="77777777" w:rsidR="001F00EC" w:rsidRPr="004A5B10" w:rsidRDefault="001F00EC" w:rsidP="001F00EC">
      <w:pPr>
        <w:pStyle w:val="Sangradetextonormal"/>
        <w:spacing w:after="0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4A5B10">
        <w:rPr>
          <w:rFonts w:ascii="Arial" w:hAnsi="Arial" w:cs="Arial"/>
          <w:b/>
          <w:bCs/>
          <w:sz w:val="22"/>
          <w:szCs w:val="22"/>
        </w:rPr>
        <w:t xml:space="preserve">DETERMINA </w:t>
      </w:r>
      <w:r w:rsidR="00850A43" w:rsidRPr="004A5B10">
        <w:rPr>
          <w:rFonts w:ascii="Arial" w:hAnsi="Arial" w:cs="Arial"/>
          <w:b/>
          <w:bCs/>
          <w:sz w:val="22"/>
          <w:szCs w:val="22"/>
        </w:rPr>
        <w:t xml:space="preserve">EL </w:t>
      </w:r>
      <w:r w:rsidRPr="004A5B10">
        <w:rPr>
          <w:rFonts w:ascii="Arial" w:hAnsi="Arial" w:cs="Arial"/>
          <w:b/>
          <w:bCs/>
          <w:sz w:val="22"/>
          <w:szCs w:val="22"/>
        </w:rPr>
        <w:t xml:space="preserve">PROCEDIMIENTO DE SELECCIÓN DE </w:t>
      </w:r>
      <w:r w:rsidR="00850A43" w:rsidRPr="004A5B10">
        <w:rPr>
          <w:rFonts w:ascii="Arial" w:hAnsi="Arial" w:cs="Arial"/>
          <w:b/>
          <w:bCs/>
          <w:sz w:val="22"/>
          <w:szCs w:val="22"/>
        </w:rPr>
        <w:t xml:space="preserve">LA </w:t>
      </w:r>
      <w:r w:rsidRPr="004A5B10">
        <w:rPr>
          <w:rFonts w:ascii="Arial" w:hAnsi="Arial" w:cs="Arial"/>
          <w:b/>
          <w:bCs/>
          <w:sz w:val="22"/>
          <w:szCs w:val="22"/>
        </w:rPr>
        <w:t>ENTIDAD COLABORADORA DE LA ADMINISTRACIÓN TRIBUTARIA PARA EFECTOS DE IMPLEMENTAR LA DEVOLUCIÓN DEL IGV A TURISTAS</w:t>
      </w:r>
    </w:p>
    <w:p w14:paraId="1CAC3C81" w14:textId="77777777" w:rsidR="001F00EC" w:rsidRPr="004A5B10" w:rsidRDefault="001F00EC" w:rsidP="001F00EC">
      <w:pPr>
        <w:autoSpaceDE w:val="0"/>
        <w:autoSpaceDN w:val="0"/>
        <w:adjustRightInd w:val="0"/>
        <w:ind w:firstLine="708"/>
        <w:rPr>
          <w:rFonts w:ascii="Arial" w:hAnsi="Arial" w:cs="Arial"/>
          <w:bCs/>
          <w:sz w:val="22"/>
          <w:szCs w:val="22"/>
        </w:rPr>
      </w:pPr>
    </w:p>
    <w:p w14:paraId="1699E55A" w14:textId="77777777" w:rsidR="001F00EC" w:rsidRPr="004A5B10" w:rsidRDefault="001F00EC" w:rsidP="001F00EC">
      <w:pPr>
        <w:autoSpaceDE w:val="0"/>
        <w:autoSpaceDN w:val="0"/>
        <w:adjustRightInd w:val="0"/>
        <w:ind w:firstLine="708"/>
        <w:rPr>
          <w:rFonts w:ascii="Arial" w:hAnsi="Arial" w:cs="Arial"/>
          <w:bCs/>
          <w:sz w:val="22"/>
          <w:szCs w:val="22"/>
        </w:rPr>
      </w:pPr>
    </w:p>
    <w:p w14:paraId="290061EC" w14:textId="77777777" w:rsidR="001F00EC" w:rsidRPr="004A5B10" w:rsidRDefault="001F00EC" w:rsidP="001F00EC">
      <w:pPr>
        <w:autoSpaceDE w:val="0"/>
        <w:autoSpaceDN w:val="0"/>
        <w:adjustRightInd w:val="0"/>
        <w:ind w:firstLine="708"/>
        <w:rPr>
          <w:rFonts w:ascii="Arial" w:hAnsi="Arial" w:cs="Arial"/>
          <w:bCs/>
          <w:sz w:val="22"/>
          <w:szCs w:val="22"/>
        </w:rPr>
      </w:pPr>
      <w:r w:rsidRPr="004A5B10">
        <w:rPr>
          <w:rFonts w:ascii="Arial" w:hAnsi="Arial" w:cs="Arial"/>
          <w:bCs/>
          <w:sz w:val="22"/>
          <w:szCs w:val="22"/>
        </w:rPr>
        <w:t>Lima,</w:t>
      </w:r>
    </w:p>
    <w:p w14:paraId="0EB9655E" w14:textId="77777777" w:rsidR="001F00EC" w:rsidRPr="004A5B10" w:rsidRDefault="001F00EC" w:rsidP="001F00EC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4A5B10">
        <w:rPr>
          <w:rFonts w:ascii="Arial" w:hAnsi="Arial" w:cs="Arial"/>
          <w:bCs/>
          <w:sz w:val="22"/>
          <w:szCs w:val="22"/>
        </w:rPr>
        <w:t xml:space="preserve"> </w:t>
      </w:r>
    </w:p>
    <w:p w14:paraId="79727753" w14:textId="77777777" w:rsidR="001F00EC" w:rsidRPr="00850A43" w:rsidRDefault="001F00EC" w:rsidP="001F00EC">
      <w:pPr>
        <w:autoSpaceDE w:val="0"/>
        <w:autoSpaceDN w:val="0"/>
        <w:adjustRightInd w:val="0"/>
        <w:rPr>
          <w:rFonts w:ascii="Arial" w:hAnsi="Arial" w:cs="Arial"/>
          <w:bCs/>
          <w:color w:val="FFFFFF" w:themeColor="background1"/>
          <w:sz w:val="22"/>
          <w:szCs w:val="22"/>
        </w:rPr>
      </w:pPr>
    </w:p>
    <w:p w14:paraId="3758A37D" w14:textId="77777777" w:rsidR="001F00EC" w:rsidRPr="003017A8" w:rsidRDefault="001F00EC" w:rsidP="001F00EC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  <w:sz w:val="21"/>
          <w:szCs w:val="21"/>
        </w:rPr>
      </w:pPr>
      <w:r w:rsidRPr="003017A8">
        <w:rPr>
          <w:rFonts w:ascii="Arial" w:hAnsi="Arial" w:cs="Arial"/>
          <w:b/>
          <w:bCs/>
          <w:sz w:val="21"/>
          <w:szCs w:val="21"/>
        </w:rPr>
        <w:t>VISTO:</w:t>
      </w:r>
    </w:p>
    <w:p w14:paraId="5E84C175" w14:textId="77777777" w:rsidR="001F00EC" w:rsidRPr="003017A8" w:rsidRDefault="001F00EC" w:rsidP="001F00EC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  <w:sz w:val="21"/>
          <w:szCs w:val="21"/>
        </w:rPr>
      </w:pPr>
    </w:p>
    <w:p w14:paraId="25FE978C" w14:textId="77777777" w:rsidR="001F00EC" w:rsidRPr="003017A8" w:rsidRDefault="001F00EC" w:rsidP="001F00EC">
      <w:pPr>
        <w:autoSpaceDE w:val="0"/>
        <w:autoSpaceDN w:val="0"/>
        <w:adjustRightInd w:val="0"/>
        <w:ind w:firstLine="567"/>
        <w:rPr>
          <w:rFonts w:ascii="Arial" w:hAnsi="Arial" w:cs="Arial"/>
          <w:bCs/>
          <w:sz w:val="21"/>
          <w:szCs w:val="21"/>
        </w:rPr>
      </w:pPr>
      <w:r w:rsidRPr="003017A8">
        <w:rPr>
          <w:rFonts w:ascii="Arial" w:hAnsi="Arial" w:cs="Arial"/>
          <w:bCs/>
          <w:sz w:val="21"/>
          <w:szCs w:val="21"/>
        </w:rPr>
        <w:t xml:space="preserve">El Informe </w:t>
      </w:r>
      <w:proofErr w:type="spellStart"/>
      <w:r w:rsidRPr="003017A8">
        <w:rPr>
          <w:rFonts w:ascii="Arial" w:hAnsi="Arial" w:cs="Arial"/>
          <w:bCs/>
          <w:sz w:val="21"/>
          <w:szCs w:val="21"/>
        </w:rPr>
        <w:t>N°</w:t>
      </w:r>
      <w:proofErr w:type="spellEnd"/>
      <w:r w:rsidRPr="003017A8">
        <w:rPr>
          <w:rFonts w:ascii="Arial" w:hAnsi="Arial" w:cs="Arial"/>
          <w:bCs/>
          <w:sz w:val="21"/>
          <w:szCs w:val="21"/>
        </w:rPr>
        <w:t xml:space="preserve"> 44-2020-SUNAT/7B1000 de la Gerencia Normativa de Procesos de la Intendencia Nacional de Gestión de Procesos;  </w:t>
      </w:r>
    </w:p>
    <w:p w14:paraId="33089ADF" w14:textId="77777777" w:rsidR="001F00EC" w:rsidRPr="003017A8" w:rsidRDefault="001F00EC" w:rsidP="001F00EC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  <w:sz w:val="21"/>
          <w:szCs w:val="21"/>
        </w:rPr>
      </w:pPr>
    </w:p>
    <w:p w14:paraId="6C2A1BA6" w14:textId="77777777" w:rsidR="001F00EC" w:rsidRPr="003017A8" w:rsidRDefault="001F00EC" w:rsidP="001F00EC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  <w:sz w:val="21"/>
          <w:szCs w:val="21"/>
        </w:rPr>
      </w:pPr>
      <w:r w:rsidRPr="003017A8">
        <w:rPr>
          <w:rFonts w:ascii="Arial" w:hAnsi="Arial" w:cs="Arial"/>
          <w:b/>
          <w:bCs/>
          <w:sz w:val="21"/>
          <w:szCs w:val="21"/>
        </w:rPr>
        <w:t>CONSIDERANDO:</w:t>
      </w:r>
    </w:p>
    <w:p w14:paraId="2673A9D0" w14:textId="77777777" w:rsidR="001F00EC" w:rsidRPr="003017A8" w:rsidRDefault="001F00EC" w:rsidP="001F00EC">
      <w:pPr>
        <w:pStyle w:val="Default"/>
        <w:rPr>
          <w:color w:val="auto"/>
          <w:sz w:val="21"/>
          <w:szCs w:val="21"/>
        </w:rPr>
      </w:pPr>
    </w:p>
    <w:p w14:paraId="3E4669CD" w14:textId="77777777" w:rsidR="001F00EC" w:rsidRPr="003017A8" w:rsidRDefault="001F00EC" w:rsidP="001F00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3017A8">
        <w:rPr>
          <w:rFonts w:ascii="Arial" w:hAnsi="Arial" w:cs="Arial"/>
          <w:bCs/>
          <w:sz w:val="21"/>
          <w:szCs w:val="21"/>
        </w:rPr>
        <w:t xml:space="preserve">Que en el artículo 76 del Texto Único Ordenado de la Ley del Impuesto General a las Ventas e Impuesto Selectivo al Consumo, aprobado mediante Decreto Supremo </w:t>
      </w:r>
      <w:proofErr w:type="spellStart"/>
      <w:r w:rsidRPr="003017A8">
        <w:rPr>
          <w:rFonts w:ascii="Arial" w:hAnsi="Arial" w:cs="Arial"/>
          <w:bCs/>
          <w:sz w:val="21"/>
          <w:szCs w:val="21"/>
        </w:rPr>
        <w:t>N°</w:t>
      </w:r>
      <w:proofErr w:type="spellEnd"/>
      <w:r w:rsidRPr="003017A8">
        <w:rPr>
          <w:rFonts w:ascii="Arial" w:hAnsi="Arial" w:cs="Arial"/>
          <w:bCs/>
          <w:sz w:val="21"/>
          <w:szCs w:val="21"/>
        </w:rPr>
        <w:t xml:space="preserve"> 055-99-EF, se establece que será objeto de </w:t>
      </w:r>
      <w:r w:rsidRPr="003017A8">
        <w:rPr>
          <w:rFonts w:ascii="Arial" w:hAnsi="Arial" w:cs="Arial"/>
          <w:sz w:val="21"/>
          <w:szCs w:val="21"/>
          <w:shd w:val="clear" w:color="auto" w:fill="FFFFFF"/>
        </w:rPr>
        <w:t>devolución el Impuesto General a las Ventas que grave la venta de bienes adquiridos por extranjeros no domiciliados que ingresen al país en calidad de turistas, que sean llevados al exterior al retorno a su país por vía aérea o marítima, siempre que los traslade el propio turista</w:t>
      </w:r>
      <w:r w:rsidRPr="003017A8">
        <w:rPr>
          <w:rFonts w:ascii="Arial" w:hAnsi="Arial" w:cs="Arial"/>
          <w:sz w:val="21"/>
          <w:szCs w:val="21"/>
        </w:rPr>
        <w:t>; disponiéndose, además, que l</w:t>
      </w:r>
      <w:r w:rsidRPr="003017A8">
        <w:rPr>
          <w:rFonts w:ascii="Arial" w:hAnsi="Arial" w:cs="Arial"/>
          <w:sz w:val="21"/>
          <w:szCs w:val="21"/>
          <w:shd w:val="clear" w:color="auto" w:fill="FFFFFF"/>
        </w:rPr>
        <w:t xml:space="preserve">a devolución podrá efectuarse también a través de Entidades Colaboradoras de la Administración Tributaria, y que estas solicitarán a la Administración Tributaria la devolución del importe reembolsado a los turistas; </w:t>
      </w:r>
    </w:p>
    <w:p w14:paraId="2E55C420" w14:textId="77777777" w:rsidR="001F00EC" w:rsidRPr="003017A8" w:rsidRDefault="001F00EC" w:rsidP="001F00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1"/>
          <w:szCs w:val="21"/>
        </w:rPr>
      </w:pPr>
    </w:p>
    <w:p w14:paraId="2B51D39F" w14:textId="77777777" w:rsidR="001F00EC" w:rsidRPr="00124468" w:rsidRDefault="001F00EC" w:rsidP="001F00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124468">
        <w:rPr>
          <w:rFonts w:ascii="Arial" w:hAnsi="Arial" w:cs="Arial"/>
          <w:bCs/>
          <w:sz w:val="21"/>
          <w:szCs w:val="21"/>
        </w:rPr>
        <w:t xml:space="preserve">Que en el artículo 11-J del Reglamento de la Ley del Impuesto General a las Ventas e Impuesto Selectivo al Consumo, aprobado mediante Decreto Supremo </w:t>
      </w:r>
      <w:proofErr w:type="spellStart"/>
      <w:r w:rsidRPr="00124468">
        <w:rPr>
          <w:rFonts w:ascii="Arial" w:hAnsi="Arial" w:cs="Arial"/>
          <w:bCs/>
          <w:sz w:val="21"/>
          <w:szCs w:val="21"/>
        </w:rPr>
        <w:t>N°</w:t>
      </w:r>
      <w:proofErr w:type="spellEnd"/>
      <w:r w:rsidRPr="00124468">
        <w:rPr>
          <w:rFonts w:ascii="Arial" w:hAnsi="Arial" w:cs="Arial"/>
          <w:bCs/>
          <w:sz w:val="21"/>
          <w:szCs w:val="21"/>
        </w:rPr>
        <w:t xml:space="preserve"> 029-94-EF, según su texto modificado por Decreto Supremo </w:t>
      </w:r>
      <w:proofErr w:type="spellStart"/>
      <w:r w:rsidRPr="00124468">
        <w:rPr>
          <w:rFonts w:ascii="Arial" w:hAnsi="Arial" w:cs="Arial"/>
          <w:bCs/>
          <w:sz w:val="21"/>
          <w:szCs w:val="21"/>
        </w:rPr>
        <w:t>N°</w:t>
      </w:r>
      <w:proofErr w:type="spellEnd"/>
      <w:r w:rsidRPr="00124468">
        <w:rPr>
          <w:rFonts w:ascii="Arial" w:hAnsi="Arial" w:cs="Arial"/>
          <w:bCs/>
          <w:sz w:val="21"/>
          <w:szCs w:val="21"/>
        </w:rPr>
        <w:t xml:space="preserve"> 226-2020-EF, se establece que la Entidad Colaboradora de la Administración Tributaria es una persona jurídica domiciliada en el país, y que la </w:t>
      </w:r>
      <w:r w:rsidR="00C4769A" w:rsidRPr="00124468">
        <w:rPr>
          <w:rFonts w:ascii="Arial" w:hAnsi="Arial" w:cs="Arial"/>
          <w:bCs/>
          <w:sz w:val="21"/>
          <w:szCs w:val="21"/>
          <w:lang w:eastAsia="es-PE"/>
        </w:rPr>
        <w:t>Superintendencia Nacional de Aduanas y de Administración Tributaria -</w:t>
      </w:r>
      <w:r w:rsidRPr="00124468">
        <w:rPr>
          <w:rFonts w:ascii="Arial" w:hAnsi="Arial" w:cs="Arial"/>
          <w:bCs/>
          <w:sz w:val="21"/>
          <w:szCs w:val="21"/>
        </w:rPr>
        <w:t xml:space="preserve">SUNAT, mediante resolución de superintendencia, previa evaluación de viabilidad y efectividad de la incorporación de la Entidad Colaboradora de la Administración Tributaria en el procedimiento de devolución, </w:t>
      </w:r>
      <w:r w:rsidRPr="00124468">
        <w:rPr>
          <w:rFonts w:ascii="Arial" w:hAnsi="Arial" w:cs="Arial"/>
          <w:sz w:val="21"/>
          <w:szCs w:val="21"/>
          <w:lang w:eastAsia="es-PE"/>
        </w:rPr>
        <w:t xml:space="preserve">determinará cómo se reconocerá la calidad de dicha entidad, pudiendo a tal efecto establecer un registro, celebrar convenios, entre otros; </w:t>
      </w:r>
      <w:r w:rsidRPr="00124468">
        <w:rPr>
          <w:rFonts w:ascii="Arial" w:hAnsi="Arial" w:cs="Arial"/>
          <w:bCs/>
          <w:sz w:val="21"/>
          <w:szCs w:val="21"/>
        </w:rPr>
        <w:t xml:space="preserve"> </w:t>
      </w:r>
    </w:p>
    <w:p w14:paraId="7D3045FC" w14:textId="77777777" w:rsidR="001F00EC" w:rsidRPr="003017A8" w:rsidRDefault="001F00EC" w:rsidP="001F00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1"/>
          <w:szCs w:val="21"/>
        </w:rPr>
      </w:pPr>
    </w:p>
    <w:p w14:paraId="3FF9E2D6" w14:textId="77777777" w:rsidR="001F00EC" w:rsidRPr="003017A8" w:rsidRDefault="001F00EC" w:rsidP="001F00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4A0614">
        <w:rPr>
          <w:rFonts w:ascii="Arial" w:hAnsi="Arial" w:cs="Arial"/>
          <w:bCs/>
          <w:sz w:val="21"/>
          <w:szCs w:val="21"/>
        </w:rPr>
        <w:t xml:space="preserve">Que, asimismo, en la parte final del artículo citado, se establecen los supuestos en los que la Entidad Colaboradora dejará de tener dicha condición, entre ellos: voluntariamente, con un plazo de preaviso que establezca la SUNAT mediante resolución de superintendencia; por incumplimiento de requisitos y obligaciones, a partir de la fecha que </w:t>
      </w:r>
      <w:r w:rsidRPr="004A0614">
        <w:rPr>
          <w:rFonts w:ascii="Arial" w:hAnsi="Arial" w:cs="Arial"/>
          <w:bCs/>
          <w:sz w:val="21"/>
          <w:szCs w:val="21"/>
        </w:rPr>
        <w:lastRenderedPageBreak/>
        <w:t>señale la SUNAT</w:t>
      </w:r>
      <w:r>
        <w:rPr>
          <w:rFonts w:ascii="Arial" w:hAnsi="Arial" w:cs="Arial"/>
          <w:bCs/>
          <w:sz w:val="21"/>
          <w:szCs w:val="21"/>
        </w:rPr>
        <w:t>;</w:t>
      </w:r>
      <w:r w:rsidRPr="004A0614">
        <w:rPr>
          <w:rFonts w:ascii="Arial" w:hAnsi="Arial" w:cs="Arial"/>
          <w:bCs/>
          <w:sz w:val="21"/>
          <w:szCs w:val="21"/>
        </w:rPr>
        <w:t xml:space="preserve"> y por la culminación del plazo de operación otorgado, cuando este haya sido fijado;</w:t>
      </w:r>
      <w:r w:rsidRPr="003017A8">
        <w:rPr>
          <w:rFonts w:ascii="Arial" w:hAnsi="Arial" w:cs="Arial"/>
          <w:bCs/>
          <w:sz w:val="21"/>
          <w:szCs w:val="21"/>
        </w:rPr>
        <w:t xml:space="preserve"> </w:t>
      </w:r>
    </w:p>
    <w:p w14:paraId="7080032E" w14:textId="77777777" w:rsidR="001F00EC" w:rsidRPr="003017A8" w:rsidRDefault="001F00EC" w:rsidP="001F00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1"/>
          <w:szCs w:val="21"/>
        </w:rPr>
      </w:pPr>
    </w:p>
    <w:p w14:paraId="7A06FAF0" w14:textId="77777777" w:rsidR="001F00EC" w:rsidRPr="003017A8" w:rsidRDefault="001F00EC" w:rsidP="001F00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3017A8">
        <w:rPr>
          <w:rFonts w:ascii="Arial" w:hAnsi="Arial" w:cs="Arial"/>
          <w:bCs/>
          <w:sz w:val="21"/>
          <w:szCs w:val="21"/>
        </w:rPr>
        <w:t xml:space="preserve">Que, mediante el Informe </w:t>
      </w:r>
      <w:proofErr w:type="spellStart"/>
      <w:r w:rsidRPr="003017A8">
        <w:rPr>
          <w:rFonts w:ascii="Arial" w:hAnsi="Arial" w:cs="Arial"/>
          <w:bCs/>
          <w:sz w:val="21"/>
          <w:szCs w:val="21"/>
        </w:rPr>
        <w:t>N°</w:t>
      </w:r>
      <w:proofErr w:type="spellEnd"/>
      <w:r w:rsidRPr="003017A8">
        <w:rPr>
          <w:rFonts w:ascii="Arial" w:hAnsi="Arial" w:cs="Arial"/>
          <w:bCs/>
          <w:sz w:val="21"/>
          <w:szCs w:val="21"/>
        </w:rPr>
        <w:t xml:space="preserve"> 44-2020-SUNAT/7B1000, la Gerencia Normativa de Procesos de la Intendencia Nacional de Gestión de Procesos evaluó los modelos de gestión de la devolución de impuestos a turistas, recomendando la conveniencia de que el procedimiento sea operado por una Entidad Colaboradora;</w:t>
      </w:r>
    </w:p>
    <w:p w14:paraId="78D5B382" w14:textId="77777777" w:rsidR="001F00EC" w:rsidRPr="003017A8" w:rsidRDefault="001F00EC" w:rsidP="001F00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1"/>
          <w:szCs w:val="21"/>
        </w:rPr>
      </w:pPr>
    </w:p>
    <w:p w14:paraId="395478D7" w14:textId="77777777" w:rsidR="001F00EC" w:rsidRPr="004E4581" w:rsidRDefault="001F00EC" w:rsidP="001F00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4E4581">
        <w:rPr>
          <w:rFonts w:ascii="Arial" w:hAnsi="Arial" w:cs="Arial"/>
          <w:bCs/>
          <w:sz w:val="21"/>
          <w:szCs w:val="21"/>
        </w:rPr>
        <w:t>Que, en cumplimiento de las disposiciones previstas en la</w:t>
      </w:r>
      <w:r>
        <w:rPr>
          <w:rFonts w:ascii="Arial" w:hAnsi="Arial" w:cs="Arial"/>
          <w:bCs/>
          <w:sz w:val="21"/>
          <w:szCs w:val="21"/>
        </w:rPr>
        <w:t>s normas antes citadas</w:t>
      </w:r>
      <w:r w:rsidRPr="004E4581">
        <w:rPr>
          <w:rFonts w:ascii="Arial" w:hAnsi="Arial" w:cs="Arial"/>
          <w:bCs/>
          <w:sz w:val="21"/>
          <w:szCs w:val="21"/>
        </w:rPr>
        <w:t xml:space="preserve">, resulta necesario establecer la manera de cómo se obtendrá el reconocimiento de la calidad de Entidad Colaboradora de la Administración Tributaria </w:t>
      </w:r>
      <w:r w:rsidRPr="004E4581">
        <w:rPr>
          <w:rFonts w:ascii="Arial" w:hAnsi="Arial" w:cs="Arial"/>
          <w:sz w:val="21"/>
          <w:szCs w:val="21"/>
        </w:rPr>
        <w:t>y cómo se producirá la pérdida de tal condición, para lo cual corresponde adicionalmente que se apruebe, como anexo de la resolución, las disposiciones procedimentales necesarias que regulen tales aspectos</w:t>
      </w:r>
      <w:r w:rsidRPr="004E4581">
        <w:rPr>
          <w:rFonts w:ascii="Arial" w:hAnsi="Arial" w:cs="Arial"/>
          <w:bCs/>
          <w:sz w:val="21"/>
          <w:szCs w:val="21"/>
        </w:rPr>
        <w:t xml:space="preserve">; </w:t>
      </w:r>
    </w:p>
    <w:p w14:paraId="78AC9842" w14:textId="77777777" w:rsidR="001F00EC" w:rsidRPr="003017A8" w:rsidRDefault="001F00EC" w:rsidP="001F00EC">
      <w:pPr>
        <w:pStyle w:val="Default"/>
        <w:rPr>
          <w:color w:val="auto"/>
          <w:sz w:val="21"/>
          <w:szCs w:val="21"/>
          <w:lang w:val="es-ES"/>
        </w:rPr>
      </w:pPr>
    </w:p>
    <w:p w14:paraId="105A191C" w14:textId="77777777" w:rsidR="001F00EC" w:rsidRPr="00124468" w:rsidRDefault="001F00EC" w:rsidP="001F00EC">
      <w:pPr>
        <w:ind w:firstLine="567"/>
        <w:jc w:val="both"/>
        <w:rPr>
          <w:rFonts w:ascii="Arial" w:hAnsi="Arial" w:cs="Arial"/>
          <w:bCs/>
          <w:sz w:val="21"/>
          <w:szCs w:val="21"/>
        </w:rPr>
      </w:pPr>
      <w:r w:rsidRPr="00124468">
        <w:rPr>
          <w:rFonts w:ascii="Arial" w:hAnsi="Arial" w:cs="Arial"/>
          <w:bCs/>
          <w:sz w:val="21"/>
          <w:szCs w:val="21"/>
        </w:rPr>
        <w:t xml:space="preserve">De conformidad con lo dispuesto en el artículo 11-J del Reglamento de la Ley del Impuesto General a las Ventas e Impuesto Selectivo al Consumo, aprobado mediante Decreto Supremo </w:t>
      </w:r>
      <w:proofErr w:type="spellStart"/>
      <w:r w:rsidRPr="00124468">
        <w:rPr>
          <w:rFonts w:ascii="Arial" w:hAnsi="Arial" w:cs="Arial"/>
          <w:bCs/>
          <w:sz w:val="21"/>
          <w:szCs w:val="21"/>
        </w:rPr>
        <w:t>N°</w:t>
      </w:r>
      <w:proofErr w:type="spellEnd"/>
      <w:r w:rsidRPr="00124468">
        <w:rPr>
          <w:rFonts w:ascii="Arial" w:hAnsi="Arial" w:cs="Arial"/>
          <w:bCs/>
          <w:sz w:val="21"/>
          <w:szCs w:val="21"/>
        </w:rPr>
        <w:t xml:space="preserve"> 029-94-EF, según su texto modificado por Decreto Supremo </w:t>
      </w:r>
      <w:proofErr w:type="spellStart"/>
      <w:r w:rsidRPr="00124468">
        <w:rPr>
          <w:rFonts w:ascii="Arial" w:hAnsi="Arial" w:cs="Arial"/>
          <w:bCs/>
          <w:sz w:val="21"/>
          <w:szCs w:val="21"/>
        </w:rPr>
        <w:t>N°</w:t>
      </w:r>
      <w:proofErr w:type="spellEnd"/>
      <w:r w:rsidRPr="00124468">
        <w:rPr>
          <w:rFonts w:ascii="Arial" w:hAnsi="Arial" w:cs="Arial"/>
          <w:bCs/>
          <w:sz w:val="21"/>
          <w:szCs w:val="21"/>
        </w:rPr>
        <w:t xml:space="preserve"> 226-2020-EF; y en uso de las facultades conferidas en el literal m) del artículo 8 del Documento de Organización y Funciones Provisional de la SUNAT, aprobado por </w:t>
      </w:r>
      <w:r w:rsidRPr="00124468">
        <w:rPr>
          <w:rFonts w:ascii="Arial" w:hAnsi="Arial" w:cs="Arial"/>
          <w:sz w:val="21"/>
          <w:szCs w:val="21"/>
        </w:rPr>
        <w:t xml:space="preserve">Resolución de Superintendencia </w:t>
      </w:r>
      <w:proofErr w:type="spellStart"/>
      <w:r w:rsidRPr="00124468">
        <w:rPr>
          <w:rFonts w:ascii="Arial" w:hAnsi="Arial" w:cs="Arial"/>
          <w:sz w:val="21"/>
          <w:szCs w:val="21"/>
        </w:rPr>
        <w:t>N°</w:t>
      </w:r>
      <w:proofErr w:type="spellEnd"/>
      <w:r w:rsidRPr="00124468">
        <w:rPr>
          <w:rFonts w:ascii="Arial" w:hAnsi="Arial" w:cs="Arial"/>
          <w:sz w:val="21"/>
          <w:szCs w:val="21"/>
        </w:rPr>
        <w:t xml:space="preserve"> 65-2021/SUNAT, y modificatorias;</w:t>
      </w:r>
    </w:p>
    <w:p w14:paraId="6B8207D5" w14:textId="77777777" w:rsidR="001F00EC" w:rsidRPr="003017A8" w:rsidRDefault="001F00EC" w:rsidP="001F00EC">
      <w:pPr>
        <w:jc w:val="both"/>
        <w:rPr>
          <w:rFonts w:ascii="Arial" w:hAnsi="Arial" w:cs="Arial"/>
          <w:b/>
          <w:bCs/>
          <w:sz w:val="21"/>
          <w:szCs w:val="21"/>
        </w:rPr>
      </w:pPr>
    </w:p>
    <w:p w14:paraId="76736D36" w14:textId="77777777" w:rsidR="001F00EC" w:rsidRPr="003017A8" w:rsidRDefault="001F00EC" w:rsidP="001F00EC">
      <w:pPr>
        <w:tabs>
          <w:tab w:val="left" w:pos="567"/>
        </w:tabs>
        <w:jc w:val="both"/>
        <w:rPr>
          <w:rFonts w:ascii="Arial" w:hAnsi="Arial" w:cs="Arial"/>
          <w:b/>
          <w:bCs/>
          <w:sz w:val="21"/>
          <w:szCs w:val="21"/>
        </w:rPr>
      </w:pPr>
      <w:r w:rsidRPr="003017A8">
        <w:rPr>
          <w:rFonts w:ascii="Arial" w:hAnsi="Arial" w:cs="Arial"/>
          <w:b/>
          <w:bCs/>
          <w:sz w:val="21"/>
          <w:szCs w:val="21"/>
        </w:rPr>
        <w:tab/>
        <w:t>SE RESUELVE:</w:t>
      </w:r>
    </w:p>
    <w:p w14:paraId="4531B41E" w14:textId="77777777" w:rsidR="001F00EC" w:rsidRPr="003017A8" w:rsidRDefault="001F00EC" w:rsidP="001F00EC">
      <w:pPr>
        <w:jc w:val="both"/>
        <w:rPr>
          <w:rFonts w:ascii="Arial" w:hAnsi="Arial" w:cs="Arial"/>
          <w:b/>
          <w:bCs/>
          <w:sz w:val="21"/>
          <w:szCs w:val="21"/>
        </w:rPr>
      </w:pPr>
    </w:p>
    <w:p w14:paraId="1ED7B459" w14:textId="77777777" w:rsidR="001F00EC" w:rsidRPr="003017A8" w:rsidRDefault="001F00EC" w:rsidP="001F00EC">
      <w:pPr>
        <w:ind w:firstLine="567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3017A8">
        <w:rPr>
          <w:rFonts w:ascii="Arial" w:hAnsi="Arial" w:cs="Arial"/>
          <w:b/>
          <w:bCs/>
          <w:sz w:val="21"/>
          <w:szCs w:val="21"/>
        </w:rPr>
        <w:t xml:space="preserve">Artículo 1.- </w:t>
      </w:r>
      <w:r w:rsidRPr="003017A8">
        <w:rPr>
          <w:rFonts w:ascii="Arial" w:hAnsi="Arial" w:cs="Arial"/>
          <w:b/>
          <w:bCs/>
          <w:sz w:val="21"/>
          <w:szCs w:val="21"/>
          <w:u w:val="single"/>
        </w:rPr>
        <w:t>Selección de Entidades Colaboradoras</w:t>
      </w:r>
    </w:p>
    <w:p w14:paraId="542E7ED1" w14:textId="77777777" w:rsidR="001F00EC" w:rsidRPr="003017A8" w:rsidRDefault="001F00EC" w:rsidP="001F00EC">
      <w:pPr>
        <w:ind w:firstLine="567"/>
        <w:jc w:val="both"/>
        <w:rPr>
          <w:rFonts w:ascii="Arial" w:hAnsi="Arial" w:cs="Arial"/>
          <w:bCs/>
          <w:sz w:val="21"/>
          <w:szCs w:val="21"/>
          <w:lang w:eastAsia="es-PE"/>
        </w:rPr>
      </w:pPr>
      <w:r w:rsidRPr="003017A8">
        <w:rPr>
          <w:rFonts w:ascii="Arial" w:hAnsi="Arial" w:cs="Arial"/>
          <w:bCs/>
          <w:sz w:val="21"/>
          <w:szCs w:val="21"/>
          <w:lang w:eastAsia="es-PE"/>
        </w:rPr>
        <w:t xml:space="preserve">La </w:t>
      </w:r>
      <w:r>
        <w:rPr>
          <w:rFonts w:ascii="Arial" w:hAnsi="Arial" w:cs="Arial"/>
          <w:bCs/>
          <w:sz w:val="21"/>
          <w:szCs w:val="21"/>
          <w:lang w:eastAsia="es-PE"/>
        </w:rPr>
        <w:t>selección</w:t>
      </w:r>
      <w:r w:rsidRPr="003017A8">
        <w:rPr>
          <w:rFonts w:ascii="Arial" w:hAnsi="Arial" w:cs="Arial"/>
          <w:bCs/>
          <w:sz w:val="21"/>
          <w:szCs w:val="21"/>
          <w:lang w:eastAsia="es-PE"/>
        </w:rPr>
        <w:t xml:space="preserve"> de </w:t>
      </w:r>
      <w:r w:rsidRPr="00117A35">
        <w:rPr>
          <w:rFonts w:ascii="Arial" w:hAnsi="Arial" w:cs="Arial"/>
          <w:bCs/>
          <w:sz w:val="21"/>
          <w:szCs w:val="21"/>
          <w:lang w:eastAsia="es-PE"/>
        </w:rPr>
        <w:t>la</w:t>
      </w:r>
      <w:r>
        <w:rPr>
          <w:rFonts w:ascii="Arial" w:hAnsi="Arial" w:cs="Arial"/>
          <w:bCs/>
          <w:sz w:val="21"/>
          <w:szCs w:val="21"/>
          <w:lang w:eastAsia="es-PE"/>
        </w:rPr>
        <w:t>s</w:t>
      </w:r>
      <w:r w:rsidRPr="00117A35">
        <w:rPr>
          <w:rFonts w:ascii="Arial" w:hAnsi="Arial" w:cs="Arial"/>
          <w:bCs/>
          <w:sz w:val="21"/>
          <w:szCs w:val="21"/>
          <w:lang w:eastAsia="es-PE"/>
        </w:rPr>
        <w:t xml:space="preserve"> Entidad</w:t>
      </w:r>
      <w:r>
        <w:rPr>
          <w:rFonts w:ascii="Arial" w:hAnsi="Arial" w:cs="Arial"/>
          <w:bCs/>
          <w:sz w:val="21"/>
          <w:szCs w:val="21"/>
          <w:lang w:eastAsia="es-PE"/>
        </w:rPr>
        <w:t>es</w:t>
      </w:r>
      <w:r w:rsidRPr="003017A8">
        <w:rPr>
          <w:rFonts w:ascii="Arial" w:hAnsi="Arial" w:cs="Arial"/>
          <w:bCs/>
          <w:sz w:val="21"/>
          <w:szCs w:val="21"/>
          <w:lang w:eastAsia="es-PE"/>
        </w:rPr>
        <w:t xml:space="preserve"> Colaboradora</w:t>
      </w:r>
      <w:r>
        <w:rPr>
          <w:rFonts w:ascii="Arial" w:hAnsi="Arial" w:cs="Arial"/>
          <w:bCs/>
          <w:sz w:val="21"/>
          <w:szCs w:val="21"/>
          <w:lang w:eastAsia="es-PE"/>
        </w:rPr>
        <w:t>s</w:t>
      </w:r>
      <w:r w:rsidRPr="003017A8">
        <w:rPr>
          <w:rFonts w:ascii="Arial" w:hAnsi="Arial" w:cs="Arial"/>
          <w:bCs/>
          <w:sz w:val="21"/>
          <w:szCs w:val="21"/>
          <w:lang w:eastAsia="es-PE"/>
        </w:rPr>
        <w:t xml:space="preserve"> de la Administración Tributaria a que se refiere el artículo 76 del Texto Único Ordenado de la Ley del </w:t>
      </w:r>
      <w:r w:rsidRPr="003017A8">
        <w:rPr>
          <w:rFonts w:ascii="Arial" w:hAnsi="Arial" w:cs="Arial"/>
          <w:bCs/>
          <w:sz w:val="21"/>
          <w:szCs w:val="21"/>
        </w:rPr>
        <w:t xml:space="preserve">Impuesto General a las Ventas e Impuesto Selectivo al Consumo, aprobado mediante Decreto Supremo </w:t>
      </w:r>
      <w:proofErr w:type="spellStart"/>
      <w:r w:rsidRPr="003017A8">
        <w:rPr>
          <w:rFonts w:ascii="Arial" w:hAnsi="Arial" w:cs="Arial"/>
          <w:bCs/>
          <w:sz w:val="21"/>
          <w:szCs w:val="21"/>
        </w:rPr>
        <w:t>N°</w:t>
      </w:r>
      <w:proofErr w:type="spellEnd"/>
      <w:r w:rsidRPr="003017A8">
        <w:rPr>
          <w:rFonts w:ascii="Arial" w:hAnsi="Arial" w:cs="Arial"/>
          <w:bCs/>
          <w:sz w:val="21"/>
          <w:szCs w:val="21"/>
        </w:rPr>
        <w:t xml:space="preserve"> 055-99-EF</w:t>
      </w:r>
      <w:r w:rsidRPr="003017A8">
        <w:rPr>
          <w:rFonts w:ascii="Arial" w:hAnsi="Arial" w:cs="Arial"/>
          <w:bCs/>
          <w:sz w:val="21"/>
          <w:szCs w:val="21"/>
          <w:lang w:eastAsia="es-PE"/>
        </w:rPr>
        <w:t xml:space="preserve">, se efectuará previo concurso público a cargo de un comité de </w:t>
      </w:r>
      <w:r>
        <w:rPr>
          <w:rFonts w:ascii="Arial" w:hAnsi="Arial" w:cs="Arial"/>
          <w:bCs/>
          <w:sz w:val="21"/>
          <w:szCs w:val="21"/>
          <w:lang w:eastAsia="es-PE"/>
        </w:rPr>
        <w:t>s</w:t>
      </w:r>
      <w:r w:rsidRPr="003017A8">
        <w:rPr>
          <w:rFonts w:ascii="Arial" w:hAnsi="Arial" w:cs="Arial"/>
          <w:bCs/>
          <w:sz w:val="21"/>
          <w:szCs w:val="21"/>
          <w:lang w:eastAsia="es-PE"/>
        </w:rPr>
        <w:t>elección</w:t>
      </w:r>
      <w:r>
        <w:rPr>
          <w:rFonts w:ascii="Arial" w:hAnsi="Arial" w:cs="Arial"/>
          <w:bCs/>
          <w:sz w:val="21"/>
          <w:szCs w:val="21"/>
          <w:lang w:eastAsia="es-PE"/>
        </w:rPr>
        <w:t>,</w:t>
      </w:r>
      <w:r w:rsidRPr="003017A8">
        <w:rPr>
          <w:rFonts w:ascii="Arial" w:hAnsi="Arial" w:cs="Arial"/>
          <w:bCs/>
          <w:sz w:val="21"/>
          <w:szCs w:val="21"/>
          <w:lang w:eastAsia="es-PE"/>
        </w:rPr>
        <w:t xml:space="preserve"> integrado por tres miembros, de acuerdo con el procedimiento a que se refiere el artículo 4, el cual será difundido en el portal electrónico de la Superintendencia Nacional de Aduanas y de Administración Tributaria - SUNAT. </w:t>
      </w:r>
    </w:p>
    <w:p w14:paraId="16C3F284" w14:textId="77777777" w:rsidR="001F00EC" w:rsidRPr="003017A8" w:rsidRDefault="001F00EC" w:rsidP="001F00EC">
      <w:pPr>
        <w:ind w:firstLine="567"/>
        <w:jc w:val="both"/>
        <w:rPr>
          <w:rFonts w:ascii="Arial" w:hAnsi="Arial" w:cs="Arial"/>
          <w:bCs/>
          <w:sz w:val="21"/>
          <w:szCs w:val="21"/>
          <w:lang w:eastAsia="es-PE"/>
        </w:rPr>
      </w:pPr>
    </w:p>
    <w:p w14:paraId="763B7C94" w14:textId="77777777" w:rsidR="001F00EC" w:rsidRPr="003017A8" w:rsidRDefault="001F00EC" w:rsidP="001F00EC">
      <w:pPr>
        <w:ind w:firstLine="567"/>
        <w:jc w:val="both"/>
        <w:rPr>
          <w:rFonts w:ascii="Arial" w:hAnsi="Arial" w:cs="Arial"/>
          <w:bCs/>
          <w:sz w:val="21"/>
          <w:szCs w:val="21"/>
          <w:lang w:eastAsia="es-PE"/>
        </w:rPr>
      </w:pPr>
      <w:r w:rsidRPr="003017A8">
        <w:rPr>
          <w:rFonts w:ascii="Arial" w:hAnsi="Arial" w:cs="Arial"/>
          <w:bCs/>
          <w:sz w:val="21"/>
          <w:szCs w:val="21"/>
          <w:lang w:eastAsia="es-PE"/>
        </w:rPr>
        <w:t xml:space="preserve">El comité de </w:t>
      </w:r>
      <w:r>
        <w:rPr>
          <w:rFonts w:ascii="Arial" w:hAnsi="Arial" w:cs="Arial"/>
          <w:bCs/>
          <w:sz w:val="21"/>
          <w:szCs w:val="21"/>
          <w:lang w:eastAsia="es-PE"/>
        </w:rPr>
        <w:t>s</w:t>
      </w:r>
      <w:r w:rsidRPr="003017A8">
        <w:rPr>
          <w:rFonts w:ascii="Arial" w:hAnsi="Arial" w:cs="Arial"/>
          <w:bCs/>
          <w:sz w:val="21"/>
          <w:szCs w:val="21"/>
          <w:lang w:eastAsia="es-PE"/>
        </w:rPr>
        <w:t xml:space="preserve">elección goza de autonomía para adoptar decisiones y realizar todo acto necesario para cumplir con el encargo de conducir el concurso público y seleccionar a quien posteriormente obtendrá la calidad de Entidad Colaboradora de la Administración Tributaria; sus decisiones se adoptan en forma colegiada. </w:t>
      </w:r>
    </w:p>
    <w:p w14:paraId="632736AB" w14:textId="77777777" w:rsidR="001F00EC" w:rsidRPr="003017A8" w:rsidRDefault="001F00EC" w:rsidP="001F00EC">
      <w:pPr>
        <w:ind w:firstLine="567"/>
        <w:jc w:val="both"/>
        <w:rPr>
          <w:rFonts w:ascii="Arial" w:hAnsi="Arial" w:cs="Arial"/>
          <w:sz w:val="21"/>
          <w:szCs w:val="21"/>
        </w:rPr>
      </w:pPr>
    </w:p>
    <w:p w14:paraId="72693687" w14:textId="77777777" w:rsidR="001F00EC" w:rsidRPr="003017A8" w:rsidRDefault="001F00EC" w:rsidP="001F00EC">
      <w:pPr>
        <w:pStyle w:val="Sangradetextonormal"/>
        <w:spacing w:after="0"/>
        <w:ind w:left="0" w:firstLine="567"/>
        <w:jc w:val="both"/>
        <w:rPr>
          <w:rFonts w:ascii="Arial" w:hAnsi="Arial" w:cs="Arial"/>
          <w:b/>
          <w:bCs/>
          <w:sz w:val="21"/>
          <w:szCs w:val="21"/>
        </w:rPr>
      </w:pPr>
      <w:r w:rsidRPr="003017A8">
        <w:rPr>
          <w:rFonts w:ascii="Arial" w:hAnsi="Arial" w:cs="Arial"/>
          <w:b/>
          <w:bCs/>
          <w:sz w:val="21"/>
          <w:szCs w:val="21"/>
        </w:rPr>
        <w:t xml:space="preserve">Artículo 2.- </w:t>
      </w:r>
      <w:r w:rsidRPr="003017A8">
        <w:rPr>
          <w:rFonts w:ascii="Arial" w:hAnsi="Arial" w:cs="Arial"/>
          <w:b/>
          <w:bCs/>
          <w:sz w:val="21"/>
          <w:szCs w:val="21"/>
          <w:u w:val="single"/>
        </w:rPr>
        <w:t>Obtención de la Calidad de Entidad Colaboradora</w:t>
      </w:r>
    </w:p>
    <w:p w14:paraId="495DD546" w14:textId="77777777" w:rsidR="001F00EC" w:rsidRPr="003017A8" w:rsidRDefault="001F00EC" w:rsidP="001F00EC">
      <w:pPr>
        <w:pStyle w:val="Sangradetextonormal"/>
        <w:spacing w:after="0"/>
        <w:ind w:left="0" w:firstLine="567"/>
        <w:jc w:val="both"/>
        <w:rPr>
          <w:rFonts w:ascii="Arial" w:hAnsi="Arial" w:cs="Arial"/>
          <w:sz w:val="21"/>
          <w:szCs w:val="21"/>
        </w:rPr>
      </w:pPr>
      <w:r w:rsidRPr="003017A8">
        <w:rPr>
          <w:rFonts w:ascii="Arial" w:hAnsi="Arial" w:cs="Arial"/>
          <w:bCs/>
          <w:sz w:val="21"/>
          <w:szCs w:val="21"/>
        </w:rPr>
        <w:t xml:space="preserve">La </w:t>
      </w:r>
      <w:r w:rsidRPr="003017A8">
        <w:rPr>
          <w:rFonts w:ascii="Arial" w:hAnsi="Arial" w:cs="Arial"/>
          <w:sz w:val="21"/>
          <w:szCs w:val="21"/>
        </w:rPr>
        <w:t xml:space="preserve">calidad de Entidad Colaboradora de la Administración Tributaria se obtiene a través de la formalización de un contrato con la SUNAT, cuyo plazo de vigencia será no menor de tres (3) años, pudiendo ser renovado. </w:t>
      </w:r>
    </w:p>
    <w:p w14:paraId="2FCBBE90" w14:textId="77777777" w:rsidR="001F00EC" w:rsidRPr="003017A8" w:rsidRDefault="001F00EC" w:rsidP="001F00EC">
      <w:pPr>
        <w:pStyle w:val="Sangradetextonormal"/>
        <w:spacing w:after="0"/>
        <w:ind w:firstLine="426"/>
        <w:jc w:val="both"/>
        <w:rPr>
          <w:rFonts w:ascii="Arial" w:hAnsi="Arial" w:cs="Arial"/>
          <w:bCs/>
          <w:sz w:val="21"/>
          <w:szCs w:val="21"/>
          <w:lang w:val="es-PE" w:eastAsia="es-PE"/>
        </w:rPr>
      </w:pPr>
    </w:p>
    <w:p w14:paraId="365A75E0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b/>
          <w:bCs/>
          <w:color w:val="auto"/>
          <w:sz w:val="21"/>
          <w:szCs w:val="21"/>
          <w:u w:val="single"/>
        </w:rPr>
      </w:pPr>
      <w:r w:rsidRPr="003017A8">
        <w:rPr>
          <w:b/>
          <w:bCs/>
          <w:color w:val="auto"/>
          <w:sz w:val="21"/>
          <w:szCs w:val="21"/>
        </w:rPr>
        <w:lastRenderedPageBreak/>
        <w:tab/>
        <w:t xml:space="preserve">Artículo 3.- </w:t>
      </w:r>
      <w:r w:rsidRPr="003017A8">
        <w:rPr>
          <w:b/>
          <w:bCs/>
          <w:color w:val="auto"/>
          <w:sz w:val="21"/>
          <w:szCs w:val="21"/>
          <w:u w:val="single"/>
        </w:rPr>
        <w:t>Fin de la Calidad de Entidad Colaboradora</w:t>
      </w:r>
    </w:p>
    <w:p w14:paraId="4768EADD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rFonts w:eastAsiaTheme="minorHAnsi"/>
          <w:color w:val="auto"/>
          <w:sz w:val="21"/>
          <w:szCs w:val="21"/>
          <w:lang w:eastAsia="en-US"/>
        </w:rPr>
      </w:pPr>
      <w:r w:rsidRPr="003017A8">
        <w:rPr>
          <w:bCs/>
          <w:color w:val="auto"/>
          <w:sz w:val="21"/>
          <w:szCs w:val="21"/>
        </w:rPr>
        <w:tab/>
      </w:r>
      <w:r w:rsidRPr="003F6720">
        <w:rPr>
          <w:bCs/>
          <w:color w:val="auto"/>
          <w:sz w:val="21"/>
          <w:szCs w:val="21"/>
        </w:rPr>
        <w:t xml:space="preserve">3.1. En caso de que la SUNAT </w:t>
      </w:r>
      <w:r w:rsidRPr="003F6720">
        <w:rPr>
          <w:rFonts w:eastAsiaTheme="minorHAnsi"/>
          <w:color w:val="auto"/>
          <w:sz w:val="21"/>
          <w:szCs w:val="21"/>
          <w:lang w:eastAsia="en-US"/>
        </w:rPr>
        <w:t xml:space="preserve">detecte que la Entidad Colaboradora incumple alguno de los requisitos u obligaciones dispuestos en el párrafo 11-J.4 del artículo 11-J del </w:t>
      </w:r>
      <w:r w:rsidRPr="003F6720">
        <w:rPr>
          <w:bCs/>
          <w:color w:val="auto"/>
          <w:sz w:val="21"/>
          <w:szCs w:val="21"/>
        </w:rPr>
        <w:t>Reglamento de la Ley del Impuesto General a las Ventas e Impuesto Selectivo al Consumo,</w:t>
      </w:r>
      <w:r w:rsidRPr="003F6720">
        <w:rPr>
          <w:rFonts w:eastAsiaTheme="minorHAnsi"/>
          <w:color w:val="auto"/>
          <w:sz w:val="21"/>
          <w:szCs w:val="21"/>
          <w:lang w:eastAsia="en-US"/>
        </w:rPr>
        <w:t xml:space="preserve"> u otros que establezca la SUNAT, le notificará el incumplimiento detectado, otorgándole, de corresponder, un plazo para que pueda efectuar sus descargos.</w:t>
      </w:r>
    </w:p>
    <w:p w14:paraId="1F070DFC" w14:textId="77777777" w:rsidR="001F00EC" w:rsidRPr="003017A8" w:rsidRDefault="001F00EC" w:rsidP="001F00EC">
      <w:pPr>
        <w:pStyle w:val="Default"/>
        <w:jc w:val="both"/>
        <w:rPr>
          <w:rFonts w:eastAsiaTheme="minorHAnsi"/>
          <w:color w:val="auto"/>
          <w:sz w:val="21"/>
          <w:szCs w:val="21"/>
          <w:lang w:eastAsia="en-US"/>
        </w:rPr>
      </w:pPr>
    </w:p>
    <w:p w14:paraId="6CB02D06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color w:val="auto"/>
          <w:sz w:val="21"/>
          <w:szCs w:val="21"/>
        </w:rPr>
      </w:pPr>
      <w:r w:rsidRPr="003017A8">
        <w:rPr>
          <w:rFonts w:eastAsiaTheme="minorHAnsi"/>
          <w:color w:val="auto"/>
          <w:sz w:val="21"/>
          <w:szCs w:val="21"/>
          <w:lang w:eastAsia="en-US"/>
        </w:rPr>
        <w:tab/>
      </w:r>
      <w:r w:rsidRPr="003017A8">
        <w:rPr>
          <w:color w:val="auto"/>
          <w:sz w:val="21"/>
          <w:szCs w:val="21"/>
        </w:rPr>
        <w:t>De corresponder la pérdida de la condición de Entidad Colaboradora, la SUNAT notificará dicha decisión en la forma establecida en el respectivo contrato, señalando la fecha a partir de la cual surtirá efecto, debiendo para ello indicar un plazo no menor a ciento ochenta (180) días calendario contados a partir de la notificación, con excepción del incumplimiento por abandono del servicio, en el que no será necesario otorgar dicho plazo.</w:t>
      </w:r>
    </w:p>
    <w:p w14:paraId="3DBC2D06" w14:textId="77777777" w:rsidR="001F00EC" w:rsidRPr="003017A8" w:rsidRDefault="001F00EC" w:rsidP="001F00EC">
      <w:pPr>
        <w:pStyle w:val="Default"/>
        <w:jc w:val="both"/>
        <w:rPr>
          <w:color w:val="auto"/>
          <w:sz w:val="21"/>
          <w:szCs w:val="21"/>
        </w:rPr>
      </w:pPr>
    </w:p>
    <w:p w14:paraId="7718241B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rFonts w:eastAsiaTheme="minorHAnsi"/>
          <w:color w:val="auto"/>
          <w:sz w:val="21"/>
          <w:szCs w:val="21"/>
          <w:lang w:eastAsia="en-US"/>
        </w:rPr>
      </w:pPr>
      <w:r w:rsidRPr="003017A8">
        <w:rPr>
          <w:color w:val="auto"/>
          <w:sz w:val="21"/>
          <w:szCs w:val="21"/>
        </w:rPr>
        <w:tab/>
        <w:t xml:space="preserve">3.2. </w:t>
      </w:r>
      <w:r w:rsidRPr="003017A8">
        <w:rPr>
          <w:rFonts w:eastAsiaTheme="minorHAnsi"/>
          <w:color w:val="auto"/>
          <w:sz w:val="21"/>
          <w:szCs w:val="21"/>
          <w:lang w:eastAsia="en-US"/>
        </w:rPr>
        <w:t>En caso de que la Entidad Colaboradora decidiera voluntariamente dejar de tener dicha condición, deberá comunicarlo a la SUNAT en la forma establecida en el respectivo contrato con una anticipación no menor de ciento ochenta (</w:t>
      </w:r>
      <w:r w:rsidRPr="003017A8">
        <w:rPr>
          <w:rFonts w:eastAsiaTheme="minorHAnsi"/>
          <w:bCs/>
          <w:color w:val="auto"/>
          <w:sz w:val="21"/>
          <w:szCs w:val="21"/>
          <w:lang w:eastAsia="en-US"/>
        </w:rPr>
        <w:t>180)</w:t>
      </w:r>
      <w:r w:rsidRPr="003017A8">
        <w:rPr>
          <w:rFonts w:eastAsiaTheme="minorHAnsi"/>
          <w:b/>
          <w:bCs/>
          <w:color w:val="auto"/>
          <w:sz w:val="21"/>
          <w:szCs w:val="21"/>
          <w:lang w:eastAsia="en-US"/>
        </w:rPr>
        <w:t xml:space="preserve"> </w:t>
      </w:r>
      <w:r w:rsidRPr="003017A8">
        <w:rPr>
          <w:rFonts w:eastAsiaTheme="minorHAnsi"/>
          <w:color w:val="auto"/>
          <w:sz w:val="21"/>
          <w:szCs w:val="21"/>
          <w:lang w:eastAsia="en-US"/>
        </w:rPr>
        <w:t xml:space="preserve">días calendario a la fecha propuesta para culminar sus servicios. </w:t>
      </w:r>
    </w:p>
    <w:p w14:paraId="742E1358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color w:val="auto"/>
          <w:sz w:val="21"/>
          <w:szCs w:val="21"/>
        </w:rPr>
      </w:pPr>
    </w:p>
    <w:p w14:paraId="26A91AC5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color w:val="auto"/>
          <w:sz w:val="21"/>
          <w:szCs w:val="21"/>
        </w:rPr>
      </w:pPr>
      <w:r w:rsidRPr="003017A8">
        <w:rPr>
          <w:color w:val="auto"/>
          <w:sz w:val="21"/>
          <w:szCs w:val="21"/>
        </w:rPr>
        <w:tab/>
        <w:t>3.3. Si la Entidad Colaboradora no desea renovar el contrato, deberá comunicar esa decisión a la SUNAT en la forma establecida en el respectivo contrato con una anticipación no menor de ciento ochenta (</w:t>
      </w:r>
      <w:r w:rsidRPr="003017A8">
        <w:rPr>
          <w:bCs/>
          <w:color w:val="auto"/>
          <w:sz w:val="21"/>
          <w:szCs w:val="21"/>
        </w:rPr>
        <w:t>180)</w:t>
      </w:r>
      <w:r w:rsidRPr="003017A8">
        <w:rPr>
          <w:b/>
          <w:bCs/>
          <w:color w:val="auto"/>
          <w:sz w:val="21"/>
          <w:szCs w:val="21"/>
        </w:rPr>
        <w:t xml:space="preserve"> </w:t>
      </w:r>
      <w:r w:rsidRPr="003017A8">
        <w:rPr>
          <w:color w:val="auto"/>
          <w:sz w:val="21"/>
          <w:szCs w:val="21"/>
        </w:rPr>
        <w:t>días calendario a la fecha de vencimiento del plazo de operación previsto en el contrato.</w:t>
      </w:r>
    </w:p>
    <w:p w14:paraId="4074BE86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color w:val="auto"/>
          <w:sz w:val="21"/>
          <w:szCs w:val="21"/>
        </w:rPr>
      </w:pPr>
    </w:p>
    <w:p w14:paraId="59BDF50B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b/>
          <w:color w:val="auto"/>
          <w:sz w:val="21"/>
          <w:szCs w:val="21"/>
        </w:rPr>
      </w:pPr>
      <w:r w:rsidRPr="003017A8">
        <w:rPr>
          <w:b/>
          <w:color w:val="auto"/>
          <w:sz w:val="21"/>
          <w:szCs w:val="21"/>
        </w:rPr>
        <w:tab/>
        <w:t xml:space="preserve">Artículo 4.- </w:t>
      </w:r>
      <w:r w:rsidRPr="009D2355">
        <w:rPr>
          <w:b/>
          <w:color w:val="auto"/>
          <w:sz w:val="21"/>
          <w:szCs w:val="21"/>
          <w:u w:val="single"/>
        </w:rPr>
        <w:t xml:space="preserve">Aprobación del Procedimiento para la </w:t>
      </w:r>
      <w:r>
        <w:rPr>
          <w:b/>
          <w:color w:val="auto"/>
          <w:sz w:val="21"/>
          <w:szCs w:val="21"/>
          <w:u w:val="single"/>
        </w:rPr>
        <w:t>s</w:t>
      </w:r>
      <w:r w:rsidRPr="009D2355">
        <w:rPr>
          <w:b/>
          <w:color w:val="auto"/>
          <w:sz w:val="21"/>
          <w:szCs w:val="21"/>
          <w:u w:val="single"/>
        </w:rPr>
        <w:t>elección de la Entidad Colaboradora</w:t>
      </w:r>
    </w:p>
    <w:p w14:paraId="676E8315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color w:val="auto"/>
          <w:sz w:val="21"/>
          <w:szCs w:val="21"/>
        </w:rPr>
      </w:pPr>
      <w:r w:rsidRPr="003017A8">
        <w:rPr>
          <w:b/>
          <w:color w:val="auto"/>
          <w:sz w:val="21"/>
          <w:szCs w:val="21"/>
        </w:rPr>
        <w:tab/>
      </w:r>
      <w:proofErr w:type="spellStart"/>
      <w:r w:rsidRPr="003017A8">
        <w:rPr>
          <w:color w:val="auto"/>
          <w:sz w:val="21"/>
          <w:szCs w:val="21"/>
        </w:rPr>
        <w:t>Apruébase</w:t>
      </w:r>
      <w:proofErr w:type="spellEnd"/>
      <w:r w:rsidRPr="003017A8">
        <w:rPr>
          <w:color w:val="auto"/>
          <w:sz w:val="21"/>
          <w:szCs w:val="21"/>
        </w:rPr>
        <w:t xml:space="preserve"> el “Procedimiento para la </w:t>
      </w:r>
      <w:r>
        <w:rPr>
          <w:color w:val="auto"/>
          <w:sz w:val="21"/>
          <w:szCs w:val="21"/>
        </w:rPr>
        <w:t>s</w:t>
      </w:r>
      <w:r w:rsidRPr="003017A8">
        <w:rPr>
          <w:color w:val="auto"/>
          <w:sz w:val="21"/>
          <w:szCs w:val="21"/>
        </w:rPr>
        <w:t>elección de una Entidad Colaboradora para la devolución del IGV a Turistas”, el mismo que como anexo adjunto forma parte de la presente resolución.</w:t>
      </w:r>
    </w:p>
    <w:p w14:paraId="15A79F8A" w14:textId="77777777" w:rsidR="001F00EC" w:rsidRPr="003017A8" w:rsidRDefault="001F00EC" w:rsidP="001F00EC">
      <w:pPr>
        <w:pStyle w:val="Default"/>
        <w:tabs>
          <w:tab w:val="left" w:pos="567"/>
        </w:tabs>
        <w:jc w:val="both"/>
        <w:rPr>
          <w:sz w:val="21"/>
          <w:szCs w:val="21"/>
        </w:rPr>
      </w:pPr>
      <w:r w:rsidRPr="003017A8">
        <w:rPr>
          <w:color w:val="auto"/>
          <w:sz w:val="21"/>
          <w:szCs w:val="21"/>
        </w:rPr>
        <w:tab/>
      </w:r>
    </w:p>
    <w:p w14:paraId="5AA01B9E" w14:textId="77777777" w:rsidR="001F00EC" w:rsidRPr="003017A8" w:rsidRDefault="001F00EC" w:rsidP="001F00EC">
      <w:pPr>
        <w:pStyle w:val="Default"/>
        <w:ind w:firstLine="567"/>
        <w:jc w:val="center"/>
        <w:rPr>
          <w:b/>
          <w:bCs/>
          <w:color w:val="auto"/>
          <w:sz w:val="21"/>
          <w:szCs w:val="21"/>
        </w:rPr>
      </w:pPr>
      <w:r w:rsidRPr="003017A8">
        <w:rPr>
          <w:b/>
          <w:bCs/>
          <w:color w:val="auto"/>
          <w:sz w:val="21"/>
          <w:szCs w:val="21"/>
        </w:rPr>
        <w:t>DISPOSICIÓN COMPLEMENTARIA FINAL</w:t>
      </w:r>
    </w:p>
    <w:p w14:paraId="4B5055DD" w14:textId="77777777" w:rsidR="001F00EC" w:rsidRPr="003017A8" w:rsidRDefault="001F00EC" w:rsidP="001F00EC">
      <w:pPr>
        <w:pStyle w:val="Default"/>
        <w:ind w:firstLine="567"/>
        <w:jc w:val="both"/>
        <w:rPr>
          <w:b/>
          <w:bCs/>
          <w:color w:val="auto"/>
          <w:sz w:val="21"/>
          <w:szCs w:val="21"/>
        </w:rPr>
      </w:pPr>
    </w:p>
    <w:p w14:paraId="63FAD47A" w14:textId="77777777" w:rsidR="001F00EC" w:rsidRPr="003017A8" w:rsidRDefault="001F00EC" w:rsidP="001F00EC">
      <w:pPr>
        <w:pStyle w:val="Default"/>
        <w:ind w:firstLine="567"/>
        <w:jc w:val="both"/>
        <w:rPr>
          <w:b/>
          <w:bCs/>
          <w:color w:val="auto"/>
          <w:sz w:val="21"/>
          <w:szCs w:val="21"/>
        </w:rPr>
      </w:pPr>
      <w:proofErr w:type="gramStart"/>
      <w:r w:rsidRPr="003017A8">
        <w:rPr>
          <w:b/>
          <w:bCs/>
          <w:color w:val="auto"/>
          <w:sz w:val="21"/>
          <w:szCs w:val="21"/>
        </w:rPr>
        <w:t>Única.-</w:t>
      </w:r>
      <w:proofErr w:type="gramEnd"/>
      <w:r w:rsidRPr="003017A8">
        <w:rPr>
          <w:b/>
          <w:bCs/>
          <w:color w:val="auto"/>
          <w:sz w:val="21"/>
          <w:szCs w:val="21"/>
        </w:rPr>
        <w:t xml:space="preserve"> </w:t>
      </w:r>
      <w:r w:rsidRPr="003017A8">
        <w:rPr>
          <w:b/>
          <w:bCs/>
          <w:color w:val="auto"/>
          <w:sz w:val="21"/>
          <w:szCs w:val="21"/>
          <w:u w:val="single"/>
        </w:rPr>
        <w:t>Vigencia</w:t>
      </w:r>
    </w:p>
    <w:p w14:paraId="28B63A51" w14:textId="77777777" w:rsidR="001F00EC" w:rsidRPr="003017A8" w:rsidRDefault="001F00EC" w:rsidP="001F00EC">
      <w:pPr>
        <w:pStyle w:val="Default"/>
        <w:ind w:firstLine="567"/>
        <w:jc w:val="both"/>
        <w:rPr>
          <w:color w:val="auto"/>
          <w:sz w:val="21"/>
          <w:szCs w:val="21"/>
        </w:rPr>
      </w:pPr>
      <w:r w:rsidRPr="003017A8">
        <w:rPr>
          <w:color w:val="auto"/>
          <w:sz w:val="21"/>
          <w:szCs w:val="21"/>
        </w:rPr>
        <w:t xml:space="preserve">La presente resolución </w:t>
      </w:r>
      <w:proofErr w:type="gramStart"/>
      <w:r w:rsidRPr="003017A8">
        <w:rPr>
          <w:color w:val="auto"/>
          <w:sz w:val="21"/>
          <w:szCs w:val="21"/>
        </w:rPr>
        <w:t>entrará en vigencia</w:t>
      </w:r>
      <w:proofErr w:type="gramEnd"/>
      <w:r w:rsidRPr="003017A8">
        <w:rPr>
          <w:color w:val="auto"/>
          <w:sz w:val="21"/>
          <w:szCs w:val="21"/>
        </w:rPr>
        <w:t xml:space="preserve"> al día siguiente de su publicación en el diario oficial El Peruano.</w:t>
      </w:r>
    </w:p>
    <w:p w14:paraId="71E801C6" w14:textId="77777777" w:rsidR="001F00EC" w:rsidRPr="003017A8" w:rsidRDefault="001F00EC" w:rsidP="001F00EC">
      <w:pPr>
        <w:jc w:val="both"/>
        <w:rPr>
          <w:rFonts w:ascii="Arial" w:hAnsi="Arial" w:cs="Arial"/>
          <w:bCs/>
          <w:sz w:val="21"/>
          <w:szCs w:val="21"/>
        </w:rPr>
      </w:pPr>
    </w:p>
    <w:p w14:paraId="6C990CA7" w14:textId="77777777" w:rsidR="001F00EC" w:rsidRPr="003017A8" w:rsidRDefault="001F00EC" w:rsidP="001F00EC">
      <w:pPr>
        <w:ind w:firstLine="567"/>
        <w:rPr>
          <w:rFonts w:ascii="Arial" w:hAnsi="Arial" w:cs="Arial"/>
          <w:sz w:val="21"/>
          <w:szCs w:val="21"/>
        </w:rPr>
      </w:pPr>
      <w:r w:rsidRPr="003017A8">
        <w:rPr>
          <w:rFonts w:ascii="Arial" w:hAnsi="Arial" w:cs="Arial"/>
          <w:sz w:val="21"/>
          <w:szCs w:val="21"/>
        </w:rPr>
        <w:t xml:space="preserve"> Regístrese, comuníquese y publíquese</w:t>
      </w:r>
    </w:p>
    <w:p w14:paraId="46874918" w14:textId="77777777" w:rsidR="001F00EC" w:rsidRPr="002F565D" w:rsidRDefault="001F00EC" w:rsidP="001F00EC">
      <w:pPr>
        <w:rPr>
          <w:rFonts w:ascii="Arial" w:hAnsi="Arial" w:cs="Arial"/>
          <w:sz w:val="22"/>
          <w:szCs w:val="22"/>
        </w:rPr>
      </w:pPr>
    </w:p>
    <w:p w14:paraId="4F0C033F" w14:textId="77777777" w:rsidR="001F00EC" w:rsidRPr="002F565D" w:rsidRDefault="001F00EC" w:rsidP="001F00EC">
      <w:pPr>
        <w:pStyle w:val="Default"/>
        <w:widowControl w:val="0"/>
        <w:ind w:firstLine="708"/>
        <w:jc w:val="both"/>
        <w:rPr>
          <w:b/>
          <w:color w:val="auto"/>
          <w:sz w:val="21"/>
          <w:szCs w:val="21"/>
        </w:rPr>
      </w:pPr>
      <w:r w:rsidRPr="002F565D">
        <w:rPr>
          <w:b/>
          <w:color w:val="auto"/>
          <w:sz w:val="21"/>
          <w:szCs w:val="21"/>
        </w:rPr>
        <w:t>LUIS ENRIQUE VERA CASTILLO</w:t>
      </w:r>
    </w:p>
    <w:p w14:paraId="1AE56673" w14:textId="77777777" w:rsidR="001F00EC" w:rsidRPr="002F565D" w:rsidRDefault="001F00EC" w:rsidP="001F00EC">
      <w:pPr>
        <w:pStyle w:val="Default"/>
        <w:widowControl w:val="0"/>
        <w:ind w:firstLine="708"/>
        <w:jc w:val="both"/>
        <w:rPr>
          <w:b/>
          <w:color w:val="auto"/>
          <w:sz w:val="21"/>
          <w:szCs w:val="21"/>
        </w:rPr>
      </w:pPr>
      <w:r w:rsidRPr="002F565D">
        <w:rPr>
          <w:b/>
          <w:color w:val="auto"/>
          <w:sz w:val="21"/>
          <w:szCs w:val="21"/>
        </w:rPr>
        <w:t xml:space="preserve">     Superintendente Nacional</w:t>
      </w:r>
    </w:p>
    <w:p w14:paraId="6D980618" w14:textId="77777777" w:rsidR="001F00EC" w:rsidRPr="002F565D" w:rsidRDefault="001F00EC" w:rsidP="001F00EC">
      <w:pPr>
        <w:pStyle w:val="Default"/>
        <w:widowControl w:val="0"/>
        <w:jc w:val="both"/>
        <w:rPr>
          <w:b/>
          <w:color w:val="auto"/>
          <w:sz w:val="21"/>
          <w:szCs w:val="21"/>
        </w:rPr>
      </w:pPr>
      <w:r w:rsidRPr="002F565D">
        <w:rPr>
          <w:b/>
          <w:color w:val="auto"/>
          <w:sz w:val="21"/>
          <w:szCs w:val="21"/>
        </w:rPr>
        <w:t>SUPERINTENDENCIA NACIONAL DE ADUANAS</w:t>
      </w:r>
    </w:p>
    <w:p w14:paraId="7C2EA905" w14:textId="77777777" w:rsidR="001F00EC" w:rsidRPr="002F565D" w:rsidRDefault="001F00EC" w:rsidP="001F00EC">
      <w:pPr>
        <w:pStyle w:val="Default"/>
        <w:widowControl w:val="0"/>
        <w:ind w:firstLine="284"/>
        <w:jc w:val="both"/>
        <w:rPr>
          <w:b/>
          <w:color w:val="auto"/>
          <w:sz w:val="21"/>
          <w:szCs w:val="21"/>
        </w:rPr>
      </w:pPr>
      <w:r w:rsidRPr="002F565D">
        <w:rPr>
          <w:b/>
          <w:color w:val="auto"/>
          <w:sz w:val="21"/>
          <w:szCs w:val="21"/>
        </w:rPr>
        <w:t xml:space="preserve">   Y DE ADMINISTRACIÓN TRIBUTARIA</w:t>
      </w:r>
    </w:p>
    <w:sectPr w:rsidR="001F00EC" w:rsidRPr="002F565D" w:rsidSect="004A2CD8">
      <w:headerReference w:type="default" r:id="rId7"/>
      <w:footerReference w:type="even" r:id="rId8"/>
      <w:headerReference w:type="first" r:id="rId9"/>
      <w:pgSz w:w="11907" w:h="16840" w:code="9"/>
      <w:pgMar w:top="4820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ACDF1" w14:textId="77777777" w:rsidR="00081332" w:rsidRDefault="00081332" w:rsidP="001F00EC">
      <w:r>
        <w:separator/>
      </w:r>
    </w:p>
  </w:endnote>
  <w:endnote w:type="continuationSeparator" w:id="0">
    <w:p w14:paraId="7F0C195C" w14:textId="77777777" w:rsidR="00081332" w:rsidRDefault="00081332" w:rsidP="001F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9D418" w14:textId="77777777" w:rsidR="004A2CD8" w:rsidRDefault="00081332">
    <w:pPr>
      <w:pStyle w:val="Piedepgina"/>
      <w:framePr w:wrap="around" w:vAnchor="text" w:hAnchor="margin" w:xAlign="center" w:y="1"/>
      <w:rPr>
        <w:rStyle w:val="Nmerodepgina"/>
      </w:rPr>
    </w:pPr>
  </w:p>
  <w:p w14:paraId="6FEA7FD9" w14:textId="77777777" w:rsidR="004A2CD8" w:rsidRDefault="000813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0326B" w14:textId="77777777" w:rsidR="00081332" w:rsidRDefault="00081332" w:rsidP="001F00EC">
      <w:r>
        <w:separator/>
      </w:r>
    </w:p>
  </w:footnote>
  <w:footnote w:type="continuationSeparator" w:id="0">
    <w:p w14:paraId="39F270A1" w14:textId="77777777" w:rsidR="00081332" w:rsidRDefault="00081332" w:rsidP="001F0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7FB09" w14:textId="77777777" w:rsidR="004A2CD8" w:rsidRDefault="00081332">
    <w:pPr>
      <w:pStyle w:val="Encabezado"/>
    </w:pPr>
  </w:p>
  <w:p w14:paraId="05666230" w14:textId="77777777" w:rsidR="004A2CD8" w:rsidRDefault="00081332">
    <w:pPr>
      <w:pStyle w:val="Encabezado"/>
    </w:pPr>
  </w:p>
  <w:p w14:paraId="43D17DB7" w14:textId="77777777" w:rsidR="004A2CD8" w:rsidRDefault="00081332">
    <w:pPr>
      <w:pStyle w:val="Encabezado"/>
    </w:pPr>
  </w:p>
  <w:p w14:paraId="56D0AABF" w14:textId="77777777" w:rsidR="004A2CD8" w:rsidRDefault="00081332">
    <w:pPr>
      <w:pStyle w:val="Encabezado"/>
    </w:pPr>
  </w:p>
  <w:p w14:paraId="1E33565A" w14:textId="77777777" w:rsidR="004A2CD8" w:rsidRDefault="00081332">
    <w:pPr>
      <w:pStyle w:val="Encabezado"/>
    </w:pPr>
  </w:p>
  <w:p w14:paraId="328482ED" w14:textId="77777777" w:rsidR="004A2CD8" w:rsidRDefault="00081332">
    <w:pPr>
      <w:pStyle w:val="Encabezado"/>
    </w:pPr>
  </w:p>
  <w:p w14:paraId="209F9BD6" w14:textId="77777777" w:rsidR="004A2CD8" w:rsidRDefault="00081332">
    <w:pPr>
      <w:pStyle w:val="Encabezado"/>
    </w:pPr>
  </w:p>
  <w:p w14:paraId="262A1D23" w14:textId="77777777" w:rsidR="004A2CD8" w:rsidRDefault="00081332">
    <w:pPr>
      <w:pStyle w:val="Encabezado"/>
    </w:pPr>
  </w:p>
  <w:p w14:paraId="38AC8AA0" w14:textId="77777777" w:rsidR="004A2CD8" w:rsidRDefault="00081332">
    <w:pPr>
      <w:pStyle w:val="Encabezado"/>
    </w:pPr>
  </w:p>
  <w:p w14:paraId="4E4EFDD5" w14:textId="77777777" w:rsidR="004A2CD8" w:rsidRDefault="00081332">
    <w:pPr>
      <w:pStyle w:val="Encabezado"/>
    </w:pPr>
  </w:p>
  <w:p w14:paraId="476CA8D3" w14:textId="77777777" w:rsidR="004A2CD8" w:rsidRPr="001306DF" w:rsidRDefault="00081332" w:rsidP="004A2CD8">
    <w:pPr>
      <w:pStyle w:val="Encabezado"/>
      <w:spacing w:line="360" w:lineRule="auto"/>
      <w:jc w:val="center"/>
      <w:rPr>
        <w:rFonts w:ascii="Aparajita" w:hAnsi="Aparajita" w:cs="Aparajita"/>
        <w:b/>
        <w:smallCaps/>
        <w:color w:val="404040" w:themeColor="text1" w:themeTint="BF"/>
        <w:sz w:val="52"/>
        <w:szCs w:val="50"/>
      </w:rPr>
    </w:pPr>
  </w:p>
  <w:p w14:paraId="2E957554" w14:textId="77777777" w:rsidR="004A2CD8" w:rsidRDefault="000813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26089" w14:textId="77777777" w:rsidR="004A2CD8" w:rsidRDefault="00081332">
    <w:pPr>
      <w:pStyle w:val="Encabezado"/>
    </w:pPr>
  </w:p>
  <w:p w14:paraId="257E674D" w14:textId="77777777" w:rsidR="004A2CD8" w:rsidRDefault="00081332">
    <w:pPr>
      <w:pStyle w:val="Encabezado"/>
    </w:pPr>
  </w:p>
  <w:p w14:paraId="7D4DAE70" w14:textId="77777777" w:rsidR="004A2CD8" w:rsidRDefault="00081332">
    <w:pPr>
      <w:pStyle w:val="Encabezado"/>
    </w:pPr>
  </w:p>
  <w:p w14:paraId="282A0B1B" w14:textId="77777777" w:rsidR="004A2CD8" w:rsidRPr="00FD5321" w:rsidRDefault="00081332">
    <w:pPr>
      <w:pStyle w:val="Encabezado"/>
    </w:pPr>
  </w:p>
  <w:p w14:paraId="6FF8CD91" w14:textId="77777777" w:rsidR="004A2CD8" w:rsidRPr="00FD5321" w:rsidRDefault="00081332">
    <w:pPr>
      <w:pStyle w:val="Encabezado"/>
    </w:pPr>
  </w:p>
  <w:p w14:paraId="36F32DCF" w14:textId="77777777" w:rsidR="004A2CD8" w:rsidRPr="00FD5321" w:rsidRDefault="00081332">
    <w:pPr>
      <w:pStyle w:val="Encabezado"/>
    </w:pPr>
  </w:p>
  <w:p w14:paraId="2A313B09" w14:textId="77777777" w:rsidR="004A2CD8" w:rsidRPr="00FD5321" w:rsidRDefault="00081332">
    <w:pPr>
      <w:pStyle w:val="Encabezado"/>
    </w:pPr>
  </w:p>
  <w:p w14:paraId="3DB2A422" w14:textId="77777777" w:rsidR="004A2CD8" w:rsidRPr="00FD5321" w:rsidRDefault="00081332">
    <w:pPr>
      <w:pStyle w:val="Encabezado"/>
    </w:pPr>
  </w:p>
  <w:p w14:paraId="094F7A5B" w14:textId="77777777" w:rsidR="004A2CD8" w:rsidRPr="00FD5321" w:rsidRDefault="00081332">
    <w:pPr>
      <w:pStyle w:val="Encabezado"/>
    </w:pPr>
  </w:p>
  <w:p w14:paraId="4915ABE8" w14:textId="77777777" w:rsidR="004A2CD8" w:rsidRPr="00FD5321" w:rsidRDefault="00081332" w:rsidP="004A2CD8">
    <w:pPr>
      <w:pStyle w:val="Encabezado"/>
      <w:spacing w:line="360" w:lineRule="auto"/>
      <w:jc w:val="right"/>
      <w:rPr>
        <w:b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0EC"/>
    <w:rsid w:val="00081332"/>
    <w:rsid w:val="00124468"/>
    <w:rsid w:val="001F00EC"/>
    <w:rsid w:val="00443C2F"/>
    <w:rsid w:val="004A5B10"/>
    <w:rsid w:val="00545B71"/>
    <w:rsid w:val="00545FB3"/>
    <w:rsid w:val="0082699C"/>
    <w:rsid w:val="00850A43"/>
    <w:rsid w:val="00AA1229"/>
    <w:rsid w:val="00C25449"/>
    <w:rsid w:val="00C4769A"/>
    <w:rsid w:val="00D369DA"/>
    <w:rsid w:val="00D75882"/>
    <w:rsid w:val="00EF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B7E127"/>
  <w15:chartTrackingRefBased/>
  <w15:docId w15:val="{D52881D5-22FE-4529-B9B8-60F64817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0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1F00E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00E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semiHidden/>
    <w:rsid w:val="001F00EC"/>
  </w:style>
  <w:style w:type="paragraph" w:styleId="Encabezado">
    <w:name w:val="header"/>
    <w:basedOn w:val="Normal"/>
    <w:link w:val="EncabezadoCar"/>
    <w:uiPriority w:val="99"/>
    <w:unhideWhenUsed/>
    <w:rsid w:val="001F00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00E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1F00EC"/>
    <w:pPr>
      <w:jc w:val="center"/>
    </w:pPr>
    <w:rPr>
      <w:rFonts w:ascii="Arial" w:hAnsi="Arial"/>
      <w:b/>
      <w:lang w:val="es-ES"/>
    </w:rPr>
  </w:style>
  <w:style w:type="character" w:customStyle="1" w:styleId="TtuloCar">
    <w:name w:val="Título Car"/>
    <w:basedOn w:val="Fuentedeprrafopredeter"/>
    <w:link w:val="Ttulo"/>
    <w:rsid w:val="001F00EC"/>
    <w:rPr>
      <w:rFonts w:ascii="Arial" w:eastAsia="Times New Roman" w:hAnsi="Arial" w:cs="Times New Roman"/>
      <w:b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1F00EC"/>
    <w:pPr>
      <w:spacing w:after="120"/>
      <w:ind w:left="283"/>
    </w:pPr>
    <w:rPr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1F00E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1F00E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3C2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C2F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19A1-94BB-4A76-824F-75208EA5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1054</Words>
  <Characters>5803</Characters>
  <Application>Microsoft Office Word</Application>
  <DocSecurity>0</DocSecurity>
  <Lines>48</Lines>
  <Paragraphs>13</Paragraphs>
  <ScaleCrop>false</ScaleCrop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Roldan Urday Pavel Liwen</dc:creator>
  <cp:keywords/>
  <dc:description/>
  <cp:lastModifiedBy>Soto Zevallos Luis Enrique</cp:lastModifiedBy>
  <cp:revision>2</cp:revision>
  <cp:lastPrinted>2021-07-22T18:05:00Z</cp:lastPrinted>
  <dcterms:created xsi:type="dcterms:W3CDTF">2021-08-05T04:56:00Z</dcterms:created>
  <dcterms:modified xsi:type="dcterms:W3CDTF">2021-08-05T04:56:00Z</dcterms:modified>
</cp:coreProperties>
</file>