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764C2" w14:textId="3CBE2D69" w:rsidR="00124AB9" w:rsidRPr="00300A11" w:rsidRDefault="00127D85" w:rsidP="00981EEA">
      <w:pPr>
        <w:pStyle w:val="Ttulo5"/>
        <w:jc w:val="center"/>
        <w:rPr>
          <w:rFonts w:cs="Arial"/>
          <w:color w:val="000000" w:themeColor="text1"/>
          <w:sz w:val="22"/>
          <w:szCs w:val="22"/>
        </w:rPr>
      </w:pPr>
      <w:bookmarkStart w:id="0" w:name="_GoBack"/>
      <w:bookmarkEnd w:id="0"/>
      <w:r w:rsidRPr="00300A11">
        <w:rPr>
          <w:rFonts w:cs="Arial"/>
          <w:color w:val="000000" w:themeColor="text1"/>
          <w:sz w:val="22"/>
          <w:szCs w:val="22"/>
        </w:rPr>
        <w:t xml:space="preserve">N.°    </w:t>
      </w:r>
      <w:r w:rsidR="001B6775" w:rsidRPr="00300A11">
        <w:rPr>
          <w:rFonts w:cs="Arial"/>
          <w:color w:val="000000" w:themeColor="text1"/>
          <w:sz w:val="22"/>
          <w:szCs w:val="22"/>
        </w:rPr>
        <w:t xml:space="preserve">   </w:t>
      </w:r>
      <w:r w:rsidRPr="00300A11">
        <w:rPr>
          <w:rFonts w:cs="Arial"/>
          <w:color w:val="000000" w:themeColor="text1"/>
          <w:sz w:val="22"/>
          <w:szCs w:val="22"/>
        </w:rPr>
        <w:t xml:space="preserve">   </w:t>
      </w:r>
      <w:r w:rsidR="008F66D4" w:rsidRPr="00300A11">
        <w:rPr>
          <w:rFonts w:cs="Arial"/>
          <w:color w:val="000000" w:themeColor="text1"/>
          <w:sz w:val="22"/>
          <w:szCs w:val="22"/>
        </w:rPr>
        <w:t xml:space="preserve"> </w:t>
      </w:r>
      <w:r w:rsidRPr="00300A11">
        <w:rPr>
          <w:rFonts w:cs="Arial"/>
          <w:color w:val="000000" w:themeColor="text1"/>
          <w:sz w:val="22"/>
          <w:szCs w:val="22"/>
        </w:rPr>
        <w:t xml:space="preserve">      -20</w:t>
      </w:r>
      <w:r w:rsidR="0000225D" w:rsidRPr="00300A11">
        <w:rPr>
          <w:rFonts w:cs="Arial"/>
          <w:color w:val="000000" w:themeColor="text1"/>
          <w:sz w:val="22"/>
          <w:szCs w:val="22"/>
        </w:rPr>
        <w:t>2</w:t>
      </w:r>
      <w:r w:rsidR="00B16367" w:rsidRPr="00300A11">
        <w:rPr>
          <w:rFonts w:cs="Arial"/>
          <w:color w:val="000000" w:themeColor="text1"/>
          <w:sz w:val="22"/>
          <w:szCs w:val="22"/>
        </w:rPr>
        <w:t>1</w:t>
      </w:r>
      <w:r w:rsidR="00124AB9" w:rsidRPr="00300A11">
        <w:rPr>
          <w:rFonts w:cs="Arial"/>
          <w:color w:val="000000" w:themeColor="text1"/>
          <w:sz w:val="22"/>
          <w:szCs w:val="22"/>
        </w:rPr>
        <w:t>/SUNAT</w:t>
      </w:r>
    </w:p>
    <w:p w14:paraId="5E08BD59" w14:textId="77777777" w:rsidR="009B3A84" w:rsidRPr="00300A11" w:rsidRDefault="009B3A84" w:rsidP="009B3A84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s-PE"/>
        </w:rPr>
      </w:pPr>
    </w:p>
    <w:p w14:paraId="1054FAAB" w14:textId="77777777" w:rsidR="009B3A84" w:rsidRPr="00300A11" w:rsidRDefault="009B3A84" w:rsidP="009B3A84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s-PE"/>
        </w:rPr>
      </w:pPr>
    </w:p>
    <w:p w14:paraId="272124D9" w14:textId="4EF34CBF" w:rsidR="009B3A84" w:rsidRPr="00300A11" w:rsidRDefault="00E14DD4" w:rsidP="009B3A84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b/>
          <w:color w:val="000000" w:themeColor="text1"/>
          <w:sz w:val="22"/>
          <w:szCs w:val="22"/>
          <w:lang w:val="es-PE"/>
        </w:rPr>
        <w:t xml:space="preserve">PROYECTO DE RESOLUCIÓN DE SUPERINTENDENCIA QUE </w:t>
      </w:r>
      <w:r w:rsidR="009B3A84" w:rsidRPr="00300A11">
        <w:rPr>
          <w:rFonts w:ascii="Arial" w:hAnsi="Arial" w:cs="Arial"/>
          <w:b/>
          <w:color w:val="000000" w:themeColor="text1"/>
          <w:sz w:val="22"/>
          <w:szCs w:val="22"/>
          <w:lang w:val="es-PE"/>
        </w:rPr>
        <w:t>MODIFICA</w:t>
      </w:r>
      <w:r w:rsidRPr="00300A11">
        <w:rPr>
          <w:rFonts w:ascii="Arial" w:hAnsi="Arial" w:cs="Arial"/>
          <w:b/>
          <w:color w:val="000000" w:themeColor="text1"/>
          <w:sz w:val="22"/>
          <w:szCs w:val="22"/>
          <w:lang w:val="es-PE"/>
        </w:rPr>
        <w:t xml:space="preserve"> EL</w:t>
      </w:r>
      <w:r w:rsidR="009B3A84" w:rsidRPr="00300A11">
        <w:rPr>
          <w:rFonts w:ascii="Arial" w:hAnsi="Arial" w:cs="Arial"/>
          <w:b/>
          <w:color w:val="000000" w:themeColor="text1"/>
          <w:sz w:val="22"/>
          <w:szCs w:val="22"/>
          <w:lang w:val="es-PE"/>
        </w:rPr>
        <w:t xml:space="preserve"> REGLAMENTO DEL RÉGIMEN DE GRADUALIDAD APLICABLE A LA INFRACCIÓN TIPIFICADA EN EL NUMERAL 1 DEL ARTÍCULO 176 DEL CÓDIGO TRIBUTARIO</w:t>
      </w:r>
    </w:p>
    <w:p w14:paraId="3D8F718C" w14:textId="77777777" w:rsidR="009B3A84" w:rsidRPr="00300A11" w:rsidRDefault="009B3A84" w:rsidP="009B3A84">
      <w:pPr>
        <w:jc w:val="center"/>
        <w:rPr>
          <w:rFonts w:ascii="Arial" w:hAnsi="Arial" w:cs="Arial"/>
          <w:color w:val="000000" w:themeColor="text1"/>
          <w:sz w:val="22"/>
          <w:szCs w:val="22"/>
          <w:lang w:val="es-PE"/>
        </w:rPr>
      </w:pPr>
    </w:p>
    <w:p w14:paraId="4303E419" w14:textId="77777777" w:rsidR="009B3A84" w:rsidRPr="00300A11" w:rsidRDefault="009B3A84" w:rsidP="009B3A84">
      <w:pPr>
        <w:jc w:val="center"/>
        <w:rPr>
          <w:rFonts w:ascii="Arial" w:hAnsi="Arial" w:cs="Arial"/>
          <w:color w:val="000000" w:themeColor="text1"/>
          <w:sz w:val="22"/>
          <w:szCs w:val="22"/>
          <w:lang w:val="es-PE"/>
        </w:rPr>
      </w:pPr>
    </w:p>
    <w:p w14:paraId="07525D91" w14:textId="77777777" w:rsidR="009B3A84" w:rsidRPr="00300A11" w:rsidRDefault="009B3A84" w:rsidP="009B3A8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Lima, </w:t>
      </w:r>
    </w:p>
    <w:p w14:paraId="7DDC25EA" w14:textId="77777777" w:rsidR="009B3A84" w:rsidRPr="00300A11" w:rsidRDefault="009B3A84" w:rsidP="009B3A8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1A78297" w14:textId="77777777" w:rsidR="009B3A84" w:rsidRPr="00300A11" w:rsidRDefault="009B3A84" w:rsidP="009B3A84">
      <w:pPr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b/>
          <w:bCs/>
          <w:color w:val="000000" w:themeColor="text1"/>
          <w:sz w:val="22"/>
          <w:szCs w:val="22"/>
        </w:rPr>
        <w:t>CONSIDERANDO:</w:t>
      </w:r>
    </w:p>
    <w:p w14:paraId="124982A5" w14:textId="77777777" w:rsidR="009B3A84" w:rsidRPr="00300A11" w:rsidRDefault="009B3A84" w:rsidP="009B3A84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ACCAE6" w14:textId="30FE89FE" w:rsidR="00256984" w:rsidRPr="00300A11" w:rsidRDefault="00256984" w:rsidP="00256984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Que</w:t>
      </w:r>
      <w:r w:rsidR="002279DD" w:rsidRPr="00300A11">
        <w:rPr>
          <w:rFonts w:ascii="Arial" w:hAnsi="Arial" w:cs="Arial"/>
          <w:color w:val="000000" w:themeColor="text1"/>
          <w:sz w:val="22"/>
          <w:szCs w:val="22"/>
        </w:rPr>
        <w:t>,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 conforme a las Tablas I y II de Infracciones y Sanciones del Código Tributario corresponde aplicar la sanción de multa, tratándose de la infracción tipificada en el numeral 1 del artículo 176 del citado Código, referida a la no presentación de la declaración que contenga la determinación de la obligación tributaria dentro del plazo establecido; </w:t>
      </w:r>
    </w:p>
    <w:p w14:paraId="64F09DE3" w14:textId="77777777" w:rsidR="00256984" w:rsidRPr="00300A11" w:rsidRDefault="00256984" w:rsidP="00256984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E6007A" w14:textId="78DB9FF5" w:rsidR="00256984" w:rsidRPr="00300A11" w:rsidRDefault="00256984" w:rsidP="00256984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Que mediante </w:t>
      </w:r>
      <w:r w:rsidRPr="00300A11">
        <w:rPr>
          <w:rFonts w:ascii="Arial" w:hAnsi="Arial" w:cs="Arial"/>
          <w:sz w:val="22"/>
          <w:szCs w:val="22"/>
        </w:rPr>
        <w:t>la Resolución de Superintendencia N.° 063-2007/SUNAT se aprueba el Reglamento del Régimen de Gradualidad aplicable a las infracciones del Código Tributario, que gradúa, entre otras sanciones, la multa a que se refiere el considerando anterior;</w:t>
      </w:r>
    </w:p>
    <w:p w14:paraId="7BAD418D" w14:textId="77777777" w:rsidR="00256984" w:rsidRPr="00300A11" w:rsidRDefault="00256984" w:rsidP="00256984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980E703" w14:textId="25493279" w:rsidR="00256984" w:rsidRPr="00300A11" w:rsidRDefault="00256984" w:rsidP="0025698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00A11">
        <w:rPr>
          <w:rFonts w:ascii="Arial" w:hAnsi="Arial" w:cs="Arial"/>
          <w:sz w:val="22"/>
          <w:szCs w:val="22"/>
        </w:rPr>
        <w:t xml:space="preserve">Que resulta conveniente modificar el </w:t>
      </w:r>
      <w:r w:rsidR="002279DD" w:rsidRPr="00300A11">
        <w:rPr>
          <w:rFonts w:ascii="Arial" w:hAnsi="Arial" w:cs="Arial"/>
          <w:sz w:val="22"/>
          <w:szCs w:val="22"/>
        </w:rPr>
        <w:t xml:space="preserve">citado </w:t>
      </w:r>
      <w:r w:rsidRPr="00300A11">
        <w:rPr>
          <w:rFonts w:ascii="Arial" w:hAnsi="Arial" w:cs="Arial"/>
          <w:sz w:val="22"/>
          <w:szCs w:val="22"/>
        </w:rPr>
        <w:t>Reglamento, en lo relativo a la sanción antes mencionada, para incentivar a l</w:t>
      </w:r>
      <w:r w:rsidR="002812D1" w:rsidRPr="00300A11">
        <w:rPr>
          <w:rFonts w:ascii="Arial" w:hAnsi="Arial" w:cs="Arial"/>
          <w:sz w:val="22"/>
          <w:szCs w:val="22"/>
        </w:rPr>
        <w:t xml:space="preserve">os deudores tributarios comprendidos en el </w:t>
      </w:r>
      <w:r w:rsidRPr="00300A11">
        <w:rPr>
          <w:rFonts w:ascii="Arial" w:hAnsi="Arial" w:cs="Arial"/>
          <w:sz w:val="22"/>
          <w:szCs w:val="22"/>
        </w:rPr>
        <w:t>Régimen General del Impuesto a la Renta</w:t>
      </w:r>
      <w:r w:rsidR="002812D1" w:rsidRPr="00300A11">
        <w:rPr>
          <w:rFonts w:ascii="Arial" w:hAnsi="Arial" w:cs="Arial"/>
          <w:sz w:val="22"/>
          <w:szCs w:val="22"/>
        </w:rPr>
        <w:t xml:space="preserve"> o en </w:t>
      </w:r>
      <w:r w:rsidRPr="00300A11">
        <w:rPr>
          <w:rFonts w:ascii="Arial" w:hAnsi="Arial" w:cs="Arial"/>
          <w:sz w:val="22"/>
          <w:szCs w:val="22"/>
        </w:rPr>
        <w:t>el Régimen MYPE Tributario</w:t>
      </w:r>
      <w:r w:rsidR="002279DD" w:rsidRPr="00300A11">
        <w:rPr>
          <w:rFonts w:ascii="Arial" w:hAnsi="Arial" w:cs="Arial"/>
          <w:sz w:val="22"/>
          <w:szCs w:val="22"/>
        </w:rPr>
        <w:t>,</w:t>
      </w:r>
      <w:r w:rsidRPr="00300A11">
        <w:rPr>
          <w:rFonts w:ascii="Arial" w:hAnsi="Arial" w:cs="Arial"/>
          <w:sz w:val="22"/>
          <w:szCs w:val="22"/>
        </w:rPr>
        <w:t xml:space="preserve"> </w:t>
      </w:r>
      <w:r w:rsidR="002812D1" w:rsidRPr="00300A11">
        <w:rPr>
          <w:rFonts w:ascii="Arial" w:hAnsi="Arial" w:cs="Arial"/>
          <w:sz w:val="22"/>
          <w:szCs w:val="22"/>
        </w:rPr>
        <w:t xml:space="preserve">o acogidos al </w:t>
      </w:r>
      <w:r w:rsidRPr="00300A11">
        <w:rPr>
          <w:rFonts w:ascii="Arial" w:hAnsi="Arial" w:cs="Arial"/>
          <w:sz w:val="22"/>
          <w:szCs w:val="22"/>
        </w:rPr>
        <w:t xml:space="preserve"> Régimen Especial del Impuesto a la Renta cuyos ingresos </w:t>
      </w:r>
      <w:r w:rsidR="001F2F50" w:rsidRPr="00300A11">
        <w:rPr>
          <w:rFonts w:ascii="Arial" w:hAnsi="Arial" w:cs="Arial"/>
          <w:sz w:val="22"/>
          <w:szCs w:val="22"/>
        </w:rPr>
        <w:t xml:space="preserve">netos </w:t>
      </w:r>
      <w:r w:rsidRPr="00300A11">
        <w:rPr>
          <w:rFonts w:ascii="Arial" w:hAnsi="Arial" w:cs="Arial"/>
          <w:sz w:val="22"/>
          <w:szCs w:val="22"/>
        </w:rPr>
        <w:t xml:space="preserve">anuales </w:t>
      </w:r>
      <w:r w:rsidR="002812D1" w:rsidRPr="00300A11">
        <w:rPr>
          <w:rFonts w:ascii="Arial" w:hAnsi="Arial" w:cs="Arial"/>
          <w:sz w:val="22"/>
          <w:szCs w:val="22"/>
        </w:rPr>
        <w:t>no superen las</w:t>
      </w:r>
      <w:r w:rsidRPr="00300A11">
        <w:rPr>
          <w:rFonts w:ascii="Arial" w:hAnsi="Arial" w:cs="Arial"/>
          <w:sz w:val="22"/>
          <w:szCs w:val="22"/>
        </w:rPr>
        <w:t xml:space="preserve"> ciento cincuenta (150) Unidades Impositivas tributarias que sean omisos a la presentación de la declaración tributaria que contiene la determinación de la obligación tributaria, a </w:t>
      </w:r>
      <w:r w:rsidR="00AF633E" w:rsidRPr="00300A11">
        <w:rPr>
          <w:rFonts w:ascii="Arial" w:hAnsi="Arial" w:cs="Arial"/>
          <w:sz w:val="22"/>
          <w:szCs w:val="22"/>
        </w:rPr>
        <w:t xml:space="preserve">que cumplan con dicha obligación a </w:t>
      </w:r>
      <w:r w:rsidRPr="00300A11">
        <w:rPr>
          <w:rFonts w:ascii="Arial" w:hAnsi="Arial" w:cs="Arial"/>
          <w:sz w:val="22"/>
          <w:szCs w:val="22"/>
        </w:rPr>
        <w:t xml:space="preserve">fin de que la administración tributaria cuente con información </w:t>
      </w:r>
      <w:r w:rsidR="002812D1" w:rsidRPr="00300A11">
        <w:rPr>
          <w:rFonts w:ascii="Arial" w:hAnsi="Arial" w:cs="Arial"/>
          <w:sz w:val="22"/>
          <w:szCs w:val="22"/>
        </w:rPr>
        <w:t xml:space="preserve">para el ejercicio de </w:t>
      </w:r>
      <w:r w:rsidR="002279DD" w:rsidRPr="00300A11">
        <w:rPr>
          <w:rFonts w:ascii="Arial" w:hAnsi="Arial" w:cs="Arial"/>
          <w:sz w:val="22"/>
          <w:szCs w:val="22"/>
        </w:rPr>
        <w:t>sus</w:t>
      </w:r>
      <w:r w:rsidR="002812D1" w:rsidRPr="00300A11">
        <w:rPr>
          <w:rFonts w:ascii="Arial" w:hAnsi="Arial" w:cs="Arial"/>
          <w:sz w:val="22"/>
          <w:szCs w:val="22"/>
        </w:rPr>
        <w:t xml:space="preserve"> funciones;</w:t>
      </w:r>
    </w:p>
    <w:p w14:paraId="19BD44A5" w14:textId="77777777" w:rsidR="00256984" w:rsidRPr="00300A11" w:rsidRDefault="00256984" w:rsidP="009B3A84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592725A" w14:textId="30D8EA30" w:rsidR="009B3A84" w:rsidRPr="00300A11" w:rsidRDefault="009B3A84" w:rsidP="009B3A84">
      <w:pPr>
        <w:pStyle w:val="Default"/>
        <w:jc w:val="both"/>
        <w:rPr>
          <w:color w:val="000000" w:themeColor="text1"/>
          <w:sz w:val="22"/>
          <w:szCs w:val="22"/>
        </w:rPr>
      </w:pPr>
      <w:r w:rsidRPr="00300A11">
        <w:rPr>
          <w:color w:val="000000" w:themeColor="text1"/>
          <w:sz w:val="22"/>
          <w:szCs w:val="22"/>
        </w:rPr>
        <w:t xml:space="preserve">En uso de las facultades conferidas por </w:t>
      </w:r>
      <w:r w:rsidR="00976B04" w:rsidRPr="00300A11">
        <w:rPr>
          <w:color w:val="000000" w:themeColor="text1"/>
          <w:sz w:val="22"/>
          <w:szCs w:val="22"/>
        </w:rPr>
        <w:t>e</w:t>
      </w:r>
      <w:r w:rsidRPr="00300A11">
        <w:rPr>
          <w:color w:val="000000" w:themeColor="text1"/>
          <w:sz w:val="22"/>
          <w:szCs w:val="22"/>
        </w:rPr>
        <w:t>l artículo 166 del Código Tributario, aprobado por el Decreto Legislativo N.° 816, cuyo último Texto Único Ordenado ha sido aprobado por el Decreto Supremo N.° 133-2013-EF;</w:t>
      </w:r>
      <w:r w:rsidRPr="00300A11">
        <w:rPr>
          <w:bCs/>
          <w:color w:val="000000" w:themeColor="text1"/>
          <w:sz w:val="22"/>
          <w:szCs w:val="22"/>
          <w:lang w:val="es-PE"/>
        </w:rPr>
        <w:t xml:space="preserve"> </w:t>
      </w:r>
      <w:r w:rsidRPr="00300A11">
        <w:rPr>
          <w:color w:val="000000" w:themeColor="text1"/>
          <w:sz w:val="22"/>
          <w:szCs w:val="22"/>
        </w:rPr>
        <w:t xml:space="preserve">el artículo 11 del Decreto Legislativo N.° 501, Ley General de la SUNAT; el artículo 5 de la Ley N.° 29816, Ley de Fortalecimiento de la SUNAT, y </w:t>
      </w:r>
      <w:r w:rsidRPr="00300A11">
        <w:rPr>
          <w:bCs/>
          <w:color w:val="000000" w:themeColor="text1"/>
          <w:sz w:val="22"/>
          <w:szCs w:val="22"/>
          <w:lang w:val="es-PE"/>
        </w:rPr>
        <w:t>el inciso o) del artículo 8 del Reglamento de Organización y Funciones de la SUNAT, aprobado por Resolución de Superintendencia N.° 122-2014/SUNAT</w:t>
      </w:r>
      <w:r w:rsidRPr="00300A11">
        <w:rPr>
          <w:color w:val="000000" w:themeColor="text1"/>
          <w:sz w:val="22"/>
          <w:szCs w:val="22"/>
        </w:rPr>
        <w:t>;</w:t>
      </w:r>
    </w:p>
    <w:p w14:paraId="78FC9B56" w14:textId="77777777" w:rsidR="00056027" w:rsidRPr="00300A11" w:rsidRDefault="00056027" w:rsidP="00981EEA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B5B80A7" w14:textId="32E792EF" w:rsidR="00A21270" w:rsidRPr="00300A11" w:rsidRDefault="00EC355A" w:rsidP="00981EEA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b/>
          <w:bCs/>
          <w:color w:val="000000" w:themeColor="text1"/>
          <w:sz w:val="22"/>
          <w:szCs w:val="22"/>
        </w:rPr>
        <w:t>SE RESUELVE:</w:t>
      </w:r>
    </w:p>
    <w:p w14:paraId="697E194E" w14:textId="77777777" w:rsidR="00056027" w:rsidRPr="00300A11" w:rsidRDefault="00056027" w:rsidP="00981EEA">
      <w:pPr>
        <w:tabs>
          <w:tab w:val="left" w:pos="709"/>
        </w:tabs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BEF37EF" w14:textId="1329B21A" w:rsidR="00C337CD" w:rsidRPr="00300A11" w:rsidRDefault="00D61A77" w:rsidP="00981EEA">
      <w:pPr>
        <w:tabs>
          <w:tab w:val="left" w:pos="709"/>
        </w:tabs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Artículo 1. </w:t>
      </w:r>
      <w:r w:rsidR="00936E14" w:rsidRPr="00300A11">
        <w:rPr>
          <w:rFonts w:ascii="Arial" w:hAnsi="Arial" w:cs="Arial"/>
          <w:b/>
          <w:bCs/>
          <w:color w:val="000000" w:themeColor="text1"/>
          <w:sz w:val="22"/>
          <w:szCs w:val="22"/>
        </w:rPr>
        <w:t>Definición</w:t>
      </w:r>
    </w:p>
    <w:p w14:paraId="41A25668" w14:textId="0BD99ECA" w:rsidR="00936E14" w:rsidRPr="00300A11" w:rsidRDefault="00936E14" w:rsidP="00981EEA">
      <w:pPr>
        <w:tabs>
          <w:tab w:val="left" w:pos="709"/>
        </w:tabs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6AD580A" w14:textId="2614A3B4" w:rsidR="00936E14" w:rsidRPr="00300A11" w:rsidRDefault="00936E14" w:rsidP="00981EEA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Para efecto de esta resolución, se entiende por “Reglamento” al Reglamento del Régimen de Gradualidad aplicable a las infracciones del Código Tributario, aprobado por la Resolución de Superintendencia N.° 063-2007/SUNAT.</w:t>
      </w:r>
    </w:p>
    <w:p w14:paraId="00D8E7FE" w14:textId="1C48A636" w:rsidR="00E003C7" w:rsidRPr="00300A11" w:rsidRDefault="00E003C7" w:rsidP="00981EEA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DE1C13" w14:textId="77777777" w:rsidR="00E003C7" w:rsidRPr="00300A11" w:rsidRDefault="00E003C7" w:rsidP="00E003C7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300A11">
        <w:rPr>
          <w:rFonts w:ascii="Arial" w:hAnsi="Arial" w:cs="Arial"/>
          <w:b/>
          <w:sz w:val="22"/>
          <w:szCs w:val="22"/>
        </w:rPr>
        <w:t>Artículo 2. Objeto</w:t>
      </w:r>
    </w:p>
    <w:p w14:paraId="24E7CEC9" w14:textId="77777777" w:rsidR="00E003C7" w:rsidRPr="00300A11" w:rsidRDefault="00E003C7" w:rsidP="00E003C7">
      <w:pPr>
        <w:ind w:firstLine="567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BF4AC3D" w14:textId="324AC210" w:rsidR="00E003C7" w:rsidRPr="00300A11" w:rsidRDefault="00E003C7" w:rsidP="00E003C7">
      <w:pPr>
        <w:tabs>
          <w:tab w:val="left" w:pos="284"/>
          <w:tab w:val="left" w:pos="709"/>
          <w:tab w:val="left" w:pos="851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231F20"/>
          <w:sz w:val="22"/>
          <w:szCs w:val="22"/>
        </w:rPr>
        <w:t xml:space="preserve">La presente resolución tiene por objeto </w:t>
      </w:r>
      <w:r w:rsidR="00E14DD4" w:rsidRPr="00300A11">
        <w:rPr>
          <w:rFonts w:ascii="Arial" w:hAnsi="Arial" w:cs="Arial"/>
          <w:color w:val="231F20"/>
          <w:sz w:val="22"/>
          <w:szCs w:val="22"/>
        </w:rPr>
        <w:t>modificar la</w:t>
      </w:r>
      <w:r w:rsidRPr="00300A11">
        <w:rPr>
          <w:rFonts w:ascii="Arial" w:hAnsi="Arial" w:cs="Arial"/>
          <w:color w:val="231F20"/>
          <w:sz w:val="22"/>
          <w:szCs w:val="22"/>
        </w:rPr>
        <w:t xml:space="preserve"> gradualidad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aplicable a la infracción tipificada en el numeral 1 del artículo 176 del Código Tributario </w:t>
      </w:r>
      <w:r w:rsidR="00E14DD4" w:rsidRPr="00300A11">
        <w:rPr>
          <w:rFonts w:ascii="Arial" w:hAnsi="Arial" w:cs="Arial"/>
          <w:color w:val="000000" w:themeColor="text1"/>
          <w:sz w:val="22"/>
          <w:szCs w:val="22"/>
        </w:rPr>
        <w:t xml:space="preserve">en el caso de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aquellos deudores tributarios </w:t>
      </w:r>
      <w:r w:rsidR="003C4AB3" w:rsidRPr="00300A11">
        <w:rPr>
          <w:rFonts w:ascii="Arial" w:hAnsi="Arial" w:cs="Arial"/>
          <w:color w:val="000000" w:themeColor="text1"/>
          <w:sz w:val="22"/>
          <w:szCs w:val="22"/>
        </w:rPr>
        <w:t>comprendidos en el Régimen General del Impuesto a la Renta o Régimen MYPE Tributario</w:t>
      </w:r>
      <w:r w:rsidR="00B94CD7" w:rsidRPr="00300A11">
        <w:rPr>
          <w:rFonts w:ascii="Arial" w:hAnsi="Arial" w:cs="Arial"/>
          <w:color w:val="000000" w:themeColor="text1"/>
          <w:sz w:val="22"/>
          <w:szCs w:val="22"/>
        </w:rPr>
        <w:t>,</w:t>
      </w:r>
      <w:r w:rsidR="003C4AB3" w:rsidRPr="00300A11">
        <w:rPr>
          <w:rFonts w:ascii="Arial" w:hAnsi="Arial" w:cs="Arial"/>
          <w:color w:val="000000" w:themeColor="text1"/>
          <w:sz w:val="22"/>
          <w:szCs w:val="22"/>
        </w:rPr>
        <w:t xml:space="preserve"> o acogido</w:t>
      </w:r>
      <w:r w:rsidR="00FA7566" w:rsidRPr="00300A11">
        <w:rPr>
          <w:rFonts w:ascii="Arial" w:hAnsi="Arial" w:cs="Arial"/>
          <w:color w:val="000000" w:themeColor="text1"/>
          <w:sz w:val="22"/>
          <w:szCs w:val="22"/>
        </w:rPr>
        <w:t>s al Régimen Especial del Impuesto a la Renta</w:t>
      </w:r>
      <w:r w:rsidR="00B94CD7" w:rsidRPr="00300A11">
        <w:rPr>
          <w:rFonts w:ascii="Arial" w:hAnsi="Arial" w:cs="Arial"/>
          <w:color w:val="000000" w:themeColor="text1"/>
          <w:sz w:val="22"/>
          <w:szCs w:val="22"/>
        </w:rPr>
        <w:t>,</w:t>
      </w:r>
      <w:r w:rsidR="00FA7566"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cuyos ingresos </w:t>
      </w:r>
      <w:r w:rsidR="00FA7566" w:rsidRPr="00300A11">
        <w:rPr>
          <w:rFonts w:ascii="Arial" w:hAnsi="Arial" w:cs="Arial"/>
          <w:color w:val="000000" w:themeColor="text1"/>
          <w:sz w:val="22"/>
          <w:szCs w:val="22"/>
        </w:rPr>
        <w:t xml:space="preserve">netos </w:t>
      </w:r>
      <w:r w:rsidR="000965D7" w:rsidRPr="00300A11">
        <w:rPr>
          <w:rFonts w:ascii="Arial" w:hAnsi="Arial" w:cs="Arial"/>
          <w:color w:val="000000" w:themeColor="text1"/>
          <w:sz w:val="22"/>
          <w:szCs w:val="22"/>
        </w:rPr>
        <w:t>del ejercicio anterior al de</w:t>
      </w:r>
      <w:r w:rsidR="00024D08"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657F4" w:rsidRPr="00300A11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="00024D08" w:rsidRPr="00300A11">
        <w:rPr>
          <w:rFonts w:ascii="Arial" w:hAnsi="Arial" w:cs="Arial"/>
          <w:color w:val="000000" w:themeColor="text1"/>
          <w:sz w:val="22"/>
          <w:szCs w:val="22"/>
        </w:rPr>
        <w:t xml:space="preserve">declaración por la </w:t>
      </w:r>
      <w:r w:rsidR="00133072" w:rsidRPr="00300A11">
        <w:rPr>
          <w:rFonts w:ascii="Arial" w:hAnsi="Arial" w:cs="Arial"/>
          <w:color w:val="000000" w:themeColor="text1"/>
          <w:sz w:val="22"/>
          <w:szCs w:val="22"/>
        </w:rPr>
        <w:t xml:space="preserve">que </w:t>
      </w:r>
      <w:r w:rsidR="00024D08" w:rsidRPr="00300A11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="00AB2927" w:rsidRPr="00300A11">
        <w:rPr>
          <w:rFonts w:ascii="Arial" w:hAnsi="Arial" w:cs="Arial"/>
          <w:color w:val="000000" w:themeColor="text1"/>
          <w:sz w:val="22"/>
          <w:szCs w:val="22"/>
        </w:rPr>
        <w:t>incurre en</w:t>
      </w:r>
      <w:r w:rsidR="00133072" w:rsidRPr="00300A11">
        <w:rPr>
          <w:rFonts w:ascii="Arial" w:hAnsi="Arial" w:cs="Arial"/>
          <w:color w:val="000000" w:themeColor="text1"/>
          <w:sz w:val="22"/>
          <w:szCs w:val="22"/>
        </w:rPr>
        <w:t xml:space="preserve"> la referida infracción</w:t>
      </w:r>
      <w:r w:rsidR="001F2F50" w:rsidRPr="00300A11">
        <w:rPr>
          <w:rFonts w:ascii="Arial" w:hAnsi="Arial" w:cs="Arial"/>
          <w:color w:val="000000" w:themeColor="text1"/>
          <w:sz w:val="22"/>
          <w:szCs w:val="22"/>
        </w:rPr>
        <w:t>,</w:t>
      </w:r>
      <w:r w:rsidR="000965D7"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>no superen las ciento cincuenta (150) Unidades Impositivas Tributarias (UIT)</w:t>
      </w:r>
      <w:r w:rsidR="00C17C49" w:rsidRPr="00300A1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98431EE" w14:textId="77777777" w:rsidR="00383A6D" w:rsidRPr="00300A11" w:rsidRDefault="00383A6D" w:rsidP="00981EE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CA001BC" w14:textId="3E1C2A62" w:rsidR="00FF256A" w:rsidRPr="00300A11" w:rsidRDefault="00321C2F" w:rsidP="00981EE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Artículo </w:t>
      </w:r>
      <w:r w:rsidR="00E003C7" w:rsidRPr="00300A11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300A1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936E14" w:rsidRPr="00300A11">
        <w:rPr>
          <w:rFonts w:ascii="Arial" w:hAnsi="Arial" w:cs="Arial"/>
          <w:b/>
          <w:bCs/>
          <w:color w:val="000000" w:themeColor="text1"/>
          <w:sz w:val="22"/>
          <w:szCs w:val="22"/>
        </w:rPr>
        <w:t>Modificación del Reglamento</w:t>
      </w:r>
    </w:p>
    <w:p w14:paraId="016F61CB" w14:textId="77777777" w:rsidR="00FF256A" w:rsidRPr="00300A11" w:rsidRDefault="00FF256A" w:rsidP="00981EEA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5595D7C" w14:textId="625F0B1D" w:rsidR="007D51AB" w:rsidRPr="00300A11" w:rsidRDefault="007D51AB" w:rsidP="00A22D39">
      <w:pPr>
        <w:pStyle w:val="Prrafodelista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Sustitúyase el </w:t>
      </w:r>
      <w:r w:rsidR="002812D1" w:rsidRPr="00300A11">
        <w:rPr>
          <w:rFonts w:ascii="Arial" w:hAnsi="Arial" w:cs="Arial"/>
          <w:color w:val="000000" w:themeColor="text1"/>
          <w:sz w:val="22"/>
          <w:szCs w:val="22"/>
        </w:rPr>
        <w:t xml:space="preserve">inciso t) del artículo 1, el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artículo 11, el segundo párrafo del artículo 12, </w:t>
      </w:r>
      <w:r w:rsidR="00D165B0" w:rsidRPr="00300A11"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>numeral 13.5</w:t>
      </w:r>
      <w:r w:rsidR="00C92341" w:rsidRPr="00300A11">
        <w:rPr>
          <w:rFonts w:ascii="Arial" w:hAnsi="Arial" w:cs="Arial"/>
          <w:color w:val="000000" w:themeColor="text1"/>
          <w:sz w:val="22"/>
          <w:szCs w:val="22"/>
        </w:rPr>
        <w:t xml:space="preserve"> y el </w:t>
      </w:r>
      <w:r w:rsidR="00E027DE" w:rsidRPr="00300A11">
        <w:rPr>
          <w:rFonts w:ascii="Arial" w:hAnsi="Arial" w:cs="Arial"/>
          <w:color w:val="000000" w:themeColor="text1"/>
          <w:sz w:val="22"/>
          <w:szCs w:val="22"/>
        </w:rPr>
        <w:t>primer párrafo</w:t>
      </w:r>
      <w:r w:rsidR="00C92341" w:rsidRPr="00300A11">
        <w:rPr>
          <w:rFonts w:ascii="Arial" w:hAnsi="Arial" w:cs="Arial"/>
          <w:color w:val="000000" w:themeColor="text1"/>
          <w:sz w:val="22"/>
          <w:szCs w:val="22"/>
        </w:rPr>
        <w:t xml:space="preserve"> del numeral 13.7</w:t>
      </w:r>
      <w:r w:rsidR="00D165B0"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>del artículo 13</w:t>
      </w:r>
      <w:r w:rsidR="009B3A84"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>del Reglamento por los siguientes textos:</w:t>
      </w:r>
    </w:p>
    <w:p w14:paraId="161D5C55" w14:textId="733A3DA9" w:rsidR="007D51AB" w:rsidRPr="00300A11" w:rsidRDefault="007D51AB" w:rsidP="007D51AB">
      <w:pPr>
        <w:pStyle w:val="Prrafodelista"/>
        <w:tabs>
          <w:tab w:val="left" w:pos="284"/>
          <w:tab w:val="left" w:pos="709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C5C6C57" w14:textId="12B7E6B0" w:rsidR="002812D1" w:rsidRPr="00300A11" w:rsidRDefault="00737B64" w:rsidP="00A22D39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“Artículo 1.- Definiciones</w:t>
      </w:r>
    </w:p>
    <w:p w14:paraId="3419A742" w14:textId="57326717" w:rsidR="00737B64" w:rsidRPr="00300A11" w:rsidRDefault="00737B64" w:rsidP="00737B64">
      <w:pPr>
        <w:pStyle w:val="Prrafodelista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A9CE92" w14:textId="5C7F6284" w:rsidR="00737B64" w:rsidRPr="00300A11" w:rsidRDefault="00737B64" w:rsidP="00A22D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(…)</w:t>
      </w:r>
    </w:p>
    <w:p w14:paraId="5BEC5378" w14:textId="57D6CC6E" w:rsidR="002812D1" w:rsidRPr="00300A11" w:rsidRDefault="002812D1" w:rsidP="007D51AB">
      <w:pPr>
        <w:pStyle w:val="Prrafodelista"/>
        <w:tabs>
          <w:tab w:val="left" w:pos="284"/>
          <w:tab w:val="left" w:pos="709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aconcuadrcula"/>
        <w:tblW w:w="8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71"/>
        <w:gridCol w:w="279"/>
        <w:gridCol w:w="7293"/>
      </w:tblGrid>
      <w:tr w:rsidR="00737B64" w:rsidRPr="00300A11" w14:paraId="03FD74C4" w14:textId="77777777" w:rsidTr="00A22D39">
        <w:tc>
          <w:tcPr>
            <w:tcW w:w="426" w:type="dxa"/>
          </w:tcPr>
          <w:p w14:paraId="4E07BBFF" w14:textId="7633F272" w:rsidR="00737B64" w:rsidRPr="00300A11" w:rsidRDefault="00737B64" w:rsidP="007D51AB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>t)</w:t>
            </w:r>
          </w:p>
        </w:tc>
        <w:tc>
          <w:tcPr>
            <w:tcW w:w="571" w:type="dxa"/>
          </w:tcPr>
          <w:p w14:paraId="19C409BE" w14:textId="67510224" w:rsidR="00737B64" w:rsidRPr="00300A11" w:rsidRDefault="00737B64" w:rsidP="007D51AB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>UIT</w:t>
            </w:r>
          </w:p>
        </w:tc>
        <w:tc>
          <w:tcPr>
            <w:tcW w:w="279" w:type="dxa"/>
          </w:tcPr>
          <w:p w14:paraId="10B68B47" w14:textId="0F3A4553" w:rsidR="00737B64" w:rsidRPr="00300A11" w:rsidRDefault="00737B64" w:rsidP="007D51AB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93" w:type="dxa"/>
          </w:tcPr>
          <w:p w14:paraId="4F512E3D" w14:textId="77777777" w:rsidR="00737B64" w:rsidRPr="00300A11" w:rsidRDefault="00737B64" w:rsidP="007D51AB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>A la unidad impositiva tributaria:</w:t>
            </w:r>
          </w:p>
          <w:p w14:paraId="7054F605" w14:textId="77777777" w:rsidR="00737B64" w:rsidRPr="00300A11" w:rsidRDefault="00737B64" w:rsidP="007D51AB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C4F833" w14:textId="62443200" w:rsidR="005D48B5" w:rsidRPr="00300A11" w:rsidRDefault="005D48B5" w:rsidP="005D48B5">
            <w:pPr>
              <w:pStyle w:val="Prrafodelista"/>
              <w:numPr>
                <w:ilvl w:val="0"/>
                <w:numId w:val="39"/>
              </w:numPr>
              <w:ind w:left="35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>Vigente a la fecha en que se comete la infracción o, cuando no sea posible establecerla, la que se encuentre vigente a la fecha en que la administración tributaria detecte la infracción, según lo previsto en el inciso a) del artículo 180 del Código Tributario.</w:t>
            </w:r>
          </w:p>
          <w:p w14:paraId="6D3F0AE1" w14:textId="77777777" w:rsidR="005D48B5" w:rsidRPr="00300A11" w:rsidRDefault="005D48B5" w:rsidP="005D48B5">
            <w:pPr>
              <w:pStyle w:val="Prrafodelista"/>
              <w:ind w:left="35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09E0AF" w14:textId="1D025A7C" w:rsidR="005D48B5" w:rsidRPr="00300A11" w:rsidRDefault="005D48B5" w:rsidP="005D48B5">
            <w:pPr>
              <w:pStyle w:val="Prrafodelista"/>
              <w:numPr>
                <w:ilvl w:val="0"/>
                <w:numId w:val="39"/>
              </w:numPr>
              <w:ind w:left="35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 el caso del artículo 13-B, a la </w:t>
            </w:r>
            <w:r w:rsidR="0030755B"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vigente en el ejercicio anterior a aquel </w:t>
            </w:r>
            <w:r w:rsidR="00024D08"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 que corresponde la declaración por la </w:t>
            </w:r>
            <w:r w:rsidR="0030755B"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que se incurre en la infracción </w:t>
            </w:r>
            <w:r w:rsidR="00A22D39"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prevista en </w:t>
            </w:r>
            <w:r w:rsidR="0030755B"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>el numeral 1 del artículo 176</w:t>
            </w:r>
            <w:r w:rsidR="00A22D39"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del Código Tributario</w:t>
            </w:r>
            <w:r w:rsidR="00754475"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>”</w:t>
            </w:r>
            <w:r w:rsidR="0030755B" w:rsidRPr="00300A1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66D7253" w14:textId="0FC7B63E" w:rsidR="00737B64" w:rsidRPr="00300A11" w:rsidRDefault="00737B64" w:rsidP="007D51AB">
      <w:pPr>
        <w:pStyle w:val="Prrafodelista"/>
        <w:tabs>
          <w:tab w:val="left" w:pos="284"/>
          <w:tab w:val="left" w:pos="709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D9A7F2" w14:textId="77777777" w:rsidR="002812D1" w:rsidRPr="00300A11" w:rsidRDefault="002812D1" w:rsidP="007D51AB">
      <w:pPr>
        <w:pStyle w:val="Prrafodelista"/>
        <w:tabs>
          <w:tab w:val="left" w:pos="284"/>
          <w:tab w:val="left" w:pos="709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8D8CE9" w14:textId="44595D44" w:rsidR="007D51AB" w:rsidRPr="00300A11" w:rsidRDefault="007D51AB" w:rsidP="00A22D39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300A11">
        <w:rPr>
          <w:rFonts w:ascii="Arial" w:hAnsi="Arial" w:cs="Arial"/>
          <w:sz w:val="22"/>
          <w:szCs w:val="22"/>
        </w:rPr>
        <w:lastRenderedPageBreak/>
        <w:t>“Artículo 11.- Infracciones no vinculadas a la emisión y/u otorgamiento de comprobantes de pago</w:t>
      </w:r>
    </w:p>
    <w:p w14:paraId="5FA1B87D" w14:textId="77777777" w:rsidR="007D51AB" w:rsidRPr="00300A11" w:rsidRDefault="007D51AB" w:rsidP="007D51AB">
      <w:pPr>
        <w:pStyle w:val="Prrafodelista"/>
        <w:tabs>
          <w:tab w:val="left" w:pos="284"/>
          <w:tab w:val="left" w:pos="709"/>
          <w:tab w:val="left" w:pos="851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45683E8" w14:textId="77777777" w:rsidR="00C17C49" w:rsidRPr="00300A11" w:rsidRDefault="007D51AB" w:rsidP="00A22D39">
      <w:pPr>
        <w:jc w:val="both"/>
        <w:rPr>
          <w:rFonts w:ascii="Arial" w:hAnsi="Arial" w:cs="Arial"/>
          <w:sz w:val="22"/>
          <w:szCs w:val="22"/>
        </w:rPr>
      </w:pPr>
      <w:r w:rsidRPr="00300A11">
        <w:rPr>
          <w:rFonts w:ascii="Arial" w:hAnsi="Arial" w:cs="Arial"/>
          <w:sz w:val="22"/>
          <w:szCs w:val="22"/>
        </w:rPr>
        <w:t xml:space="preserve">El presente capítulo </w:t>
      </w:r>
      <w:r w:rsidR="00C17C49" w:rsidRPr="00300A11">
        <w:rPr>
          <w:rFonts w:ascii="Arial" w:hAnsi="Arial" w:cs="Arial"/>
          <w:sz w:val="22"/>
          <w:szCs w:val="22"/>
        </w:rPr>
        <w:t>es aplicable</w:t>
      </w:r>
      <w:r w:rsidRPr="00300A11">
        <w:rPr>
          <w:rFonts w:ascii="Arial" w:hAnsi="Arial" w:cs="Arial"/>
          <w:sz w:val="22"/>
          <w:szCs w:val="22"/>
        </w:rPr>
        <w:t xml:space="preserve"> a</w:t>
      </w:r>
      <w:r w:rsidR="00C17C49" w:rsidRPr="00300A11">
        <w:rPr>
          <w:rFonts w:ascii="Arial" w:hAnsi="Arial" w:cs="Arial"/>
          <w:sz w:val="22"/>
          <w:szCs w:val="22"/>
        </w:rPr>
        <w:t>:</w:t>
      </w:r>
    </w:p>
    <w:p w14:paraId="0297DF71" w14:textId="77777777" w:rsidR="00C17C49" w:rsidRPr="00300A11" w:rsidRDefault="00C17C49" w:rsidP="00E003C7">
      <w:pPr>
        <w:pStyle w:val="Prrafodelista"/>
        <w:tabs>
          <w:tab w:val="left" w:pos="284"/>
          <w:tab w:val="left" w:pos="709"/>
          <w:tab w:val="left" w:pos="851"/>
        </w:tabs>
        <w:ind w:left="0" w:firstLine="426"/>
        <w:jc w:val="both"/>
        <w:rPr>
          <w:rFonts w:ascii="Arial" w:hAnsi="Arial" w:cs="Arial"/>
          <w:sz w:val="22"/>
          <w:szCs w:val="22"/>
        </w:rPr>
      </w:pPr>
    </w:p>
    <w:p w14:paraId="6F239BCA" w14:textId="157B92C5" w:rsidR="00C17C49" w:rsidRPr="00300A11" w:rsidRDefault="00C17C49" w:rsidP="00A22D39">
      <w:pPr>
        <w:pStyle w:val="Prrafodelista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00A11">
        <w:rPr>
          <w:rFonts w:ascii="Arial" w:hAnsi="Arial" w:cs="Arial"/>
          <w:sz w:val="22"/>
          <w:szCs w:val="22"/>
        </w:rPr>
        <w:t>L</w:t>
      </w:r>
      <w:r w:rsidR="007D51AB" w:rsidRPr="00300A11">
        <w:rPr>
          <w:rFonts w:ascii="Arial" w:hAnsi="Arial" w:cs="Arial"/>
          <w:sz w:val="22"/>
          <w:szCs w:val="22"/>
        </w:rPr>
        <w:t>as sanciones correspondientes a las infracciones señaladas en el Anexo I</w:t>
      </w:r>
      <w:r w:rsidR="00EA18BA" w:rsidRPr="00300A11">
        <w:rPr>
          <w:rFonts w:ascii="Arial" w:hAnsi="Arial" w:cs="Arial"/>
          <w:sz w:val="22"/>
          <w:szCs w:val="22"/>
        </w:rPr>
        <w:t xml:space="preserve"> y</w:t>
      </w:r>
      <w:r w:rsidR="00FA7566" w:rsidRPr="00300A11">
        <w:rPr>
          <w:rFonts w:ascii="Arial" w:hAnsi="Arial" w:cs="Arial"/>
          <w:sz w:val="22"/>
          <w:szCs w:val="22"/>
        </w:rPr>
        <w:t>,</w:t>
      </w:r>
      <w:r w:rsidR="00EA18BA" w:rsidRPr="00300A11">
        <w:rPr>
          <w:rFonts w:ascii="Arial" w:hAnsi="Arial" w:cs="Arial"/>
          <w:sz w:val="22"/>
          <w:szCs w:val="22"/>
        </w:rPr>
        <w:t xml:space="preserve"> en </w:t>
      </w:r>
      <w:r w:rsidR="009A10C5" w:rsidRPr="00300A11">
        <w:rPr>
          <w:rFonts w:ascii="Arial" w:hAnsi="Arial" w:cs="Arial"/>
          <w:sz w:val="22"/>
          <w:szCs w:val="22"/>
        </w:rPr>
        <w:t xml:space="preserve">los supuestos a </w:t>
      </w:r>
      <w:r w:rsidR="00F76945" w:rsidRPr="00300A11">
        <w:rPr>
          <w:rFonts w:ascii="Arial" w:hAnsi="Arial" w:cs="Arial"/>
          <w:sz w:val="22"/>
          <w:szCs w:val="22"/>
        </w:rPr>
        <w:t>que se refiere el artículo 13-B, a la sanción correspondiente a la infracción tipificada en el numeral 1 del artículo 176 del Código Tributario.</w:t>
      </w:r>
    </w:p>
    <w:p w14:paraId="40BA45BD" w14:textId="77777777" w:rsidR="009A10C5" w:rsidRPr="00300A11" w:rsidRDefault="009A10C5" w:rsidP="00A22D39">
      <w:pPr>
        <w:pStyle w:val="Prrafodelista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EA830BD" w14:textId="23B613F9" w:rsidR="00F76945" w:rsidRPr="00300A11" w:rsidRDefault="00C17C49" w:rsidP="00A22D39">
      <w:pPr>
        <w:pStyle w:val="Prrafodelista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00A11">
        <w:rPr>
          <w:rFonts w:ascii="Arial" w:hAnsi="Arial" w:cs="Arial"/>
          <w:sz w:val="22"/>
          <w:szCs w:val="22"/>
        </w:rPr>
        <w:t>L</w:t>
      </w:r>
      <w:r w:rsidR="007D51AB" w:rsidRPr="00300A11">
        <w:rPr>
          <w:rFonts w:ascii="Arial" w:hAnsi="Arial" w:cs="Arial"/>
          <w:sz w:val="22"/>
          <w:szCs w:val="22"/>
        </w:rPr>
        <w:t>as sanciones correspondientes a las infracciones tipificadas en los numerales 1, 4 y 5 del artículo 178 del Código Tributario a que se refiere el artículo 13-A</w:t>
      </w:r>
      <w:r w:rsidR="00F76945" w:rsidRPr="00300A11">
        <w:rPr>
          <w:rFonts w:ascii="Arial" w:hAnsi="Arial" w:cs="Arial"/>
          <w:sz w:val="22"/>
          <w:szCs w:val="22"/>
        </w:rPr>
        <w:t>”</w:t>
      </w:r>
      <w:r w:rsidR="00754475" w:rsidRPr="00300A11">
        <w:rPr>
          <w:rFonts w:ascii="Arial" w:hAnsi="Arial" w:cs="Arial"/>
          <w:sz w:val="22"/>
          <w:szCs w:val="22"/>
        </w:rPr>
        <w:t>.</w:t>
      </w:r>
    </w:p>
    <w:p w14:paraId="6527A1B5" w14:textId="5EC0346D" w:rsidR="00C17C49" w:rsidRPr="00300A11" w:rsidRDefault="007D51AB" w:rsidP="00F76945">
      <w:pPr>
        <w:pStyle w:val="Prrafodelista"/>
        <w:tabs>
          <w:tab w:val="left" w:pos="284"/>
          <w:tab w:val="left" w:pos="709"/>
          <w:tab w:val="left" w:pos="851"/>
        </w:tabs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9F634DC" w14:textId="51319559" w:rsidR="007D51AB" w:rsidRPr="00300A11" w:rsidRDefault="007D51AB" w:rsidP="00A22D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“Artículo 12.- Criterios de Gradualidad</w:t>
      </w:r>
    </w:p>
    <w:p w14:paraId="2A13B967" w14:textId="77777777" w:rsidR="007D51AB" w:rsidRPr="00300A11" w:rsidRDefault="007D51AB" w:rsidP="007D51AB">
      <w:pPr>
        <w:pStyle w:val="Prrafodelista"/>
        <w:tabs>
          <w:tab w:val="left" w:pos="284"/>
          <w:tab w:val="left" w:pos="709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E8802C" w14:textId="58232E5E" w:rsidR="007D51AB" w:rsidRPr="00300A11" w:rsidRDefault="007D51AB" w:rsidP="00A22D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(…)</w:t>
      </w:r>
    </w:p>
    <w:p w14:paraId="124B2F1A" w14:textId="77777777" w:rsidR="007D51AB" w:rsidRPr="00300A11" w:rsidRDefault="007D51AB" w:rsidP="007D51AB">
      <w:pPr>
        <w:pStyle w:val="Prrafodelista"/>
        <w:tabs>
          <w:tab w:val="left" w:pos="284"/>
          <w:tab w:val="left" w:pos="709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0608EA" w14:textId="1F89D2AF" w:rsidR="007D51AB" w:rsidRPr="00300A11" w:rsidRDefault="007D51AB" w:rsidP="00A22D39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Dichos criterios se aplicarán de acuerdo </w:t>
      </w:r>
      <w:r w:rsidR="00E003C7" w:rsidRPr="00300A11">
        <w:rPr>
          <w:rFonts w:ascii="Arial" w:hAnsi="Arial" w:cs="Arial"/>
          <w:color w:val="000000" w:themeColor="text1"/>
          <w:sz w:val="22"/>
          <w:szCs w:val="22"/>
        </w:rPr>
        <w:t>con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 lo señalado en los Anexos II al V </w:t>
      </w:r>
      <w:r w:rsidR="00E003C7" w:rsidRPr="00300A11">
        <w:rPr>
          <w:rFonts w:ascii="Arial" w:hAnsi="Arial" w:cs="Arial"/>
          <w:color w:val="000000" w:themeColor="text1"/>
          <w:sz w:val="22"/>
          <w:szCs w:val="22"/>
        </w:rPr>
        <w:t>y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 los artículos 13-A y 13-B</w:t>
      </w:r>
      <w:r w:rsidR="00754475" w:rsidRPr="00300A11">
        <w:rPr>
          <w:rFonts w:ascii="Arial" w:hAnsi="Arial" w:cs="Arial"/>
          <w:color w:val="000000" w:themeColor="text1"/>
          <w:sz w:val="22"/>
          <w:szCs w:val="22"/>
        </w:rPr>
        <w:t>.</w:t>
      </w:r>
      <w:r w:rsidR="006661A4" w:rsidRPr="00300A11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41E48ACB" w14:textId="77777777" w:rsidR="00E027DE" w:rsidRPr="00300A11" w:rsidRDefault="00E027DE" w:rsidP="00E003C7">
      <w:pPr>
        <w:pStyle w:val="Prrafodelista"/>
        <w:tabs>
          <w:tab w:val="left" w:pos="284"/>
          <w:tab w:val="left" w:pos="709"/>
          <w:tab w:val="left" w:pos="851"/>
        </w:tabs>
        <w:ind w:left="0" w:firstLine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40228A" w14:textId="3248DE4E" w:rsidR="007D51AB" w:rsidRPr="00300A11" w:rsidRDefault="007D51AB" w:rsidP="00A22D39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“Artículo 13.- Definición de los criterios de gradualidad</w:t>
      </w:r>
    </w:p>
    <w:p w14:paraId="0FB788B0" w14:textId="77777777" w:rsidR="00E027DE" w:rsidRPr="00300A11" w:rsidRDefault="00E027DE" w:rsidP="00E027DE">
      <w:pPr>
        <w:pStyle w:val="Prrafodelista"/>
        <w:ind w:left="0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79C9FE" w14:textId="7494E8E5" w:rsidR="007D51AB" w:rsidRPr="00300A11" w:rsidRDefault="007D51AB" w:rsidP="00A22D39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Los criterios de gradualidad son definidos de la siguiente manera:</w:t>
      </w:r>
    </w:p>
    <w:p w14:paraId="64F491DE" w14:textId="77777777" w:rsidR="00E027DE" w:rsidRPr="00300A11" w:rsidRDefault="00E027DE" w:rsidP="00E027DE">
      <w:pPr>
        <w:pStyle w:val="Prrafodelista"/>
        <w:ind w:left="0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470884" w14:textId="5F5F455B" w:rsidR="007D51AB" w:rsidRPr="00300A11" w:rsidRDefault="007D51AB" w:rsidP="00A22D39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(…)</w:t>
      </w:r>
    </w:p>
    <w:p w14:paraId="10204808" w14:textId="77777777" w:rsidR="00E027DE" w:rsidRPr="00300A11" w:rsidRDefault="007D51AB" w:rsidP="00A22D39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21E7183" w14:textId="492E4BD7" w:rsidR="007D51AB" w:rsidRPr="00300A11" w:rsidRDefault="007D51AB" w:rsidP="00A22D39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13.5. El Pago: Es la cancelación total de la multa rebajada que corresponda según los anexos respectivos, los numerales de</w:t>
      </w:r>
      <w:r w:rsidR="00887150" w:rsidRPr="00300A11">
        <w:rPr>
          <w:rFonts w:ascii="Arial" w:hAnsi="Arial" w:cs="Arial"/>
          <w:color w:val="000000" w:themeColor="text1"/>
          <w:sz w:val="22"/>
          <w:szCs w:val="22"/>
        </w:rPr>
        <w:t>l artículo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 13-A y </w:t>
      </w:r>
      <w:r w:rsidR="00887150" w:rsidRPr="00300A11">
        <w:rPr>
          <w:rFonts w:ascii="Arial" w:hAnsi="Arial" w:cs="Arial"/>
          <w:color w:val="000000" w:themeColor="text1"/>
          <w:sz w:val="22"/>
          <w:szCs w:val="22"/>
        </w:rPr>
        <w:t xml:space="preserve">el artículo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>13-B más los intereses generados hasta el día en que se realice la cancelación”.</w:t>
      </w:r>
    </w:p>
    <w:p w14:paraId="7DC3A55B" w14:textId="77777777" w:rsidR="00E027DE" w:rsidRPr="00300A11" w:rsidRDefault="00E027DE" w:rsidP="00A22D39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4ADB42" w14:textId="14152DC8" w:rsidR="00D165B0" w:rsidRPr="00300A11" w:rsidRDefault="00D165B0" w:rsidP="00A22D39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(…)</w:t>
      </w:r>
    </w:p>
    <w:p w14:paraId="02D5C3C0" w14:textId="5DC35DB6" w:rsidR="00C92341" w:rsidRPr="00300A11" w:rsidRDefault="00C92341" w:rsidP="00A22D39">
      <w:pPr>
        <w:pStyle w:val="Prrafodelista"/>
        <w:tabs>
          <w:tab w:val="left" w:pos="284"/>
          <w:tab w:val="left" w:pos="709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EEFB78" w14:textId="50DEA9C7" w:rsidR="00C92341" w:rsidRPr="00300A11" w:rsidRDefault="00C92341" w:rsidP="00A22D39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13.7. La Subsanación: Es la regularización de la obligación incumplida en la forma y momento previstos en los anexos respectivos </w:t>
      </w:r>
      <w:r w:rsidR="00E027DE" w:rsidRPr="00300A11">
        <w:rPr>
          <w:rFonts w:ascii="Arial" w:hAnsi="Arial" w:cs="Arial"/>
          <w:color w:val="000000" w:themeColor="text1"/>
          <w:sz w:val="22"/>
          <w:szCs w:val="22"/>
        </w:rPr>
        <w:t xml:space="preserve">y en el artículo 13-B,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>la cual puede ser voluntaria o inducida.</w:t>
      </w:r>
    </w:p>
    <w:p w14:paraId="09241688" w14:textId="48810DB6" w:rsidR="00754475" w:rsidRPr="00300A11" w:rsidRDefault="00754475" w:rsidP="00A22D39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F7E2B3" w14:textId="01E2B182" w:rsidR="00754475" w:rsidRPr="00300A11" w:rsidRDefault="00754475" w:rsidP="00A22D39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(…)”.</w:t>
      </w:r>
    </w:p>
    <w:p w14:paraId="3EB33C84" w14:textId="7D257668" w:rsidR="009B3A84" w:rsidRPr="00300A11" w:rsidRDefault="009B3A84" w:rsidP="00D165B0">
      <w:pPr>
        <w:pStyle w:val="Prrafodelista"/>
        <w:tabs>
          <w:tab w:val="left" w:pos="284"/>
          <w:tab w:val="left" w:pos="709"/>
          <w:tab w:val="left" w:pos="851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7A488D25" w14:textId="45124A03" w:rsidR="004162FE" w:rsidRPr="00300A11" w:rsidRDefault="00E84EAE" w:rsidP="00A22D39">
      <w:pPr>
        <w:pStyle w:val="Prrafodelista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00A11">
        <w:rPr>
          <w:rFonts w:ascii="Arial" w:hAnsi="Arial" w:cs="Arial"/>
          <w:sz w:val="22"/>
          <w:szCs w:val="22"/>
        </w:rPr>
        <w:t xml:space="preserve">Sustitúyase el </w:t>
      </w:r>
      <w:r w:rsidR="004162FE" w:rsidRPr="00300A11">
        <w:rPr>
          <w:rFonts w:ascii="Arial" w:hAnsi="Arial" w:cs="Arial"/>
          <w:sz w:val="22"/>
          <w:szCs w:val="22"/>
        </w:rPr>
        <w:t xml:space="preserve">texto de la columna “Descripción de la infracción” del </w:t>
      </w:r>
      <w:r w:rsidRPr="00300A11">
        <w:rPr>
          <w:rFonts w:ascii="Arial" w:hAnsi="Arial" w:cs="Arial"/>
          <w:sz w:val="22"/>
          <w:szCs w:val="22"/>
        </w:rPr>
        <w:t xml:space="preserve">numeral 12 </w:t>
      </w:r>
      <w:r w:rsidR="009202B0" w:rsidRPr="00300A11">
        <w:rPr>
          <w:rFonts w:ascii="Arial" w:hAnsi="Arial" w:cs="Arial"/>
          <w:sz w:val="22"/>
          <w:szCs w:val="22"/>
        </w:rPr>
        <w:t xml:space="preserve">del </w:t>
      </w:r>
      <w:r w:rsidRPr="00300A11">
        <w:rPr>
          <w:rFonts w:ascii="Arial" w:hAnsi="Arial" w:cs="Arial"/>
          <w:sz w:val="22"/>
          <w:szCs w:val="22"/>
        </w:rPr>
        <w:t xml:space="preserve">anexo II del Reglamento por el </w:t>
      </w:r>
      <w:r w:rsidR="004162FE" w:rsidRPr="00300A11">
        <w:rPr>
          <w:rFonts w:ascii="Arial" w:hAnsi="Arial" w:cs="Arial"/>
          <w:sz w:val="22"/>
          <w:szCs w:val="22"/>
        </w:rPr>
        <w:t>siguiente texto:</w:t>
      </w:r>
    </w:p>
    <w:p w14:paraId="69AE3392" w14:textId="77777777" w:rsidR="009A10C5" w:rsidRPr="00300A11" w:rsidRDefault="009A10C5" w:rsidP="009A10C5">
      <w:pPr>
        <w:pStyle w:val="Prrafodelista"/>
        <w:ind w:left="567"/>
        <w:jc w:val="both"/>
        <w:rPr>
          <w:rFonts w:ascii="Arial" w:hAnsi="Arial" w:cs="Arial"/>
          <w:sz w:val="22"/>
          <w:szCs w:val="22"/>
        </w:rPr>
      </w:pPr>
    </w:p>
    <w:p w14:paraId="74D09F80" w14:textId="77777777" w:rsidR="004162FE" w:rsidRPr="00300A11" w:rsidRDefault="004162FE" w:rsidP="004162FE">
      <w:pPr>
        <w:pStyle w:val="Prrafodelista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3B31EB39" w14:textId="77777777" w:rsidR="004162FE" w:rsidRPr="00300A11" w:rsidRDefault="004162FE" w:rsidP="004162FE">
      <w:pPr>
        <w:pStyle w:val="Prrafodelista"/>
        <w:tabs>
          <w:tab w:val="left" w:pos="284"/>
          <w:tab w:val="left" w:pos="709"/>
          <w:tab w:val="left" w:pos="851"/>
        </w:tabs>
        <w:ind w:left="426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00A11">
        <w:rPr>
          <w:rFonts w:ascii="Arial" w:hAnsi="Arial" w:cs="Arial"/>
          <w:b/>
          <w:bCs/>
          <w:color w:val="000000" w:themeColor="text1"/>
          <w:sz w:val="16"/>
          <w:szCs w:val="16"/>
        </w:rPr>
        <w:t>“ANEXO II</w:t>
      </w:r>
    </w:p>
    <w:p w14:paraId="0519C32D" w14:textId="77777777" w:rsidR="004162FE" w:rsidRPr="00300A11" w:rsidRDefault="004162FE" w:rsidP="004162FE">
      <w:pPr>
        <w:pStyle w:val="Prrafodelista"/>
        <w:tabs>
          <w:tab w:val="left" w:pos="284"/>
          <w:tab w:val="left" w:pos="709"/>
          <w:tab w:val="left" w:pos="851"/>
        </w:tabs>
        <w:ind w:left="426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861442D" w14:textId="77777777" w:rsidR="004162FE" w:rsidRPr="00300A11" w:rsidRDefault="004162FE" w:rsidP="004162FE">
      <w:pPr>
        <w:pStyle w:val="Prrafodelista"/>
        <w:tabs>
          <w:tab w:val="left" w:pos="284"/>
          <w:tab w:val="left" w:pos="709"/>
          <w:tab w:val="left" w:pos="851"/>
        </w:tabs>
        <w:ind w:left="426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00A11">
        <w:rPr>
          <w:rFonts w:ascii="Arial" w:hAnsi="Arial" w:cs="Arial"/>
          <w:b/>
          <w:bCs/>
          <w:color w:val="000000" w:themeColor="text1"/>
          <w:sz w:val="16"/>
          <w:szCs w:val="16"/>
        </w:rPr>
        <w:t>INFRACCIONES SUBSANABLES Y SANCIONADAS CON MULTA</w:t>
      </w:r>
    </w:p>
    <w:p w14:paraId="56816057" w14:textId="77777777" w:rsidR="004162FE" w:rsidRPr="00300A11" w:rsidRDefault="004162FE" w:rsidP="004162FE">
      <w:pPr>
        <w:pStyle w:val="Prrafodelista"/>
        <w:tabs>
          <w:tab w:val="left" w:pos="284"/>
          <w:tab w:val="left" w:pos="709"/>
          <w:tab w:val="left" w:pos="851"/>
        </w:tabs>
        <w:ind w:left="426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1074"/>
        <w:gridCol w:w="2995"/>
        <w:gridCol w:w="4102"/>
      </w:tblGrid>
      <w:tr w:rsidR="004162FE" w:rsidRPr="00300A11" w14:paraId="1D5AD224" w14:textId="77777777" w:rsidTr="00754475">
        <w:trPr>
          <w:trHeight w:val="184"/>
        </w:trPr>
        <w:tc>
          <w:tcPr>
            <w:tcW w:w="187" w:type="pct"/>
            <w:vMerge w:val="restart"/>
            <w:shd w:val="clear" w:color="auto" w:fill="D9D9D9" w:themeFill="background1" w:themeFillShade="D9"/>
          </w:tcPr>
          <w:p w14:paraId="550FB7C8" w14:textId="27BBA0C3" w:rsidR="004162FE" w:rsidRPr="00300A11" w:rsidRDefault="004162FE" w:rsidP="000558B0">
            <w:pPr>
              <w:pStyle w:val="Prrafodelista"/>
              <w:tabs>
                <w:tab w:val="left" w:pos="709"/>
                <w:tab w:val="left" w:pos="851"/>
              </w:tabs>
              <w:ind w:left="0" w:right="-13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33" w:type="pct"/>
            <w:vMerge w:val="restart"/>
            <w:shd w:val="clear" w:color="auto" w:fill="D9D9D9" w:themeFill="background1" w:themeFillShade="D9"/>
            <w:vAlign w:val="center"/>
          </w:tcPr>
          <w:p w14:paraId="2A23F540" w14:textId="7575E841" w:rsidR="004162FE" w:rsidRPr="00300A11" w:rsidRDefault="009202B0" w:rsidP="000558B0">
            <w:pPr>
              <w:pStyle w:val="Prrafodelista"/>
              <w:tabs>
                <w:tab w:val="left" w:pos="794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(…)</w:t>
            </w:r>
          </w:p>
        </w:tc>
        <w:tc>
          <w:tcPr>
            <w:tcW w:w="1764" w:type="pct"/>
            <w:vMerge w:val="restart"/>
            <w:shd w:val="clear" w:color="auto" w:fill="D9D9D9" w:themeFill="background1" w:themeFillShade="D9"/>
            <w:vAlign w:val="center"/>
          </w:tcPr>
          <w:p w14:paraId="30F45684" w14:textId="000B2AEE" w:rsidR="004162FE" w:rsidRPr="00300A11" w:rsidRDefault="004162FE" w:rsidP="000558B0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DESCRIPCIÓN DE LA INFRACCIÓN</w:t>
            </w:r>
          </w:p>
        </w:tc>
        <w:tc>
          <w:tcPr>
            <w:tcW w:w="2416" w:type="pct"/>
            <w:vMerge w:val="restart"/>
            <w:shd w:val="clear" w:color="auto" w:fill="D9D9D9" w:themeFill="background1" w:themeFillShade="D9"/>
            <w:vAlign w:val="center"/>
          </w:tcPr>
          <w:p w14:paraId="306BA0F1" w14:textId="1F131423" w:rsidR="009202B0" w:rsidRPr="00300A11" w:rsidRDefault="009202B0" w:rsidP="000558B0">
            <w:pPr>
              <w:pStyle w:val="Prrafodelista"/>
              <w:tabs>
                <w:tab w:val="left" w:pos="709"/>
                <w:tab w:val="left" w:pos="851"/>
              </w:tabs>
              <w:ind w:left="-65" w:right="-74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(…)</w:t>
            </w:r>
          </w:p>
        </w:tc>
      </w:tr>
      <w:tr w:rsidR="004162FE" w:rsidRPr="00300A11" w14:paraId="6844A7EE" w14:textId="77777777" w:rsidTr="009202B0">
        <w:trPr>
          <w:trHeight w:val="220"/>
        </w:trPr>
        <w:tc>
          <w:tcPr>
            <w:tcW w:w="187" w:type="pct"/>
            <w:vMerge/>
            <w:shd w:val="clear" w:color="auto" w:fill="D9D9D9" w:themeFill="background1" w:themeFillShade="D9"/>
          </w:tcPr>
          <w:p w14:paraId="403C71FD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3" w:type="pct"/>
            <w:vMerge/>
            <w:shd w:val="clear" w:color="auto" w:fill="D9D9D9" w:themeFill="background1" w:themeFillShade="D9"/>
          </w:tcPr>
          <w:p w14:paraId="69EDD89D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64" w:type="pct"/>
            <w:vMerge/>
            <w:shd w:val="clear" w:color="auto" w:fill="D9D9D9" w:themeFill="background1" w:themeFillShade="D9"/>
          </w:tcPr>
          <w:p w14:paraId="649BF9D7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6" w:type="pct"/>
            <w:vMerge/>
            <w:shd w:val="clear" w:color="auto" w:fill="D9D9D9" w:themeFill="background1" w:themeFillShade="D9"/>
          </w:tcPr>
          <w:p w14:paraId="4ECCA225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162FE" w:rsidRPr="00300A11" w14:paraId="01324F7B" w14:textId="77777777" w:rsidTr="009202B0">
        <w:trPr>
          <w:trHeight w:val="184"/>
        </w:trPr>
        <w:tc>
          <w:tcPr>
            <w:tcW w:w="187" w:type="pct"/>
            <w:vMerge/>
            <w:shd w:val="clear" w:color="auto" w:fill="D9D9D9" w:themeFill="background1" w:themeFillShade="D9"/>
          </w:tcPr>
          <w:p w14:paraId="2CEB3B4A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3" w:type="pct"/>
            <w:vMerge/>
            <w:shd w:val="clear" w:color="auto" w:fill="D9D9D9" w:themeFill="background1" w:themeFillShade="D9"/>
          </w:tcPr>
          <w:p w14:paraId="574E59F4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64" w:type="pct"/>
            <w:vMerge/>
            <w:shd w:val="clear" w:color="auto" w:fill="D9D9D9" w:themeFill="background1" w:themeFillShade="D9"/>
          </w:tcPr>
          <w:p w14:paraId="73DDB7D6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6" w:type="pct"/>
            <w:vMerge/>
            <w:shd w:val="clear" w:color="auto" w:fill="D9D9D9" w:themeFill="background1" w:themeFillShade="D9"/>
          </w:tcPr>
          <w:p w14:paraId="1BE2708D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162FE" w:rsidRPr="00300A11" w14:paraId="3E2F2EFA" w14:textId="77777777" w:rsidTr="009202B0">
        <w:trPr>
          <w:trHeight w:val="184"/>
        </w:trPr>
        <w:tc>
          <w:tcPr>
            <w:tcW w:w="187" w:type="pct"/>
            <w:vMerge/>
          </w:tcPr>
          <w:p w14:paraId="021FE56C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3" w:type="pct"/>
            <w:vMerge/>
          </w:tcPr>
          <w:p w14:paraId="1CB11B82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64" w:type="pct"/>
            <w:vMerge/>
            <w:tcBorders>
              <w:bottom w:val="single" w:sz="6" w:space="0" w:color="auto"/>
            </w:tcBorders>
          </w:tcPr>
          <w:p w14:paraId="5178FCD6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6" w:type="pct"/>
            <w:vMerge/>
            <w:tcBorders>
              <w:bottom w:val="single" w:sz="6" w:space="0" w:color="auto"/>
            </w:tcBorders>
          </w:tcPr>
          <w:p w14:paraId="29888E8C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162FE" w:rsidRPr="00300A11" w14:paraId="395C66C6" w14:textId="77777777" w:rsidTr="009202B0">
        <w:trPr>
          <w:trHeight w:val="114"/>
        </w:trPr>
        <w:tc>
          <w:tcPr>
            <w:tcW w:w="187" w:type="pct"/>
            <w:tcBorders>
              <w:bottom w:val="nil"/>
            </w:tcBorders>
          </w:tcPr>
          <w:p w14:paraId="332A03E3" w14:textId="77777777" w:rsidR="004162FE" w:rsidRPr="00300A11" w:rsidRDefault="004162FE" w:rsidP="000558B0">
            <w:pPr>
              <w:pStyle w:val="Prrafodelista"/>
              <w:tabs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33" w:type="pct"/>
            <w:tcBorders>
              <w:bottom w:val="nil"/>
            </w:tcBorders>
          </w:tcPr>
          <w:p w14:paraId="6DE3F7D9" w14:textId="7A422F53" w:rsidR="004162FE" w:rsidRPr="00300A11" w:rsidRDefault="004162FE" w:rsidP="000558B0">
            <w:pPr>
              <w:pStyle w:val="Prrafodelista"/>
              <w:tabs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64" w:type="pct"/>
            <w:tcBorders>
              <w:bottom w:val="single" w:sz="6" w:space="0" w:color="auto"/>
            </w:tcBorders>
          </w:tcPr>
          <w:p w14:paraId="5DA83E9C" w14:textId="5D92E260" w:rsidR="004162FE" w:rsidRPr="00300A11" w:rsidRDefault="004162FE" w:rsidP="000558B0">
            <w:pPr>
              <w:pStyle w:val="Prrafodelista"/>
              <w:tabs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No presentar las declaraciones que contengan la determinación de la deuda tributaria dentro de los plazos establecidos: (4) (1</w:t>
            </w:r>
            <w:r w:rsidR="007B2639"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1A76CD67" w14:textId="77777777" w:rsidR="004162FE" w:rsidRPr="00300A11" w:rsidRDefault="004162FE" w:rsidP="000558B0">
            <w:pPr>
              <w:pStyle w:val="Prrafodelista"/>
              <w:tabs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AB29D04" w14:textId="77777777" w:rsidR="004162FE" w:rsidRPr="00300A11" w:rsidRDefault="004162FE" w:rsidP="000558B0">
            <w:pPr>
              <w:pStyle w:val="Prrafodelista"/>
              <w:numPr>
                <w:ilvl w:val="0"/>
                <w:numId w:val="34"/>
              </w:numPr>
              <w:tabs>
                <w:tab w:val="left" w:pos="851"/>
              </w:tabs>
              <w:ind w:left="191" w:hanging="191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Si se omitió presentar la declaración.</w:t>
            </w:r>
          </w:p>
          <w:p w14:paraId="113E8FED" w14:textId="77777777" w:rsidR="004162FE" w:rsidRPr="00300A11" w:rsidRDefault="004162FE" w:rsidP="000558B0">
            <w:pPr>
              <w:pStyle w:val="Prrafodelista"/>
              <w:tabs>
                <w:tab w:val="left" w:pos="851"/>
              </w:tabs>
              <w:ind w:left="191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6" w:type="pct"/>
            <w:tcBorders>
              <w:bottom w:val="single" w:sz="6" w:space="0" w:color="auto"/>
            </w:tcBorders>
          </w:tcPr>
          <w:p w14:paraId="536B5630" w14:textId="4DAB8C60" w:rsidR="004162FE" w:rsidRPr="00300A11" w:rsidRDefault="004162FE" w:rsidP="004162FE">
            <w:pPr>
              <w:pStyle w:val="Prrafodelista"/>
              <w:tabs>
                <w:tab w:val="left" w:pos="354"/>
                <w:tab w:val="left" w:pos="851"/>
              </w:tabs>
              <w:ind w:left="7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162FE" w:rsidRPr="00300A11" w14:paraId="098E5647" w14:textId="77777777" w:rsidTr="009202B0">
        <w:trPr>
          <w:trHeight w:val="307"/>
        </w:trPr>
        <w:tc>
          <w:tcPr>
            <w:tcW w:w="1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F9199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161FE" w14:textId="77777777" w:rsidR="004162FE" w:rsidRPr="00300A11" w:rsidRDefault="004162FE" w:rsidP="000558B0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904B9" w14:textId="77777777" w:rsidR="004162FE" w:rsidRPr="00300A11" w:rsidRDefault="004162FE" w:rsidP="000558B0">
            <w:pPr>
              <w:pStyle w:val="Prrafodelista"/>
              <w:numPr>
                <w:ilvl w:val="0"/>
                <w:numId w:val="34"/>
              </w:numPr>
              <w:tabs>
                <w:tab w:val="left" w:pos="851"/>
              </w:tabs>
              <w:ind w:left="191" w:hanging="191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Si se consideró como no presentada la declaración. (8)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6F091" w14:textId="49351FE8" w:rsidR="004162FE" w:rsidRPr="00300A11" w:rsidRDefault="004162FE" w:rsidP="004162FE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188952D6" w14:textId="77777777" w:rsidR="004162FE" w:rsidRPr="00300A11" w:rsidRDefault="004162FE" w:rsidP="004162FE">
      <w:pPr>
        <w:pStyle w:val="Prrafodelista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03786C6C" w14:textId="281BCB79" w:rsidR="00B46F21" w:rsidRPr="00300A11" w:rsidRDefault="00B46F21" w:rsidP="004162FE">
      <w:pPr>
        <w:pStyle w:val="Prrafodelista"/>
        <w:ind w:left="567"/>
        <w:jc w:val="both"/>
        <w:rPr>
          <w:rFonts w:ascii="Arial" w:hAnsi="Arial" w:cs="Arial"/>
          <w:sz w:val="22"/>
          <w:szCs w:val="22"/>
        </w:rPr>
      </w:pPr>
    </w:p>
    <w:p w14:paraId="1E7B64B4" w14:textId="7E560756" w:rsidR="00B46F21" w:rsidRPr="00300A11" w:rsidRDefault="00B46F21" w:rsidP="00754475">
      <w:pPr>
        <w:pStyle w:val="Prrafodelista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00A11">
        <w:rPr>
          <w:rFonts w:ascii="Arial" w:hAnsi="Arial" w:cs="Arial"/>
          <w:sz w:val="22"/>
          <w:szCs w:val="22"/>
        </w:rPr>
        <w:t>Incorpórese como nota número</w:t>
      </w:r>
      <w:r w:rsidR="007B2639" w:rsidRPr="00300A11">
        <w:rPr>
          <w:rFonts w:ascii="Arial" w:hAnsi="Arial" w:cs="Arial"/>
          <w:sz w:val="22"/>
          <w:szCs w:val="22"/>
        </w:rPr>
        <w:t xml:space="preserve"> </w:t>
      </w:r>
      <w:r w:rsidR="00754475" w:rsidRPr="00300A11">
        <w:rPr>
          <w:rFonts w:ascii="Arial" w:hAnsi="Arial" w:cs="Arial"/>
          <w:sz w:val="22"/>
          <w:szCs w:val="22"/>
        </w:rPr>
        <w:t>dieciséis</w:t>
      </w:r>
      <w:r w:rsidRPr="00300A11">
        <w:rPr>
          <w:rFonts w:ascii="Arial" w:hAnsi="Arial" w:cs="Arial"/>
          <w:sz w:val="22"/>
          <w:szCs w:val="22"/>
        </w:rPr>
        <w:t xml:space="preserve"> (1</w:t>
      </w:r>
      <w:r w:rsidR="007B2639" w:rsidRPr="00300A11">
        <w:rPr>
          <w:rFonts w:ascii="Arial" w:hAnsi="Arial" w:cs="Arial"/>
          <w:sz w:val="22"/>
          <w:szCs w:val="22"/>
        </w:rPr>
        <w:t>6</w:t>
      </w:r>
      <w:r w:rsidRPr="00300A11">
        <w:rPr>
          <w:rFonts w:ascii="Arial" w:hAnsi="Arial" w:cs="Arial"/>
          <w:sz w:val="22"/>
          <w:szCs w:val="22"/>
        </w:rPr>
        <w:t xml:space="preserve">) </w:t>
      </w:r>
      <w:r w:rsidR="00B2659C" w:rsidRPr="00300A11">
        <w:rPr>
          <w:rFonts w:ascii="Arial" w:hAnsi="Arial" w:cs="Arial"/>
          <w:sz w:val="22"/>
          <w:szCs w:val="22"/>
        </w:rPr>
        <w:t>de</w:t>
      </w:r>
      <w:r w:rsidRPr="00300A11">
        <w:rPr>
          <w:rFonts w:ascii="Arial" w:hAnsi="Arial" w:cs="Arial"/>
          <w:sz w:val="22"/>
          <w:szCs w:val="22"/>
        </w:rPr>
        <w:t>l anexo II del Reglamento el siguiente texto:</w:t>
      </w:r>
    </w:p>
    <w:p w14:paraId="63A929A8" w14:textId="60FB193E" w:rsidR="008547B0" w:rsidRPr="00300A11" w:rsidRDefault="008547B0" w:rsidP="008547B0">
      <w:pPr>
        <w:pStyle w:val="Prrafodelista"/>
        <w:tabs>
          <w:tab w:val="left" w:pos="284"/>
          <w:tab w:val="left" w:pos="709"/>
          <w:tab w:val="left" w:pos="851"/>
        </w:tabs>
        <w:ind w:left="426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00A11">
        <w:rPr>
          <w:rFonts w:ascii="Arial" w:hAnsi="Arial" w:cs="Arial"/>
          <w:b/>
          <w:bCs/>
          <w:color w:val="000000" w:themeColor="text1"/>
          <w:sz w:val="16"/>
          <w:szCs w:val="16"/>
        </w:rPr>
        <w:t>“ANEXO II</w:t>
      </w:r>
    </w:p>
    <w:p w14:paraId="6BAFF981" w14:textId="77777777" w:rsidR="008547B0" w:rsidRPr="00300A11" w:rsidRDefault="008547B0" w:rsidP="008547B0">
      <w:pPr>
        <w:pStyle w:val="Prrafodelista"/>
        <w:tabs>
          <w:tab w:val="left" w:pos="284"/>
          <w:tab w:val="left" w:pos="709"/>
          <w:tab w:val="left" w:pos="851"/>
        </w:tabs>
        <w:ind w:left="426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5903C425" w14:textId="77777777" w:rsidR="008547B0" w:rsidRPr="00300A11" w:rsidRDefault="008547B0" w:rsidP="008547B0">
      <w:pPr>
        <w:pStyle w:val="Prrafodelista"/>
        <w:tabs>
          <w:tab w:val="left" w:pos="284"/>
          <w:tab w:val="left" w:pos="709"/>
          <w:tab w:val="left" w:pos="851"/>
        </w:tabs>
        <w:ind w:left="426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300A11">
        <w:rPr>
          <w:rFonts w:ascii="Arial" w:hAnsi="Arial" w:cs="Arial"/>
          <w:b/>
          <w:bCs/>
          <w:color w:val="000000" w:themeColor="text1"/>
          <w:sz w:val="16"/>
          <w:szCs w:val="16"/>
        </w:rPr>
        <w:t>INFRACCIONES SUBSANABLES Y SANCIONADAS CON MULTA</w:t>
      </w:r>
    </w:p>
    <w:p w14:paraId="4977F513" w14:textId="77777777" w:rsidR="008547B0" w:rsidRPr="00300A11" w:rsidRDefault="008547B0" w:rsidP="00754475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14:paraId="4E9E4E97" w14:textId="77777777" w:rsidR="008547B0" w:rsidRPr="00300A11" w:rsidRDefault="008547B0" w:rsidP="00754475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14:paraId="0741EBBF" w14:textId="1A01B58B" w:rsidR="009202B0" w:rsidRPr="00300A11" w:rsidRDefault="009202B0" w:rsidP="00754475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300A11">
        <w:rPr>
          <w:rFonts w:ascii="Arial" w:hAnsi="Arial" w:cs="Arial"/>
          <w:sz w:val="22"/>
          <w:szCs w:val="22"/>
        </w:rPr>
        <w:t>(…)</w:t>
      </w:r>
    </w:p>
    <w:p w14:paraId="4551A009" w14:textId="77777777" w:rsidR="009202B0" w:rsidRPr="00300A11" w:rsidRDefault="009202B0" w:rsidP="009202B0">
      <w:pPr>
        <w:pStyle w:val="Prrafodelista"/>
        <w:ind w:left="0" w:firstLine="567"/>
        <w:jc w:val="both"/>
        <w:rPr>
          <w:rFonts w:ascii="Arial" w:hAnsi="Arial" w:cs="Arial"/>
          <w:sz w:val="22"/>
          <w:szCs w:val="22"/>
        </w:rPr>
      </w:pPr>
    </w:p>
    <w:p w14:paraId="4A5B5AFC" w14:textId="13344258" w:rsidR="00B46F21" w:rsidRPr="00300A11" w:rsidRDefault="00B46F21" w:rsidP="00754475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300A11">
        <w:rPr>
          <w:rFonts w:ascii="Arial" w:hAnsi="Arial" w:cs="Arial"/>
          <w:sz w:val="22"/>
          <w:szCs w:val="22"/>
        </w:rPr>
        <w:t>(1</w:t>
      </w:r>
      <w:r w:rsidR="007B2639" w:rsidRPr="00300A11">
        <w:rPr>
          <w:rFonts w:ascii="Arial" w:hAnsi="Arial" w:cs="Arial"/>
          <w:sz w:val="22"/>
          <w:szCs w:val="22"/>
        </w:rPr>
        <w:t>6</w:t>
      </w:r>
      <w:r w:rsidRPr="00300A11">
        <w:rPr>
          <w:rFonts w:ascii="Arial" w:hAnsi="Arial" w:cs="Arial"/>
          <w:sz w:val="22"/>
          <w:szCs w:val="22"/>
        </w:rPr>
        <w:t xml:space="preserve">) </w:t>
      </w:r>
      <w:r w:rsidR="009202B0" w:rsidRPr="00300A11">
        <w:rPr>
          <w:rFonts w:ascii="Arial" w:hAnsi="Arial" w:cs="Arial"/>
          <w:sz w:val="22"/>
          <w:szCs w:val="22"/>
        </w:rPr>
        <w:t xml:space="preserve">Lo dispuesto en este numeral es aplicable a las infracciones en las que incurran sujetos distintos a aquellos </w:t>
      </w:r>
      <w:r w:rsidR="004162FE" w:rsidRPr="00300A11">
        <w:rPr>
          <w:rFonts w:ascii="Arial" w:hAnsi="Arial" w:cs="Arial"/>
          <w:sz w:val="22"/>
          <w:szCs w:val="22"/>
        </w:rPr>
        <w:t>compren</w:t>
      </w:r>
      <w:r w:rsidR="00B2659C" w:rsidRPr="00300A11">
        <w:rPr>
          <w:rFonts w:ascii="Arial" w:hAnsi="Arial" w:cs="Arial"/>
          <w:sz w:val="22"/>
          <w:szCs w:val="22"/>
        </w:rPr>
        <w:t>didos en el artículo 13-B</w:t>
      </w:r>
      <w:r w:rsidR="003C2852" w:rsidRPr="00300A11">
        <w:rPr>
          <w:rFonts w:ascii="Arial" w:hAnsi="Arial" w:cs="Arial"/>
          <w:sz w:val="22"/>
          <w:szCs w:val="22"/>
        </w:rPr>
        <w:t xml:space="preserve"> y a aquellas a que se refiere el numeral 2 del citado artículo</w:t>
      </w:r>
      <w:r w:rsidR="00CA1103" w:rsidRPr="00300A11">
        <w:rPr>
          <w:rFonts w:ascii="Arial" w:hAnsi="Arial" w:cs="Arial"/>
          <w:sz w:val="22"/>
          <w:szCs w:val="22"/>
        </w:rPr>
        <w:t>”</w:t>
      </w:r>
      <w:r w:rsidR="00B2659C" w:rsidRPr="00300A11">
        <w:rPr>
          <w:rFonts w:ascii="Arial" w:hAnsi="Arial" w:cs="Arial"/>
          <w:sz w:val="22"/>
          <w:szCs w:val="22"/>
        </w:rPr>
        <w:t>.</w:t>
      </w:r>
    </w:p>
    <w:p w14:paraId="38A79F8F" w14:textId="06368D65" w:rsidR="00D165B0" w:rsidRPr="00300A11" w:rsidRDefault="00D165B0" w:rsidP="00D165B0">
      <w:pPr>
        <w:pStyle w:val="Prrafodelista"/>
        <w:tabs>
          <w:tab w:val="left" w:pos="284"/>
          <w:tab w:val="left" w:pos="709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7DA6BAB" w14:textId="0D405CED" w:rsidR="00056027" w:rsidRPr="00300A11" w:rsidRDefault="00974C55" w:rsidP="00754475">
      <w:pPr>
        <w:pStyle w:val="Prrafodelista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Incorpórese </w:t>
      </w:r>
      <w:r w:rsidR="00D165B0" w:rsidRPr="00300A11">
        <w:rPr>
          <w:rFonts w:ascii="Arial" w:hAnsi="Arial" w:cs="Arial"/>
          <w:color w:val="000000" w:themeColor="text1"/>
          <w:sz w:val="22"/>
          <w:szCs w:val="22"/>
        </w:rPr>
        <w:t xml:space="preserve">como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>artículo 13-B del Reglamento</w:t>
      </w:r>
      <w:r w:rsidR="00887150" w:rsidRPr="00300A11">
        <w:rPr>
          <w:rFonts w:ascii="Arial" w:hAnsi="Arial" w:cs="Arial"/>
          <w:color w:val="000000" w:themeColor="text1"/>
          <w:sz w:val="22"/>
          <w:szCs w:val="22"/>
        </w:rPr>
        <w:t>,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7566" w:rsidRPr="00300A11">
        <w:rPr>
          <w:rFonts w:ascii="Arial" w:hAnsi="Arial" w:cs="Arial"/>
          <w:color w:val="000000" w:themeColor="text1"/>
          <w:sz w:val="22"/>
          <w:szCs w:val="22"/>
        </w:rPr>
        <w:t>el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 siguiente texto:</w:t>
      </w:r>
    </w:p>
    <w:p w14:paraId="2A5AC1DD" w14:textId="76CBF919" w:rsidR="00C17C49" w:rsidRPr="00300A11" w:rsidRDefault="00C17C49" w:rsidP="00C17C49">
      <w:pPr>
        <w:pStyle w:val="Prrafodelista"/>
        <w:tabs>
          <w:tab w:val="left" w:pos="284"/>
          <w:tab w:val="left" w:pos="709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1846BC" w14:textId="10FC103E" w:rsidR="00974C55" w:rsidRPr="00300A11" w:rsidRDefault="00974C55" w:rsidP="00754475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“Artículo 13-B</w:t>
      </w:r>
      <w:r w:rsidR="00F76945" w:rsidRPr="00300A1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D0B48" w:rsidRPr="00300A11">
        <w:rPr>
          <w:rFonts w:ascii="Arial" w:hAnsi="Arial" w:cs="Arial"/>
          <w:color w:val="000000" w:themeColor="text1"/>
          <w:sz w:val="22"/>
          <w:szCs w:val="22"/>
        </w:rPr>
        <w:t xml:space="preserve">Régimen de </w:t>
      </w:r>
      <w:r w:rsidR="00FA7566" w:rsidRPr="00300A11">
        <w:rPr>
          <w:rFonts w:ascii="Arial" w:hAnsi="Arial" w:cs="Arial"/>
          <w:color w:val="000000" w:themeColor="text1"/>
          <w:sz w:val="22"/>
          <w:szCs w:val="22"/>
        </w:rPr>
        <w:t>Gr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>adualidad aplicable a la infracción tipificada en el numeral 1 del artículo 176 del Código Tributario</w:t>
      </w:r>
      <w:r w:rsidR="00FA7566" w:rsidRPr="00300A11">
        <w:rPr>
          <w:rFonts w:ascii="Arial" w:hAnsi="Arial" w:cs="Arial"/>
          <w:color w:val="000000" w:themeColor="text1"/>
          <w:sz w:val="22"/>
          <w:szCs w:val="22"/>
        </w:rPr>
        <w:t xml:space="preserve"> en el caso de deudores tributarios </w:t>
      </w:r>
      <w:r w:rsidR="009D0B48" w:rsidRPr="00300A11">
        <w:rPr>
          <w:rFonts w:ascii="Arial" w:hAnsi="Arial" w:cs="Arial"/>
          <w:color w:val="000000" w:themeColor="text1"/>
          <w:sz w:val="22"/>
          <w:szCs w:val="22"/>
        </w:rPr>
        <w:t>d</w:t>
      </w:r>
      <w:r w:rsidR="00FA7566" w:rsidRPr="00300A11">
        <w:rPr>
          <w:rFonts w:ascii="Arial" w:hAnsi="Arial" w:cs="Arial"/>
          <w:color w:val="000000" w:themeColor="text1"/>
          <w:sz w:val="22"/>
          <w:szCs w:val="22"/>
        </w:rPr>
        <w:t xml:space="preserve">el Régimen General </w:t>
      </w:r>
      <w:r w:rsidR="009D0B48" w:rsidRPr="00300A11">
        <w:rPr>
          <w:rFonts w:ascii="Arial" w:hAnsi="Arial" w:cs="Arial"/>
          <w:color w:val="000000" w:themeColor="text1"/>
          <w:sz w:val="22"/>
          <w:szCs w:val="22"/>
        </w:rPr>
        <w:t xml:space="preserve">o Régimen Especial </w:t>
      </w:r>
      <w:r w:rsidR="00FA7566" w:rsidRPr="00300A11">
        <w:rPr>
          <w:rFonts w:ascii="Arial" w:hAnsi="Arial" w:cs="Arial"/>
          <w:color w:val="000000" w:themeColor="text1"/>
          <w:sz w:val="22"/>
          <w:szCs w:val="22"/>
        </w:rPr>
        <w:t>del Impuesto a la Renta</w:t>
      </w:r>
      <w:r w:rsidR="009D0B48" w:rsidRPr="00300A11">
        <w:rPr>
          <w:rFonts w:ascii="Arial" w:hAnsi="Arial" w:cs="Arial"/>
          <w:color w:val="000000" w:themeColor="text1"/>
          <w:sz w:val="22"/>
          <w:szCs w:val="22"/>
        </w:rPr>
        <w:t>,</w:t>
      </w:r>
      <w:r w:rsidR="00FA7566" w:rsidRPr="00300A11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r w:rsidR="009D0B48" w:rsidRPr="00300A11">
        <w:rPr>
          <w:rFonts w:ascii="Arial" w:hAnsi="Arial" w:cs="Arial"/>
          <w:color w:val="000000" w:themeColor="text1"/>
          <w:sz w:val="22"/>
          <w:szCs w:val="22"/>
        </w:rPr>
        <w:t xml:space="preserve">del </w:t>
      </w:r>
      <w:r w:rsidR="00FA7566" w:rsidRPr="00300A11">
        <w:rPr>
          <w:rFonts w:ascii="Arial" w:hAnsi="Arial" w:cs="Arial"/>
          <w:color w:val="000000" w:themeColor="text1"/>
          <w:sz w:val="22"/>
          <w:szCs w:val="22"/>
        </w:rPr>
        <w:t>Régimen MYPE Tributario cuyos ingresos netos del ejercicio anterior no superen las ciento cincuenta (150) UIT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438095B" w14:textId="64CBA56C" w:rsidR="00974C55" w:rsidRPr="00300A11" w:rsidRDefault="00974C55" w:rsidP="00981EEA">
      <w:pPr>
        <w:tabs>
          <w:tab w:val="left" w:pos="284"/>
          <w:tab w:val="left" w:pos="709"/>
          <w:tab w:val="left" w:pos="851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96175E" w14:textId="4EB7DBDB" w:rsidR="00974C55" w:rsidRPr="00300A11" w:rsidRDefault="00C92341" w:rsidP="009D0B48">
      <w:pPr>
        <w:pStyle w:val="Prrafodelista"/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L</w:t>
      </w:r>
      <w:r w:rsidR="00C83274" w:rsidRPr="00300A11">
        <w:rPr>
          <w:rFonts w:ascii="Arial" w:hAnsi="Arial" w:cs="Arial"/>
          <w:color w:val="000000" w:themeColor="text1"/>
          <w:sz w:val="22"/>
          <w:szCs w:val="22"/>
        </w:rPr>
        <w:t xml:space="preserve">a sanción de multa aplicable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a la infracción tipificada en el numeral 1 del artículo 176 del Código Tributario </w:t>
      </w:r>
      <w:r w:rsidR="00C83274" w:rsidRPr="00300A11">
        <w:rPr>
          <w:rFonts w:ascii="Arial" w:hAnsi="Arial" w:cs="Arial"/>
          <w:color w:val="000000" w:themeColor="text1"/>
          <w:sz w:val="22"/>
          <w:szCs w:val="22"/>
        </w:rPr>
        <w:t>conforme a las Tablas I y II</w:t>
      </w:r>
      <w:r w:rsidR="00E027DE" w:rsidRPr="00300A11">
        <w:rPr>
          <w:rFonts w:ascii="Arial" w:hAnsi="Arial" w:cs="Arial"/>
          <w:color w:val="000000" w:themeColor="text1"/>
          <w:sz w:val="22"/>
          <w:szCs w:val="22"/>
        </w:rPr>
        <w:t>,</w:t>
      </w:r>
      <w:r w:rsidR="00C83274"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en la que incurran </w:t>
      </w:r>
      <w:r w:rsidR="00C83274" w:rsidRPr="00300A11">
        <w:rPr>
          <w:rFonts w:ascii="Arial" w:hAnsi="Arial" w:cs="Arial"/>
          <w:color w:val="000000" w:themeColor="text1"/>
          <w:sz w:val="22"/>
          <w:szCs w:val="22"/>
        </w:rPr>
        <w:t>aquellos deudores tributarios comprendidos en el Régimen General del Impuesto a la Renta o Régimen MYPE Tributario</w:t>
      </w:r>
      <w:r w:rsidR="00572E15" w:rsidRPr="00300A11">
        <w:rPr>
          <w:rFonts w:ascii="Arial" w:hAnsi="Arial" w:cs="Arial"/>
          <w:color w:val="000000" w:themeColor="text1"/>
          <w:sz w:val="22"/>
          <w:szCs w:val="22"/>
        </w:rPr>
        <w:t>,</w:t>
      </w:r>
      <w:r w:rsidR="00C83274" w:rsidRPr="00300A11">
        <w:rPr>
          <w:rFonts w:ascii="Arial" w:hAnsi="Arial" w:cs="Arial"/>
          <w:color w:val="000000" w:themeColor="text1"/>
          <w:sz w:val="22"/>
          <w:szCs w:val="22"/>
        </w:rPr>
        <w:t xml:space="preserve"> o acogidos al Régimen Especial del Impuesto a la Renta cuyos ingresos netos </w:t>
      </w:r>
      <w:r w:rsidR="00293C5E" w:rsidRPr="00300A11">
        <w:rPr>
          <w:rFonts w:ascii="Arial" w:hAnsi="Arial" w:cs="Arial"/>
          <w:color w:val="000000" w:themeColor="text1"/>
          <w:sz w:val="22"/>
          <w:szCs w:val="22"/>
        </w:rPr>
        <w:t xml:space="preserve">por los períodos de enero a diciembre </w:t>
      </w:r>
      <w:r w:rsidR="00C83274" w:rsidRPr="00300A11">
        <w:rPr>
          <w:rFonts w:ascii="Arial" w:hAnsi="Arial" w:cs="Arial"/>
          <w:color w:val="000000" w:themeColor="text1"/>
          <w:sz w:val="22"/>
          <w:szCs w:val="22"/>
        </w:rPr>
        <w:t xml:space="preserve">del ejercicio anterior </w:t>
      </w:r>
      <w:r w:rsidR="005B58FA" w:rsidRPr="00300A11">
        <w:rPr>
          <w:rFonts w:ascii="Arial" w:hAnsi="Arial" w:cs="Arial"/>
          <w:color w:val="000000" w:themeColor="text1"/>
          <w:sz w:val="22"/>
          <w:szCs w:val="22"/>
        </w:rPr>
        <w:t xml:space="preserve"> al que corresponde </w:t>
      </w:r>
      <w:r w:rsidR="006B7C9B" w:rsidRPr="00300A11">
        <w:rPr>
          <w:rFonts w:ascii="Arial" w:hAnsi="Arial" w:cs="Arial"/>
          <w:color w:val="000000" w:themeColor="text1"/>
          <w:sz w:val="22"/>
          <w:szCs w:val="22"/>
        </w:rPr>
        <w:t xml:space="preserve">la declaración por la cual se </w:t>
      </w:r>
      <w:r w:rsidR="00AB2927" w:rsidRPr="00300A11">
        <w:rPr>
          <w:rFonts w:ascii="Arial" w:hAnsi="Arial" w:cs="Arial"/>
          <w:color w:val="000000" w:themeColor="text1"/>
          <w:sz w:val="22"/>
          <w:szCs w:val="22"/>
        </w:rPr>
        <w:t xml:space="preserve">incurrió en </w:t>
      </w:r>
      <w:r w:rsidR="002A4DBB" w:rsidRPr="00300A11">
        <w:rPr>
          <w:rFonts w:ascii="Arial" w:hAnsi="Arial" w:cs="Arial"/>
          <w:color w:val="000000" w:themeColor="text1"/>
          <w:sz w:val="22"/>
          <w:szCs w:val="22"/>
        </w:rPr>
        <w:t>la referida infracción</w:t>
      </w:r>
      <w:r w:rsidR="00C83274" w:rsidRPr="00300A11">
        <w:rPr>
          <w:rFonts w:ascii="Arial" w:hAnsi="Arial" w:cs="Arial"/>
          <w:color w:val="000000" w:themeColor="text1"/>
          <w:sz w:val="22"/>
          <w:szCs w:val="22"/>
        </w:rPr>
        <w:t>, no superen las ciento cincuenta (150) UIT</w:t>
      </w:r>
      <w:r w:rsidR="00E027DE" w:rsidRPr="00300A11">
        <w:rPr>
          <w:rFonts w:ascii="Arial" w:hAnsi="Arial" w:cs="Arial"/>
          <w:color w:val="000000" w:themeColor="text1"/>
          <w:sz w:val="22"/>
          <w:szCs w:val="22"/>
        </w:rPr>
        <w:t>,</w:t>
      </w:r>
      <w:r w:rsidR="00C83274"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se gradúa </w:t>
      </w:r>
      <w:r w:rsidR="00887150" w:rsidRPr="00300A11">
        <w:rPr>
          <w:rFonts w:ascii="Arial" w:hAnsi="Arial" w:cs="Arial"/>
          <w:color w:val="000000" w:themeColor="text1"/>
          <w:sz w:val="22"/>
          <w:szCs w:val="22"/>
        </w:rPr>
        <w:t>conforme a lo siguiente</w:t>
      </w:r>
      <w:r w:rsidR="00143AE3" w:rsidRPr="00300A1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39768DB" w14:textId="77777777" w:rsidR="001F2F50" w:rsidRPr="00300A11" w:rsidRDefault="001F2F50" w:rsidP="001F2F50">
      <w:pPr>
        <w:pStyle w:val="Prrafodelista"/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B4E83D" w14:textId="48E429FB" w:rsidR="00F76945" w:rsidRPr="00300A11" w:rsidRDefault="00F76945" w:rsidP="00F76945">
      <w:pPr>
        <w:tabs>
          <w:tab w:val="left" w:pos="284"/>
          <w:tab w:val="left" w:pos="851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1924"/>
        <w:gridCol w:w="1924"/>
        <w:gridCol w:w="1284"/>
        <w:gridCol w:w="1433"/>
      </w:tblGrid>
      <w:tr w:rsidR="00EA18BA" w:rsidRPr="00300A11" w14:paraId="45EAB754" w14:textId="77777777" w:rsidTr="00EA18BA">
        <w:trPr>
          <w:trHeight w:val="154"/>
        </w:trPr>
        <w:tc>
          <w:tcPr>
            <w:tcW w:w="1133" w:type="pct"/>
            <w:vMerge w:val="restart"/>
            <w:shd w:val="clear" w:color="auto" w:fill="D9D9D9" w:themeFill="background1" w:themeFillShade="D9"/>
          </w:tcPr>
          <w:p w14:paraId="7FEA6444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E158295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A3F6DF5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E6A5C6B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1685E00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BEAD37C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ABFF958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1CD53E9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D18F6E9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DESCRIPCIÓN DE LA INFRACCIÓN</w:t>
            </w:r>
          </w:p>
        </w:tc>
        <w:tc>
          <w:tcPr>
            <w:tcW w:w="1133" w:type="pct"/>
            <w:vMerge w:val="restart"/>
            <w:shd w:val="clear" w:color="auto" w:fill="D9D9D9" w:themeFill="background1" w:themeFillShade="D9"/>
          </w:tcPr>
          <w:p w14:paraId="51C521F5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2B4A1A1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6A94700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715969B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23F765A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7AC1D75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0F2E546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1528B1D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6AFCBD4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-65" w:right="-74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FORMA DE SUBSANAR LA INFRACCIÓN</w:t>
            </w:r>
          </w:p>
        </w:tc>
        <w:tc>
          <w:tcPr>
            <w:tcW w:w="2733" w:type="pct"/>
            <w:gridSpan w:val="3"/>
            <w:shd w:val="clear" w:color="auto" w:fill="D9D9D9" w:themeFill="background1" w:themeFillShade="D9"/>
          </w:tcPr>
          <w:p w14:paraId="212B33E6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CRITERIOS DE GRADUALIDAD: SUBSANACIÓN (1) Y/O PAGO (2)</w:t>
            </w:r>
          </w:p>
          <w:p w14:paraId="1172B4A8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8894A0C" w14:textId="77B031F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(Porcentaje de Rebaja de la Multa establecida en las Tablas</w:t>
            </w:r>
            <w:r w:rsidR="002A4DBB" w:rsidRPr="00300A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I y II</w:t>
            </w:r>
            <w:r w:rsidRPr="00300A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EA18BA" w:rsidRPr="00300A11" w14:paraId="2B85476D" w14:textId="77777777" w:rsidTr="00EA18BA">
        <w:trPr>
          <w:trHeight w:val="220"/>
        </w:trPr>
        <w:tc>
          <w:tcPr>
            <w:tcW w:w="1133" w:type="pct"/>
            <w:vMerge/>
            <w:shd w:val="clear" w:color="auto" w:fill="D9D9D9" w:themeFill="background1" w:themeFillShade="D9"/>
          </w:tcPr>
          <w:p w14:paraId="2EB3CC23" w14:textId="77777777" w:rsidR="00EA18BA" w:rsidRPr="00300A11" w:rsidRDefault="00EA18BA" w:rsidP="00302EEF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pct"/>
            <w:vMerge/>
            <w:shd w:val="clear" w:color="auto" w:fill="D9D9D9" w:themeFill="background1" w:themeFillShade="D9"/>
          </w:tcPr>
          <w:p w14:paraId="42AB3082" w14:textId="77777777" w:rsidR="00EA18BA" w:rsidRPr="00300A11" w:rsidRDefault="00EA18BA" w:rsidP="00302EEF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</w:tcPr>
          <w:p w14:paraId="3C70C43E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SUBSANACIÓN VOLUNTARIA</w:t>
            </w:r>
          </w:p>
        </w:tc>
        <w:tc>
          <w:tcPr>
            <w:tcW w:w="1600" w:type="pct"/>
            <w:gridSpan w:val="2"/>
            <w:shd w:val="clear" w:color="auto" w:fill="D9D9D9" w:themeFill="background1" w:themeFillShade="D9"/>
          </w:tcPr>
          <w:p w14:paraId="4D255045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-11" w:right="-74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SUBSANACIÓN INDUCIDA</w:t>
            </w:r>
          </w:p>
        </w:tc>
      </w:tr>
      <w:tr w:rsidR="00EA18BA" w:rsidRPr="00300A11" w14:paraId="2939DCC0" w14:textId="77777777" w:rsidTr="00EA18BA">
        <w:trPr>
          <w:trHeight w:val="107"/>
        </w:trPr>
        <w:tc>
          <w:tcPr>
            <w:tcW w:w="1133" w:type="pct"/>
            <w:vMerge/>
            <w:shd w:val="clear" w:color="auto" w:fill="D9D9D9" w:themeFill="background1" w:themeFillShade="D9"/>
          </w:tcPr>
          <w:p w14:paraId="48A401C6" w14:textId="77777777" w:rsidR="00EA18BA" w:rsidRPr="00300A11" w:rsidRDefault="00EA18BA" w:rsidP="00302EEF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pct"/>
            <w:vMerge/>
            <w:shd w:val="clear" w:color="auto" w:fill="D9D9D9" w:themeFill="background1" w:themeFillShade="D9"/>
          </w:tcPr>
          <w:p w14:paraId="56E4D535" w14:textId="77777777" w:rsidR="00EA18BA" w:rsidRPr="00300A11" w:rsidRDefault="00EA18BA" w:rsidP="00302EEF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pct"/>
            <w:vMerge w:val="restart"/>
            <w:shd w:val="clear" w:color="auto" w:fill="D9D9D9" w:themeFill="background1" w:themeFillShade="D9"/>
          </w:tcPr>
          <w:p w14:paraId="23D428A6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Si se subsana la infracción antes que surta efecto la notificación de la SUNAT en la que se le indica al infractor que ha incurrido en infracción (3)</w:t>
            </w:r>
          </w:p>
        </w:tc>
        <w:tc>
          <w:tcPr>
            <w:tcW w:w="1600" w:type="pct"/>
            <w:gridSpan w:val="2"/>
            <w:shd w:val="clear" w:color="auto" w:fill="D9D9D9" w:themeFill="background1" w:themeFillShade="D9"/>
          </w:tcPr>
          <w:p w14:paraId="1D282C58" w14:textId="55DA3448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Si se subsana la infracción a partir de la fecha en que surta efecto la notificación en la que se le indica al infractor que ha incurrido en infracción hasta el sétimo día hábil posterior a la notificación de la resolución de ejecución coactiva relativa a la resolución de multa, de corresponder.</w:t>
            </w:r>
          </w:p>
        </w:tc>
      </w:tr>
      <w:tr w:rsidR="00EA18BA" w:rsidRPr="00300A11" w14:paraId="3921FEA2" w14:textId="77777777" w:rsidTr="00EA18BA">
        <w:trPr>
          <w:trHeight w:val="140"/>
        </w:trPr>
        <w:tc>
          <w:tcPr>
            <w:tcW w:w="1133" w:type="pct"/>
            <w:vMerge/>
            <w:tcBorders>
              <w:bottom w:val="single" w:sz="6" w:space="0" w:color="auto"/>
            </w:tcBorders>
          </w:tcPr>
          <w:p w14:paraId="671A6186" w14:textId="77777777" w:rsidR="00EA18BA" w:rsidRPr="00300A11" w:rsidRDefault="00EA18BA" w:rsidP="00302EEF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pct"/>
            <w:vMerge/>
            <w:tcBorders>
              <w:bottom w:val="single" w:sz="6" w:space="0" w:color="auto"/>
            </w:tcBorders>
          </w:tcPr>
          <w:p w14:paraId="7A1C4F7B" w14:textId="77777777" w:rsidR="00EA18BA" w:rsidRPr="00300A11" w:rsidRDefault="00EA18BA" w:rsidP="00302EEF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pct"/>
            <w:vMerge/>
            <w:shd w:val="clear" w:color="auto" w:fill="D9D9D9" w:themeFill="background1" w:themeFillShade="D9"/>
          </w:tcPr>
          <w:p w14:paraId="575574F7" w14:textId="67B6D05F" w:rsidR="00EA18BA" w:rsidRPr="00300A11" w:rsidRDefault="00EA18BA" w:rsidP="00302EEF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6" w:type="pct"/>
            <w:shd w:val="clear" w:color="auto" w:fill="D9D9D9" w:themeFill="background1" w:themeFillShade="D9"/>
          </w:tcPr>
          <w:p w14:paraId="04751E45" w14:textId="77777777" w:rsidR="00EA18BA" w:rsidRPr="00300A11" w:rsidRDefault="00EA18BA" w:rsidP="00F366A9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Sin Pago (2)</w:t>
            </w:r>
          </w:p>
        </w:tc>
        <w:tc>
          <w:tcPr>
            <w:tcW w:w="844" w:type="pct"/>
            <w:shd w:val="clear" w:color="auto" w:fill="D9D9D9" w:themeFill="background1" w:themeFillShade="D9"/>
          </w:tcPr>
          <w:p w14:paraId="1C16FE2E" w14:textId="77777777" w:rsidR="00EA18BA" w:rsidRPr="00300A11" w:rsidRDefault="00EA18BA" w:rsidP="00F366A9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Con Pago (2)</w:t>
            </w:r>
          </w:p>
        </w:tc>
      </w:tr>
      <w:tr w:rsidR="00EA18BA" w:rsidRPr="00300A11" w14:paraId="00893931" w14:textId="77777777" w:rsidTr="00C03533">
        <w:trPr>
          <w:trHeight w:val="114"/>
        </w:trPr>
        <w:tc>
          <w:tcPr>
            <w:tcW w:w="1133" w:type="pct"/>
            <w:tcBorders>
              <w:bottom w:val="single" w:sz="6" w:space="0" w:color="auto"/>
            </w:tcBorders>
          </w:tcPr>
          <w:p w14:paraId="5F0FBA55" w14:textId="4B76B5F9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No presentar las declaraciones que contengan la determinación de la deuda tributaria dentro de los plazos establecidos: </w:t>
            </w:r>
          </w:p>
          <w:p w14:paraId="796C4ABB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A7BF1CD" w14:textId="77777777" w:rsidR="00EA18BA" w:rsidRPr="00300A11" w:rsidRDefault="00EA18BA" w:rsidP="00302EEF">
            <w:pPr>
              <w:pStyle w:val="Prrafodelista"/>
              <w:numPr>
                <w:ilvl w:val="0"/>
                <w:numId w:val="34"/>
              </w:numPr>
              <w:tabs>
                <w:tab w:val="left" w:pos="851"/>
              </w:tabs>
              <w:ind w:left="191" w:hanging="191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Si se omitió presentar la declaración.</w:t>
            </w:r>
          </w:p>
          <w:p w14:paraId="0FF827B5" w14:textId="77777777" w:rsidR="00EA18BA" w:rsidRPr="00300A11" w:rsidRDefault="00EA18BA" w:rsidP="00302EEF">
            <w:pPr>
              <w:pStyle w:val="Prrafodelista"/>
              <w:tabs>
                <w:tab w:val="left" w:pos="851"/>
              </w:tabs>
              <w:ind w:left="191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pct"/>
            <w:tcBorders>
              <w:bottom w:val="single" w:sz="6" w:space="0" w:color="auto"/>
            </w:tcBorders>
          </w:tcPr>
          <w:p w14:paraId="3E180340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Presentando:</w:t>
            </w:r>
          </w:p>
          <w:p w14:paraId="3A418671" w14:textId="77777777" w:rsidR="00EA18BA" w:rsidRPr="00300A11" w:rsidRDefault="00EA18BA" w:rsidP="00302EEF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ECF6EDE" w14:textId="331433BC" w:rsidR="00EA18BA" w:rsidRPr="00300A11" w:rsidRDefault="00EA18BA" w:rsidP="00302EEF">
            <w:pPr>
              <w:pStyle w:val="Prrafodelista"/>
              <w:numPr>
                <w:ilvl w:val="0"/>
                <w:numId w:val="34"/>
              </w:numPr>
              <w:tabs>
                <w:tab w:val="left" w:pos="354"/>
                <w:tab w:val="left" w:pos="851"/>
              </w:tabs>
              <w:ind w:left="70" w:hanging="7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La declaración jurada correspondiente</w:t>
            </w:r>
            <w:r w:rsidR="00C03533"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 omitió presentarla; o</w:t>
            </w:r>
          </w:p>
        </w:tc>
        <w:tc>
          <w:tcPr>
            <w:tcW w:w="1133" w:type="pct"/>
            <w:tcBorders>
              <w:bottom w:val="single" w:sz="6" w:space="0" w:color="auto"/>
            </w:tcBorders>
            <w:vAlign w:val="center"/>
          </w:tcPr>
          <w:p w14:paraId="222CF7AA" w14:textId="71F23E06" w:rsidR="00EA18BA" w:rsidRPr="00300A11" w:rsidRDefault="00EA18BA" w:rsidP="00F366A9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756" w:type="pct"/>
            <w:vAlign w:val="center"/>
          </w:tcPr>
          <w:p w14:paraId="3226084E" w14:textId="560DA842" w:rsidR="00EA18BA" w:rsidRPr="00300A11" w:rsidRDefault="00EA18BA" w:rsidP="00C03533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90%</w:t>
            </w:r>
          </w:p>
        </w:tc>
        <w:tc>
          <w:tcPr>
            <w:tcW w:w="844" w:type="pct"/>
            <w:vAlign w:val="center"/>
          </w:tcPr>
          <w:p w14:paraId="7819601D" w14:textId="000BC36D" w:rsidR="00EA18BA" w:rsidRPr="00300A11" w:rsidRDefault="00EA18BA" w:rsidP="00C03533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2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95%</w:t>
            </w:r>
          </w:p>
        </w:tc>
      </w:tr>
      <w:tr w:rsidR="00EA18BA" w:rsidRPr="00300A11" w14:paraId="60811859" w14:textId="77777777" w:rsidTr="00EA18BA">
        <w:trPr>
          <w:trHeight w:val="307"/>
        </w:trPr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55E7" w14:textId="3B0D355F" w:rsidR="00EA18BA" w:rsidRPr="00300A11" w:rsidRDefault="00EA18BA" w:rsidP="00302EEF">
            <w:pPr>
              <w:pStyle w:val="Prrafodelista"/>
              <w:numPr>
                <w:ilvl w:val="0"/>
                <w:numId w:val="34"/>
              </w:numPr>
              <w:tabs>
                <w:tab w:val="left" w:pos="851"/>
              </w:tabs>
              <w:ind w:left="191" w:hanging="191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Si se consideró como no presentada la declaración. (</w:t>
            </w:r>
            <w:r w:rsidR="00330436"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A4491" w14:textId="6E813F6F" w:rsidR="00EA18BA" w:rsidRPr="00300A11" w:rsidRDefault="00EA18BA" w:rsidP="00C03533">
            <w:pPr>
              <w:pStyle w:val="Prrafodelista"/>
              <w:numPr>
                <w:ilvl w:val="0"/>
                <w:numId w:val="34"/>
              </w:numPr>
              <w:tabs>
                <w:tab w:val="left" w:pos="125"/>
                <w:tab w:val="left" w:pos="851"/>
              </w:tabs>
              <w:ind w:left="125" w:hanging="125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El formulario virtual “Solicitud de Modificación y/o Inclusión de Datos</w:t>
            </w:r>
            <w:r w:rsidR="00AB2927"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”</w:t>
            </w: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, si se consideró no presentada la declaración al haberse omitido o consignado en forma errada, el número de RUC</w:t>
            </w:r>
            <w:r w:rsidR="00C03533"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</w:t>
            </w: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el periodo tributario, según corresponda.</w:t>
            </w:r>
          </w:p>
        </w:tc>
        <w:tc>
          <w:tcPr>
            <w:tcW w:w="1133" w:type="pct"/>
            <w:tcBorders>
              <w:left w:val="single" w:sz="6" w:space="0" w:color="auto"/>
            </w:tcBorders>
          </w:tcPr>
          <w:p w14:paraId="32A8FDA9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81818BF" w14:textId="77777777" w:rsidR="00EA18BA" w:rsidRPr="00300A11" w:rsidRDefault="00EA18BA" w:rsidP="00302EEF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1600" w:type="pct"/>
            <w:gridSpan w:val="2"/>
          </w:tcPr>
          <w:p w14:paraId="6F7A1922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No se aplica criterio de gradualidad de pago</w:t>
            </w:r>
          </w:p>
          <w:p w14:paraId="3A232952" w14:textId="77777777" w:rsidR="00EA18BA" w:rsidRPr="00300A11" w:rsidRDefault="00EA18BA" w:rsidP="00302EEF">
            <w:pPr>
              <w:pStyle w:val="Prrafode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1F509AD" w14:textId="77777777" w:rsidR="00EA18BA" w:rsidRPr="00300A11" w:rsidRDefault="00EA18BA" w:rsidP="00302EEF">
            <w:pPr>
              <w:pStyle w:val="Prrafodelista"/>
              <w:tabs>
                <w:tab w:val="left" w:pos="284"/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0A11">
              <w:rPr>
                <w:rFonts w:ascii="Arial" w:hAnsi="Arial" w:cs="Arial"/>
                <w:color w:val="000000" w:themeColor="text1"/>
                <w:sz w:val="16"/>
                <w:szCs w:val="16"/>
              </w:rPr>
              <w:t>100%</w:t>
            </w:r>
          </w:p>
        </w:tc>
      </w:tr>
    </w:tbl>
    <w:p w14:paraId="742B52F4" w14:textId="3D1A5380" w:rsidR="00F76945" w:rsidRPr="00300A11" w:rsidRDefault="00F76945" w:rsidP="00F76945">
      <w:pPr>
        <w:tabs>
          <w:tab w:val="left" w:pos="284"/>
          <w:tab w:val="left" w:pos="851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74BAEE" w14:textId="1AF55112" w:rsidR="00A55166" w:rsidRPr="00300A11" w:rsidRDefault="00A55166" w:rsidP="00EA18BA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00A11">
        <w:rPr>
          <w:rFonts w:ascii="Arial" w:hAnsi="Arial" w:cs="Arial"/>
          <w:color w:val="000000" w:themeColor="text1"/>
          <w:sz w:val="16"/>
          <w:szCs w:val="16"/>
        </w:rPr>
        <w:t xml:space="preserve">(1) </w:t>
      </w:r>
      <w:r w:rsidR="00EA18BA" w:rsidRPr="00300A11">
        <w:rPr>
          <w:rFonts w:ascii="Arial" w:hAnsi="Arial" w:cs="Arial"/>
          <w:color w:val="000000" w:themeColor="text1"/>
          <w:sz w:val="16"/>
          <w:szCs w:val="16"/>
        </w:rPr>
        <w:tab/>
      </w:r>
      <w:r w:rsidRPr="00300A11">
        <w:rPr>
          <w:rFonts w:ascii="Arial" w:hAnsi="Arial" w:cs="Arial"/>
          <w:color w:val="000000" w:themeColor="text1"/>
          <w:sz w:val="16"/>
          <w:szCs w:val="16"/>
        </w:rPr>
        <w:t xml:space="preserve">Este criterio es definido en el numeral 13.7. del </w:t>
      </w:r>
      <w:r w:rsidR="00C03533" w:rsidRPr="00300A11">
        <w:rPr>
          <w:rFonts w:ascii="Arial" w:hAnsi="Arial" w:cs="Arial"/>
          <w:color w:val="000000" w:themeColor="text1"/>
          <w:sz w:val="16"/>
          <w:szCs w:val="16"/>
        </w:rPr>
        <w:t>a</w:t>
      </w:r>
      <w:r w:rsidRPr="00300A11">
        <w:rPr>
          <w:rFonts w:ascii="Arial" w:hAnsi="Arial" w:cs="Arial"/>
          <w:color w:val="000000" w:themeColor="text1"/>
          <w:sz w:val="16"/>
          <w:szCs w:val="16"/>
        </w:rPr>
        <w:t>rtículo 13.</w:t>
      </w:r>
    </w:p>
    <w:p w14:paraId="56343744" w14:textId="6ED43664" w:rsidR="00A55166" w:rsidRPr="00300A11" w:rsidRDefault="00A55166" w:rsidP="00EA18BA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00A11">
        <w:rPr>
          <w:rFonts w:ascii="Arial" w:hAnsi="Arial" w:cs="Arial"/>
          <w:color w:val="000000" w:themeColor="text1"/>
          <w:sz w:val="16"/>
          <w:szCs w:val="16"/>
        </w:rPr>
        <w:t xml:space="preserve">(2) </w:t>
      </w:r>
      <w:r w:rsidR="00EA18BA" w:rsidRPr="00300A11">
        <w:rPr>
          <w:rFonts w:ascii="Arial" w:hAnsi="Arial" w:cs="Arial"/>
          <w:color w:val="000000" w:themeColor="text1"/>
          <w:sz w:val="16"/>
          <w:szCs w:val="16"/>
        </w:rPr>
        <w:tab/>
      </w:r>
      <w:r w:rsidRPr="00300A11">
        <w:rPr>
          <w:rFonts w:ascii="Arial" w:hAnsi="Arial" w:cs="Arial"/>
          <w:color w:val="000000" w:themeColor="text1"/>
          <w:sz w:val="16"/>
          <w:szCs w:val="16"/>
        </w:rPr>
        <w:t xml:space="preserve">Este criterio es definido en el numeral 13.5. del </w:t>
      </w:r>
      <w:r w:rsidR="00C03533" w:rsidRPr="00300A11">
        <w:rPr>
          <w:rFonts w:ascii="Arial" w:hAnsi="Arial" w:cs="Arial"/>
          <w:color w:val="000000" w:themeColor="text1"/>
          <w:sz w:val="16"/>
          <w:szCs w:val="16"/>
        </w:rPr>
        <w:t>a</w:t>
      </w:r>
      <w:r w:rsidRPr="00300A11">
        <w:rPr>
          <w:rFonts w:ascii="Arial" w:hAnsi="Arial" w:cs="Arial"/>
          <w:color w:val="000000" w:themeColor="text1"/>
          <w:sz w:val="16"/>
          <w:szCs w:val="16"/>
        </w:rPr>
        <w:t>rtículo 13.</w:t>
      </w:r>
    </w:p>
    <w:p w14:paraId="26A9E839" w14:textId="138123FD" w:rsidR="00A55166" w:rsidRPr="00300A11" w:rsidRDefault="00A55166" w:rsidP="00EA18BA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00A11">
        <w:rPr>
          <w:rFonts w:ascii="Arial" w:hAnsi="Arial" w:cs="Arial"/>
          <w:color w:val="000000" w:themeColor="text1"/>
          <w:sz w:val="16"/>
          <w:szCs w:val="16"/>
        </w:rPr>
        <w:t xml:space="preserve">(3) </w:t>
      </w:r>
      <w:r w:rsidR="00EA18BA" w:rsidRPr="00300A11">
        <w:rPr>
          <w:rFonts w:ascii="Arial" w:hAnsi="Arial" w:cs="Arial"/>
          <w:color w:val="000000" w:themeColor="text1"/>
          <w:sz w:val="16"/>
          <w:szCs w:val="16"/>
        </w:rPr>
        <w:tab/>
      </w:r>
      <w:r w:rsidRPr="00300A11">
        <w:rPr>
          <w:rFonts w:ascii="Arial" w:hAnsi="Arial" w:cs="Arial"/>
          <w:color w:val="000000" w:themeColor="text1"/>
          <w:sz w:val="16"/>
          <w:szCs w:val="16"/>
        </w:rPr>
        <w:t xml:space="preserve">El </w:t>
      </w:r>
      <w:r w:rsidR="00C03533" w:rsidRPr="00300A11">
        <w:rPr>
          <w:rFonts w:ascii="Arial" w:hAnsi="Arial" w:cs="Arial"/>
          <w:color w:val="000000" w:themeColor="text1"/>
          <w:sz w:val="16"/>
          <w:szCs w:val="16"/>
        </w:rPr>
        <w:t>a</w:t>
      </w:r>
      <w:r w:rsidRPr="00300A11">
        <w:rPr>
          <w:rFonts w:ascii="Arial" w:hAnsi="Arial" w:cs="Arial"/>
          <w:color w:val="000000" w:themeColor="text1"/>
          <w:sz w:val="16"/>
          <w:szCs w:val="16"/>
        </w:rPr>
        <w:t>rtículo 106 del Código Tributario señala que las notificaciones surtirán efectos desde el día hábil siguiente al de su recepción, entrega o depósito, según corresponda</w:t>
      </w:r>
      <w:r w:rsidR="00E027DE" w:rsidRPr="00300A11">
        <w:rPr>
          <w:rFonts w:ascii="Arial" w:hAnsi="Arial" w:cs="Arial"/>
          <w:color w:val="000000" w:themeColor="text1"/>
          <w:sz w:val="16"/>
          <w:szCs w:val="16"/>
        </w:rPr>
        <w:t>.</w:t>
      </w:r>
      <w:r w:rsidRPr="00300A11">
        <w:rPr>
          <w:rFonts w:ascii="Arial" w:hAnsi="Arial" w:cs="Arial"/>
          <w:color w:val="000000" w:themeColor="text1"/>
          <w:sz w:val="16"/>
          <w:szCs w:val="16"/>
        </w:rPr>
        <w:t xml:space="preserve"> Cuando la notificación se realice mediante publicación se deberá tener en cuenta lo previsto en el referido artículo.</w:t>
      </w:r>
    </w:p>
    <w:p w14:paraId="23CB0766" w14:textId="2C0C4D2A" w:rsidR="00A55166" w:rsidRPr="00300A11" w:rsidRDefault="00A55166" w:rsidP="00EA18BA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00A11">
        <w:rPr>
          <w:rFonts w:ascii="Arial" w:hAnsi="Arial" w:cs="Arial"/>
          <w:color w:val="000000" w:themeColor="text1"/>
          <w:sz w:val="16"/>
          <w:szCs w:val="16"/>
        </w:rPr>
        <w:t>(</w:t>
      </w:r>
      <w:r w:rsidR="00E027DE" w:rsidRPr="00300A11">
        <w:rPr>
          <w:rFonts w:ascii="Arial" w:hAnsi="Arial" w:cs="Arial"/>
          <w:color w:val="000000" w:themeColor="text1"/>
          <w:sz w:val="16"/>
          <w:szCs w:val="16"/>
        </w:rPr>
        <w:t>4</w:t>
      </w:r>
      <w:r w:rsidRPr="00300A11">
        <w:rPr>
          <w:rFonts w:ascii="Arial" w:hAnsi="Arial" w:cs="Arial"/>
          <w:color w:val="000000" w:themeColor="text1"/>
          <w:sz w:val="16"/>
          <w:szCs w:val="16"/>
        </w:rPr>
        <w:t xml:space="preserve">) </w:t>
      </w:r>
      <w:r w:rsidR="00EA18BA" w:rsidRPr="00300A11">
        <w:rPr>
          <w:rFonts w:ascii="Arial" w:hAnsi="Arial" w:cs="Arial"/>
          <w:color w:val="000000" w:themeColor="text1"/>
          <w:sz w:val="16"/>
          <w:szCs w:val="16"/>
        </w:rPr>
        <w:tab/>
      </w:r>
      <w:r w:rsidRPr="00300A11">
        <w:rPr>
          <w:rFonts w:ascii="Arial" w:hAnsi="Arial" w:cs="Arial"/>
          <w:color w:val="000000" w:themeColor="text1"/>
          <w:sz w:val="16"/>
          <w:szCs w:val="16"/>
        </w:rPr>
        <w:t>Se considera como no presentada la declaración, si se omitió o se consignó en forma errada, el número de RUC o el período tributario, según corresponda.</w:t>
      </w:r>
    </w:p>
    <w:p w14:paraId="569AEC90" w14:textId="46D357BD" w:rsidR="00C77E49" w:rsidRPr="00300A11" w:rsidRDefault="00C77E49" w:rsidP="007D51AB">
      <w:pPr>
        <w:pStyle w:val="Prrafodelista"/>
        <w:tabs>
          <w:tab w:val="left" w:pos="284"/>
          <w:tab w:val="left" w:pos="709"/>
          <w:tab w:val="left" w:pos="851"/>
        </w:tabs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629762" w14:textId="0FCC6760" w:rsidR="00B74CF3" w:rsidRPr="00300A11" w:rsidRDefault="00B74CF3" w:rsidP="009D0B48">
      <w:pPr>
        <w:pStyle w:val="Prrafodelista"/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Lo dispuesto en el presente artículo no comprende a la sanción de multa por la infracción del numeral 1 del artículo 176 del Código Tributario en la que incurran los deudores tributarios </w:t>
      </w:r>
      <w:r w:rsidR="003C2852" w:rsidRPr="00300A11">
        <w:rPr>
          <w:rFonts w:ascii="Arial" w:hAnsi="Arial" w:cs="Arial"/>
          <w:color w:val="000000" w:themeColor="text1"/>
          <w:sz w:val="22"/>
          <w:szCs w:val="22"/>
        </w:rPr>
        <w:t xml:space="preserve">del numeral 1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por no </w:t>
      </w:r>
      <w:r w:rsidR="00504493" w:rsidRPr="00300A11">
        <w:rPr>
          <w:rFonts w:ascii="Arial" w:hAnsi="Arial" w:cs="Arial"/>
          <w:color w:val="000000" w:themeColor="text1"/>
          <w:sz w:val="22"/>
          <w:szCs w:val="22"/>
        </w:rPr>
        <w:t>presentar la</w:t>
      </w:r>
      <w:r w:rsidR="00782E76" w:rsidRPr="00300A11">
        <w:rPr>
          <w:rFonts w:ascii="Arial" w:hAnsi="Arial" w:cs="Arial"/>
          <w:color w:val="000000" w:themeColor="text1"/>
          <w:sz w:val="22"/>
          <w:szCs w:val="22"/>
        </w:rPr>
        <w:t>s</w:t>
      </w:r>
      <w:r w:rsidR="00504493"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>declara</w:t>
      </w:r>
      <w:r w:rsidR="00504493" w:rsidRPr="00300A11">
        <w:rPr>
          <w:rFonts w:ascii="Arial" w:hAnsi="Arial" w:cs="Arial"/>
          <w:color w:val="000000" w:themeColor="text1"/>
          <w:sz w:val="22"/>
          <w:szCs w:val="22"/>
        </w:rPr>
        <w:t>ciones</w:t>
      </w:r>
      <w:r w:rsidR="00782E76" w:rsidRPr="00300A11">
        <w:rPr>
          <w:rFonts w:ascii="Arial" w:hAnsi="Arial" w:cs="Arial"/>
          <w:color w:val="000000" w:themeColor="text1"/>
          <w:sz w:val="22"/>
          <w:szCs w:val="22"/>
        </w:rPr>
        <w:t xml:space="preserve"> anuales</w:t>
      </w:r>
      <w:r w:rsidR="00BE1245" w:rsidRPr="00300A11">
        <w:rPr>
          <w:rFonts w:ascii="Arial" w:hAnsi="Arial" w:cs="Arial"/>
          <w:color w:val="000000" w:themeColor="text1"/>
          <w:sz w:val="22"/>
          <w:szCs w:val="22"/>
        </w:rPr>
        <w:t xml:space="preserve"> o mensuales </w:t>
      </w:r>
      <w:r w:rsidR="00782E76" w:rsidRPr="00300A11">
        <w:rPr>
          <w:rFonts w:ascii="Arial" w:hAnsi="Arial" w:cs="Arial"/>
          <w:color w:val="000000" w:themeColor="text1"/>
          <w:sz w:val="22"/>
          <w:szCs w:val="22"/>
        </w:rPr>
        <w:t>por</w:t>
      </w:r>
      <w:r w:rsidR="00D24FD6"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>rentas distintas a las de tercera categoría</w:t>
      </w:r>
      <w:r w:rsidR="00C01846" w:rsidRPr="00300A11">
        <w:rPr>
          <w:rFonts w:ascii="Arial" w:hAnsi="Arial" w:cs="Arial"/>
          <w:color w:val="000000" w:themeColor="text1"/>
          <w:sz w:val="22"/>
          <w:szCs w:val="22"/>
        </w:rPr>
        <w:t xml:space="preserve"> de cuenta propia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5D7628" w14:textId="4C55DF41" w:rsidR="00B74CF3" w:rsidRPr="00300A11" w:rsidRDefault="00B74CF3" w:rsidP="007D51AB">
      <w:pPr>
        <w:pStyle w:val="Prrafodelista"/>
        <w:tabs>
          <w:tab w:val="left" w:pos="284"/>
          <w:tab w:val="left" w:pos="709"/>
          <w:tab w:val="left" w:pos="851"/>
        </w:tabs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</w:t>
      </w:r>
    </w:p>
    <w:p w14:paraId="67714D59" w14:textId="6BA8906A" w:rsidR="001430D9" w:rsidRPr="00300A11" w:rsidRDefault="00143AE3" w:rsidP="009D0B48">
      <w:pPr>
        <w:pStyle w:val="Prrafodelista"/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Para </w:t>
      </w:r>
      <w:r w:rsidR="001430D9" w:rsidRPr="00300A11">
        <w:rPr>
          <w:rFonts w:ascii="Arial" w:hAnsi="Arial" w:cs="Arial"/>
          <w:color w:val="000000" w:themeColor="text1"/>
          <w:sz w:val="22"/>
          <w:szCs w:val="22"/>
        </w:rPr>
        <w:t>efecto de lo dispuesto en el numeral 1</w:t>
      </w:r>
      <w:r w:rsidR="00A361F0" w:rsidRPr="00300A1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A7DFFF1" w14:textId="77777777" w:rsidR="0023122A" w:rsidRPr="00300A11" w:rsidRDefault="0023122A" w:rsidP="001430D9">
      <w:pPr>
        <w:pStyle w:val="Prrafodelista"/>
        <w:tabs>
          <w:tab w:val="left" w:pos="284"/>
          <w:tab w:val="left" w:pos="851"/>
        </w:tabs>
        <w:ind w:left="709"/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</w:p>
    <w:p w14:paraId="3293B60E" w14:textId="1661B240" w:rsidR="00C210E8" w:rsidRPr="00300A11" w:rsidRDefault="00A361F0" w:rsidP="009D0B48">
      <w:pPr>
        <w:pStyle w:val="Prrafodelista"/>
        <w:numPr>
          <w:ilvl w:val="0"/>
          <w:numId w:val="38"/>
        </w:numPr>
        <w:ind w:left="709" w:hanging="425"/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Se considera como ingresos netos al</w:t>
      </w:r>
      <w:r w:rsidR="00C210E8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mayor valor que resulte de comparar: </w:t>
      </w:r>
    </w:p>
    <w:p w14:paraId="584F3E9C" w14:textId="77777777" w:rsidR="00C210E8" w:rsidRPr="00300A11" w:rsidRDefault="00C210E8" w:rsidP="00C210E8">
      <w:pPr>
        <w:pStyle w:val="Prrafodelista"/>
        <w:tabs>
          <w:tab w:val="left" w:pos="284"/>
          <w:tab w:val="left" w:pos="851"/>
        </w:tabs>
        <w:ind w:left="1069"/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</w:p>
    <w:p w14:paraId="313926EF" w14:textId="6D64F54A" w:rsidR="00C210E8" w:rsidRPr="00300A11" w:rsidRDefault="00C210E8" w:rsidP="009D0B48">
      <w:pPr>
        <w:pStyle w:val="Prrafodelista"/>
        <w:ind w:left="1134" w:hanging="425"/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i. </w:t>
      </w:r>
      <w:r w:rsidR="009D0B48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ab/>
      </w: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La suma de los montos consignados en las casillas 100 (ventas netas gravadas), 105 (ventas no gravadas), 112 (otras ventas), 127 (exportaciones embarcadas en el período) y 160 (ventas Ley N.° 27037 incisos 11.1, 12.1, 12.3 y 12.4), menos los montos consignados en las casillas 102 (descuentos concedidos y devolución de ventas), 126 (descuentos concedidos y</w:t>
      </w:r>
      <w:r w:rsidR="00521D61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/</w:t>
      </w:r>
      <w:r w:rsidR="00521D61" w:rsidRPr="00300A11">
        <w:rPr>
          <w:rFonts w:ascii="Arial" w:hAnsi="Arial" w:cs="Arial"/>
          <w:color w:val="000000"/>
          <w:sz w:val="22"/>
          <w:szCs w:val="22"/>
          <w:lang w:eastAsia="es-PE"/>
        </w:rPr>
        <w:t>o devoluciones de ventas asumidas por el Estado</w:t>
      </w: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) y 162 (descuentos y devoluciones Ley N.° 27037) de los formularios Declara Fácil 621 IGV - Renta Mensual o, de ser el caso, de los PDT N.° 621 IGV - Renta mensual. </w:t>
      </w:r>
    </w:p>
    <w:p w14:paraId="12878AD4" w14:textId="77777777" w:rsidR="00B74CF3" w:rsidRPr="00300A11" w:rsidRDefault="00B74CF3" w:rsidP="009D0B48">
      <w:pPr>
        <w:pStyle w:val="Prrafodelista"/>
        <w:ind w:left="1134" w:hanging="283"/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</w:p>
    <w:p w14:paraId="64AC928F" w14:textId="2A69BC7F" w:rsidR="00C210E8" w:rsidRPr="00300A11" w:rsidRDefault="00C210E8" w:rsidP="009D0B48">
      <w:pPr>
        <w:pStyle w:val="Prrafodelista"/>
        <w:tabs>
          <w:tab w:val="left" w:pos="1134"/>
        </w:tabs>
        <w:ind w:left="1134" w:hanging="425"/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ii. </w:t>
      </w:r>
      <w:r w:rsidR="009D0B48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ab/>
      </w: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La suma de los montos consignados en la casilla 301 (Ingresos Netos) de los formularios Declara Fácil 621 IGV - Renta Mensual o, de ser el caso, de los PDT N.° 621 IGV - Renta mensual.  </w:t>
      </w:r>
    </w:p>
    <w:p w14:paraId="5E5011C8" w14:textId="5C9DDB01" w:rsidR="00F0704C" w:rsidRPr="00300A11" w:rsidRDefault="001430D9" w:rsidP="001430D9">
      <w:pPr>
        <w:pStyle w:val="Prrafodelista"/>
        <w:tabs>
          <w:tab w:val="left" w:pos="284"/>
          <w:tab w:val="left" w:pos="851"/>
        </w:tabs>
        <w:ind w:left="709"/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</w:t>
      </w:r>
    </w:p>
    <w:p w14:paraId="056DCDDB" w14:textId="358D61F1" w:rsidR="00F1229D" w:rsidRPr="00300A11" w:rsidRDefault="00B7536F" w:rsidP="009D0B48">
      <w:pPr>
        <w:pStyle w:val="Prrafodelista"/>
        <w:numPr>
          <w:ilvl w:val="0"/>
          <w:numId w:val="38"/>
        </w:numPr>
        <w:tabs>
          <w:tab w:val="left" w:pos="284"/>
        </w:tabs>
        <w:ind w:left="709" w:hanging="425"/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Los ingresos correspondientes al Nuevo RUS </w:t>
      </w:r>
      <w:r w:rsidR="00A361F0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o a rentas distintas a las de tercera categoría </w:t>
      </w:r>
      <w:r w:rsidR="002F6613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declarados </w:t>
      </w:r>
      <w:r w:rsidR="00A361F0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en alguno de los períodos del ejercicio anterior a</w:t>
      </w:r>
      <w:r w:rsidR="002A4DBB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l que corresponde la declaración por la que</w:t>
      </w:r>
      <w:r w:rsidR="002F6613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los</w:t>
      </w:r>
      <w:r w:rsidR="00F1229D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sujetos </w:t>
      </w:r>
      <w:r w:rsidR="00A361F0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a que se refiere el presente artículo</w:t>
      </w:r>
      <w:r w:rsidR="002A4DBB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incurrieron en la infracción</w:t>
      </w: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,</w:t>
      </w:r>
      <w:r w:rsidR="00F1229D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</w:t>
      </w: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no se consideran para </w:t>
      </w:r>
      <w:r w:rsidR="00F1229D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el c</w:t>
      </w: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á</w:t>
      </w:r>
      <w:r w:rsidR="00F1229D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lculo de</w:t>
      </w: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l límite de </w:t>
      </w:r>
      <w:r w:rsidR="004E4259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ciento cincuenta (</w:t>
      </w:r>
      <w:r w:rsidR="00F1229D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150</w:t>
      </w:r>
      <w:r w:rsidR="004E4259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)</w:t>
      </w:r>
      <w:r w:rsidR="00F1229D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UIT.</w:t>
      </w:r>
    </w:p>
    <w:p w14:paraId="36864475" w14:textId="77777777" w:rsidR="00A361F0" w:rsidRPr="00300A11" w:rsidRDefault="00A361F0" w:rsidP="00A361F0">
      <w:pPr>
        <w:pStyle w:val="Prrafodelista"/>
        <w:tabs>
          <w:tab w:val="left" w:pos="284"/>
          <w:tab w:val="left" w:pos="851"/>
        </w:tabs>
        <w:ind w:left="1069"/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</w:p>
    <w:p w14:paraId="39485255" w14:textId="53093125" w:rsidR="00F0704C" w:rsidRPr="00300A11" w:rsidRDefault="00B2659C" w:rsidP="009D0B48">
      <w:pPr>
        <w:pStyle w:val="Prrafodelista"/>
        <w:numPr>
          <w:ilvl w:val="0"/>
          <w:numId w:val="38"/>
        </w:numPr>
        <w:tabs>
          <w:tab w:val="left" w:pos="284"/>
        </w:tabs>
        <w:ind w:left="709" w:hanging="425"/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Se consideran las declaraciones </w:t>
      </w:r>
      <w:r w:rsidR="00F1229D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juradas mensuales </w:t>
      </w:r>
      <w:r w:rsidR="00706959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de</w:t>
      </w:r>
      <w:r w:rsidR="00F1229D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los períodos </w:t>
      </w:r>
      <w:r w:rsidR="002F6613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enero a diciembre </w:t>
      </w:r>
      <w:r w:rsidR="00F1229D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del ejercicio anterior al </w:t>
      </w:r>
      <w:r w:rsidR="00D20C2C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que corresponde la declaración por </w:t>
      </w:r>
      <w:r w:rsidR="00706959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la </w:t>
      </w:r>
      <w:r w:rsidR="00D20C2C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que se incurr</w:t>
      </w:r>
      <w:r w:rsidR="00706959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e</w:t>
      </w:r>
      <w:r w:rsidR="00D20C2C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en </w:t>
      </w:r>
      <w:r w:rsidR="00F1229D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infracción</w:t>
      </w:r>
      <w:r w:rsidR="00706959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,</w:t>
      </w:r>
      <w:r w:rsidR="00F1229D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</w:t>
      </w: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presentadas hasta el 31 de enero del ejercicio </w:t>
      </w:r>
      <w:r w:rsidR="00706959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al que corresponde </w:t>
      </w:r>
      <w:r w:rsidR="00C01846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la d</w:t>
      </w:r>
      <w:r w:rsidR="00B1296F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eclaración</w:t>
      </w:r>
      <w:r w:rsidR="00C01846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por la que se incurre en infracción</w:t>
      </w:r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, incluyendo las </w:t>
      </w:r>
      <w:proofErr w:type="spellStart"/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>rectificatorias</w:t>
      </w:r>
      <w:proofErr w:type="spellEnd"/>
      <w:r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que hayan surtido efecto hasta dicha fecha.</w:t>
      </w:r>
      <w:r w:rsidR="00706959" w:rsidRPr="00300A11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</w:t>
      </w:r>
    </w:p>
    <w:p w14:paraId="7586273B" w14:textId="77777777" w:rsidR="00B2659C" w:rsidRPr="00300A11" w:rsidRDefault="00B2659C" w:rsidP="00B2659C">
      <w:pPr>
        <w:pStyle w:val="Prrafodelista"/>
        <w:tabs>
          <w:tab w:val="left" w:pos="284"/>
          <w:tab w:val="left" w:pos="851"/>
        </w:tabs>
        <w:ind w:left="1069"/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</w:p>
    <w:p w14:paraId="407B09A6" w14:textId="3E08AD74" w:rsidR="0052685F" w:rsidRPr="00300A11" w:rsidRDefault="00B7536F" w:rsidP="009D0B48">
      <w:pPr>
        <w:pStyle w:val="Prrafodelista"/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En el caso de </w:t>
      </w:r>
      <w:r w:rsidR="009202B0" w:rsidRPr="00300A11">
        <w:rPr>
          <w:rFonts w:ascii="Arial" w:hAnsi="Arial" w:cs="Arial"/>
          <w:color w:val="000000" w:themeColor="text1"/>
          <w:sz w:val="22"/>
          <w:szCs w:val="22"/>
        </w:rPr>
        <w:t xml:space="preserve">deudores tributarios comprendidos </w:t>
      </w:r>
      <w:r w:rsidR="00AE3F9D" w:rsidRPr="00300A11">
        <w:rPr>
          <w:rFonts w:ascii="Arial" w:hAnsi="Arial" w:cs="Arial"/>
          <w:color w:val="000000" w:themeColor="text1"/>
          <w:sz w:val="22"/>
          <w:szCs w:val="22"/>
        </w:rPr>
        <w:t xml:space="preserve">en el Régimen General </w:t>
      </w:r>
      <w:r w:rsidR="001439DE" w:rsidRPr="00300A11">
        <w:rPr>
          <w:rFonts w:ascii="Arial" w:hAnsi="Arial" w:cs="Arial"/>
          <w:color w:val="000000" w:themeColor="text1"/>
          <w:sz w:val="22"/>
          <w:szCs w:val="22"/>
        </w:rPr>
        <w:t>o en el Régimen MYPE Tributario</w:t>
      </w:r>
      <w:r w:rsidR="00D117C0" w:rsidRPr="00300A11">
        <w:rPr>
          <w:rFonts w:ascii="Arial" w:hAnsi="Arial" w:cs="Arial"/>
          <w:color w:val="000000" w:themeColor="text1"/>
          <w:sz w:val="22"/>
          <w:szCs w:val="22"/>
        </w:rPr>
        <w:t xml:space="preserve"> o acogidos al</w:t>
      </w:r>
      <w:r w:rsidR="00AE3F9D" w:rsidRPr="00300A11">
        <w:rPr>
          <w:rFonts w:ascii="Arial" w:hAnsi="Arial" w:cs="Arial"/>
          <w:color w:val="000000" w:themeColor="text1"/>
          <w:sz w:val="22"/>
          <w:szCs w:val="22"/>
        </w:rPr>
        <w:t xml:space="preserve"> Régimen Especial del Impuesto a la Renta, </w:t>
      </w:r>
      <w:r w:rsidR="009202B0" w:rsidRPr="00300A11">
        <w:rPr>
          <w:rFonts w:ascii="Arial" w:hAnsi="Arial" w:cs="Arial"/>
          <w:color w:val="000000" w:themeColor="text1"/>
          <w:sz w:val="22"/>
          <w:szCs w:val="22"/>
        </w:rPr>
        <w:t>que</w:t>
      </w:r>
      <w:r w:rsidR="001960FE" w:rsidRPr="00300A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960FE" w:rsidRPr="00300A11">
        <w:rPr>
          <w:rFonts w:ascii="Arial" w:hAnsi="Arial" w:cs="Arial"/>
          <w:sz w:val="22"/>
          <w:szCs w:val="22"/>
        </w:rPr>
        <w:t xml:space="preserve">no hubieran realizado actividades generadoras de rentas de tercera categoría durante </w:t>
      </w:r>
      <w:r w:rsidR="009202B0" w:rsidRPr="00300A11">
        <w:rPr>
          <w:rFonts w:ascii="Arial" w:hAnsi="Arial" w:cs="Arial"/>
          <w:color w:val="000000" w:themeColor="text1"/>
          <w:sz w:val="22"/>
          <w:szCs w:val="22"/>
        </w:rPr>
        <w:t>el ejercicio</w:t>
      </w:r>
      <w:r w:rsidR="001960FE" w:rsidRPr="00300A11">
        <w:rPr>
          <w:rFonts w:ascii="Arial" w:hAnsi="Arial" w:cs="Arial"/>
          <w:color w:val="000000" w:themeColor="text1"/>
          <w:sz w:val="22"/>
          <w:szCs w:val="22"/>
        </w:rPr>
        <w:t xml:space="preserve"> anterior</w:t>
      </w:r>
      <w:r w:rsidR="009202B0" w:rsidRPr="00300A11">
        <w:rPr>
          <w:rFonts w:ascii="Arial" w:hAnsi="Arial" w:cs="Arial"/>
          <w:color w:val="000000" w:themeColor="text1"/>
          <w:sz w:val="22"/>
          <w:szCs w:val="22"/>
        </w:rPr>
        <w:t xml:space="preserve"> al que corresponda la declaración por la cual se encuentran omisos</w:t>
      </w:r>
      <w:r w:rsidRPr="00300A11">
        <w:rPr>
          <w:rFonts w:ascii="Arial" w:hAnsi="Arial" w:cs="Arial"/>
          <w:color w:val="000000" w:themeColor="text1"/>
          <w:sz w:val="22"/>
          <w:szCs w:val="22"/>
        </w:rPr>
        <w:t>,</w:t>
      </w:r>
      <w:r w:rsidR="001960FE" w:rsidRPr="00300A11">
        <w:rPr>
          <w:rFonts w:ascii="Arial" w:hAnsi="Arial" w:cs="Arial"/>
          <w:color w:val="000000" w:themeColor="text1"/>
          <w:sz w:val="22"/>
          <w:szCs w:val="22"/>
        </w:rPr>
        <w:t xml:space="preserve"> se considera que no han superado </w:t>
      </w:r>
      <w:r w:rsidR="009202B0" w:rsidRPr="00300A11"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r w:rsidR="0023122A" w:rsidRPr="00300A11">
        <w:rPr>
          <w:rFonts w:ascii="Arial" w:hAnsi="Arial" w:cs="Arial"/>
          <w:color w:val="000000" w:themeColor="text1"/>
          <w:sz w:val="22"/>
          <w:szCs w:val="22"/>
        </w:rPr>
        <w:t xml:space="preserve">límite de </w:t>
      </w:r>
      <w:r w:rsidR="00E43D19" w:rsidRPr="00300A11">
        <w:rPr>
          <w:rFonts w:ascii="Arial" w:hAnsi="Arial" w:cs="Arial"/>
          <w:color w:val="000000" w:themeColor="text1"/>
          <w:sz w:val="22"/>
          <w:szCs w:val="22"/>
        </w:rPr>
        <w:t xml:space="preserve">ciento cincuenta (150) UIT </w:t>
      </w:r>
      <w:r w:rsidR="0023122A" w:rsidRPr="00300A11">
        <w:rPr>
          <w:rFonts w:ascii="Arial" w:hAnsi="Arial" w:cs="Arial"/>
          <w:color w:val="000000" w:themeColor="text1"/>
          <w:sz w:val="22"/>
          <w:szCs w:val="22"/>
        </w:rPr>
        <w:t>de ingresos netos anuales</w:t>
      </w:r>
      <w:r w:rsidR="009202B0" w:rsidRPr="00300A1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BE6D84" w14:textId="3155F89F" w:rsidR="001960FE" w:rsidRPr="00300A11" w:rsidRDefault="001960FE" w:rsidP="00534A83">
      <w:pPr>
        <w:pStyle w:val="Prrafodelista"/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A6F92B" w14:textId="0AE825D5" w:rsidR="00E108A9" w:rsidRPr="00300A11" w:rsidRDefault="00EB6430" w:rsidP="00E108A9">
      <w:pPr>
        <w:pStyle w:val="Prrafodelista"/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>El monto mínimo a que se refiere el inciso a) de la segunda disposición complementaria final no es de aplicación respecto de las rebajas de noventa o novent</w:t>
      </w:r>
      <w:r w:rsidR="00E108A9" w:rsidRPr="00300A11">
        <w:rPr>
          <w:rFonts w:ascii="Arial" w:hAnsi="Arial" w:cs="Arial"/>
          <w:color w:val="000000" w:themeColor="text1"/>
          <w:sz w:val="22"/>
          <w:szCs w:val="22"/>
        </w:rPr>
        <w:t>a</w:t>
      </w:r>
      <w:r w:rsidR="00CC2B71" w:rsidRPr="00300A11">
        <w:rPr>
          <w:rFonts w:ascii="Arial" w:hAnsi="Arial" w:cs="Arial"/>
          <w:color w:val="000000" w:themeColor="text1"/>
          <w:sz w:val="22"/>
          <w:szCs w:val="22"/>
        </w:rPr>
        <w:t xml:space="preserve"> y </w:t>
      </w:r>
      <w:r w:rsidR="00E108A9" w:rsidRPr="00300A11">
        <w:rPr>
          <w:rFonts w:ascii="Arial" w:hAnsi="Arial" w:cs="Arial"/>
          <w:color w:val="000000" w:themeColor="text1"/>
          <w:sz w:val="22"/>
          <w:szCs w:val="22"/>
        </w:rPr>
        <w:t>cinco por ciento establecidas en el presente artículo.</w:t>
      </w:r>
      <w:r w:rsidR="00CC2B71" w:rsidRPr="00300A11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4A2FADA0" w14:textId="19E73347" w:rsidR="00EB6430" w:rsidRPr="00300A11" w:rsidRDefault="00EB6430" w:rsidP="00534A83">
      <w:pPr>
        <w:pStyle w:val="Prrafodelista"/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4D9F83F4" w14:textId="5654D336" w:rsidR="00EB18C3" w:rsidRPr="00300A11" w:rsidRDefault="00EB18C3" w:rsidP="00981EE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DISPOSICIÓN COMPLEMENTARIA FINAL</w:t>
      </w:r>
    </w:p>
    <w:p w14:paraId="3E77866C" w14:textId="052E7005" w:rsidR="00EB18C3" w:rsidRPr="00300A11" w:rsidRDefault="00EB18C3" w:rsidP="00981EEA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18C2085" w14:textId="437672C3" w:rsidR="00EB18C3" w:rsidRPr="00300A11" w:rsidRDefault="00EB18C3" w:rsidP="00981EE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b/>
          <w:color w:val="000000" w:themeColor="text1"/>
          <w:sz w:val="22"/>
          <w:szCs w:val="22"/>
        </w:rPr>
        <w:t>Única. Vigencia</w:t>
      </w:r>
    </w:p>
    <w:p w14:paraId="321D7CD5" w14:textId="304ABC17" w:rsidR="00EB18C3" w:rsidRPr="00300A11" w:rsidRDefault="00EB18C3" w:rsidP="00981EEA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E1E877C" w14:textId="64B19D2D" w:rsidR="00EB18C3" w:rsidRPr="00300A11" w:rsidRDefault="00EB18C3" w:rsidP="00981EEA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00A11">
        <w:rPr>
          <w:rFonts w:ascii="Arial" w:hAnsi="Arial" w:cs="Arial"/>
          <w:sz w:val="22"/>
          <w:szCs w:val="22"/>
        </w:rPr>
        <w:t>La presente resolución entra en vigencia al día siguiente de su publicación.</w:t>
      </w:r>
    </w:p>
    <w:p w14:paraId="09225548" w14:textId="77777777" w:rsidR="00EB18C3" w:rsidRPr="00300A11" w:rsidRDefault="00EB18C3" w:rsidP="00981EEA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5ECF17F" w14:textId="0CF9F6C0" w:rsidR="008448EB" w:rsidRPr="00300A11" w:rsidRDefault="008448EB" w:rsidP="008448EB">
      <w:pPr>
        <w:jc w:val="center"/>
        <w:rPr>
          <w:rFonts w:ascii="Arial" w:hAnsi="Arial" w:cs="Arial"/>
          <w:b/>
          <w:sz w:val="22"/>
          <w:szCs w:val="22"/>
        </w:rPr>
      </w:pPr>
      <w:r w:rsidRPr="00300A11">
        <w:rPr>
          <w:rFonts w:ascii="Arial" w:hAnsi="Arial" w:cs="Arial"/>
          <w:b/>
          <w:sz w:val="22"/>
          <w:szCs w:val="22"/>
        </w:rPr>
        <w:t>DISPOSICIÓN COMPLEMENTARIA TRANSITORIA</w:t>
      </w:r>
    </w:p>
    <w:p w14:paraId="6C7BDA99" w14:textId="667E036C" w:rsidR="008448EB" w:rsidRPr="00300A11" w:rsidRDefault="008448EB" w:rsidP="008448EB">
      <w:pPr>
        <w:jc w:val="center"/>
        <w:rPr>
          <w:rFonts w:ascii="Arial" w:hAnsi="Arial" w:cs="Arial"/>
          <w:b/>
          <w:sz w:val="22"/>
          <w:szCs w:val="22"/>
        </w:rPr>
      </w:pPr>
    </w:p>
    <w:p w14:paraId="75E5DFBF" w14:textId="437D0B47" w:rsidR="0023122A" w:rsidRPr="00300A11" w:rsidRDefault="008448EB" w:rsidP="0023122A">
      <w:pPr>
        <w:rPr>
          <w:rFonts w:ascii="Arial" w:hAnsi="Arial" w:cs="Arial"/>
          <w:b/>
          <w:sz w:val="22"/>
          <w:szCs w:val="22"/>
        </w:rPr>
      </w:pPr>
      <w:r w:rsidRPr="00300A11">
        <w:rPr>
          <w:rFonts w:ascii="Arial" w:hAnsi="Arial" w:cs="Arial"/>
          <w:b/>
          <w:sz w:val="22"/>
          <w:szCs w:val="22"/>
        </w:rPr>
        <w:t>Única. De</w:t>
      </w:r>
      <w:r w:rsidR="0023122A" w:rsidRPr="00300A11">
        <w:rPr>
          <w:rFonts w:ascii="Arial" w:hAnsi="Arial" w:cs="Arial"/>
          <w:b/>
          <w:sz w:val="22"/>
          <w:szCs w:val="22"/>
        </w:rPr>
        <w:t xml:space="preserve"> la aplicación del artículo 13-B</w:t>
      </w:r>
      <w:r w:rsidR="00782E76" w:rsidRPr="00300A11">
        <w:rPr>
          <w:rFonts w:ascii="Arial" w:hAnsi="Arial" w:cs="Arial"/>
          <w:b/>
          <w:sz w:val="22"/>
          <w:szCs w:val="22"/>
        </w:rPr>
        <w:t xml:space="preserve"> del Reglamento</w:t>
      </w:r>
    </w:p>
    <w:p w14:paraId="4F8DFD02" w14:textId="77777777" w:rsidR="0023122A" w:rsidRPr="00300A11" w:rsidRDefault="0023122A" w:rsidP="0023122A">
      <w:pPr>
        <w:rPr>
          <w:rFonts w:ascii="Arial" w:hAnsi="Arial" w:cs="Arial"/>
          <w:sz w:val="22"/>
          <w:szCs w:val="22"/>
        </w:rPr>
      </w:pPr>
    </w:p>
    <w:p w14:paraId="3AFDD299" w14:textId="3C7B9945" w:rsidR="008448EB" w:rsidRPr="00300A11" w:rsidRDefault="0023122A" w:rsidP="00884783">
      <w:pPr>
        <w:jc w:val="both"/>
        <w:rPr>
          <w:rFonts w:ascii="Arial" w:hAnsi="Arial" w:cs="Arial"/>
          <w:sz w:val="22"/>
          <w:szCs w:val="22"/>
        </w:rPr>
      </w:pPr>
      <w:r w:rsidRPr="00300A11">
        <w:rPr>
          <w:rFonts w:ascii="Arial" w:hAnsi="Arial" w:cs="Arial"/>
          <w:sz w:val="22"/>
          <w:szCs w:val="22"/>
        </w:rPr>
        <w:t>Lo dispuesto en el artículo 13-B incorporado al Reglamento mediante la presente resolución de superintendencia</w:t>
      </w:r>
      <w:r w:rsidR="00D00B78" w:rsidRPr="00300A11">
        <w:rPr>
          <w:rFonts w:ascii="Arial" w:hAnsi="Arial" w:cs="Arial"/>
          <w:sz w:val="22"/>
          <w:szCs w:val="22"/>
        </w:rPr>
        <w:t xml:space="preserve"> se aplica</w:t>
      </w:r>
      <w:r w:rsidR="00884783" w:rsidRPr="00300A11">
        <w:rPr>
          <w:rFonts w:ascii="Arial" w:hAnsi="Arial" w:cs="Arial"/>
          <w:sz w:val="22"/>
          <w:szCs w:val="22"/>
        </w:rPr>
        <w:t xml:space="preserve"> a</w:t>
      </w:r>
      <w:r w:rsidR="00C17129" w:rsidRPr="00300A11">
        <w:rPr>
          <w:rFonts w:ascii="Arial" w:hAnsi="Arial" w:cs="Arial"/>
          <w:sz w:val="22"/>
          <w:szCs w:val="22"/>
        </w:rPr>
        <w:t xml:space="preserve"> </w:t>
      </w:r>
      <w:r w:rsidR="008448EB" w:rsidRPr="00300A11">
        <w:rPr>
          <w:rFonts w:ascii="Arial" w:hAnsi="Arial" w:cs="Arial"/>
          <w:sz w:val="22"/>
          <w:szCs w:val="22"/>
        </w:rPr>
        <w:t>la</w:t>
      </w:r>
      <w:r w:rsidR="00D00B78" w:rsidRPr="00300A11">
        <w:rPr>
          <w:rFonts w:ascii="Arial" w:hAnsi="Arial" w:cs="Arial"/>
          <w:sz w:val="22"/>
          <w:szCs w:val="22"/>
        </w:rPr>
        <w:t xml:space="preserve"> sanción de multa por </w:t>
      </w:r>
      <w:r w:rsidR="008448EB" w:rsidRPr="00300A11">
        <w:rPr>
          <w:rFonts w:ascii="Arial" w:hAnsi="Arial" w:cs="Arial"/>
          <w:sz w:val="22"/>
          <w:szCs w:val="22"/>
        </w:rPr>
        <w:t>la infracción tipificada en el numeral 1 del artículo 176 del Código Tributario</w:t>
      </w:r>
      <w:r w:rsidRPr="00300A11">
        <w:rPr>
          <w:rFonts w:ascii="Arial" w:hAnsi="Arial" w:cs="Arial"/>
          <w:sz w:val="22"/>
          <w:szCs w:val="22"/>
        </w:rPr>
        <w:t xml:space="preserve"> en la que hubieran incurrido los sujetos a que se refiere el mencionado artículo incluso con anterioridad a </w:t>
      </w:r>
      <w:r w:rsidR="008448EB" w:rsidRPr="00300A11">
        <w:rPr>
          <w:rFonts w:ascii="Arial" w:hAnsi="Arial" w:cs="Arial"/>
          <w:sz w:val="22"/>
          <w:szCs w:val="22"/>
        </w:rPr>
        <w:t xml:space="preserve">la fecha de entrada en vigencia de la presente </w:t>
      </w:r>
      <w:r w:rsidR="0026228A" w:rsidRPr="00300A11">
        <w:rPr>
          <w:rFonts w:ascii="Arial" w:hAnsi="Arial" w:cs="Arial"/>
          <w:sz w:val="22"/>
          <w:szCs w:val="22"/>
        </w:rPr>
        <w:t>norma</w:t>
      </w:r>
      <w:r w:rsidRPr="00300A11">
        <w:rPr>
          <w:rFonts w:ascii="Arial" w:hAnsi="Arial" w:cs="Arial"/>
          <w:sz w:val="22"/>
          <w:szCs w:val="22"/>
        </w:rPr>
        <w:t xml:space="preserve">, siempre </w:t>
      </w:r>
      <w:r w:rsidR="008448EB" w:rsidRPr="00300A11">
        <w:rPr>
          <w:rFonts w:ascii="Arial" w:hAnsi="Arial" w:cs="Arial"/>
          <w:sz w:val="22"/>
          <w:szCs w:val="22"/>
        </w:rPr>
        <w:t xml:space="preserve">que el infractor cumpla con </w:t>
      </w:r>
      <w:r w:rsidR="001F63F5" w:rsidRPr="00300A11">
        <w:rPr>
          <w:rFonts w:ascii="Arial" w:hAnsi="Arial" w:cs="Arial"/>
          <w:sz w:val="22"/>
          <w:szCs w:val="22"/>
        </w:rPr>
        <w:t xml:space="preserve">los criterios de gradualidad establecidos en dicho artículo </w:t>
      </w:r>
      <w:r w:rsidR="008448EB" w:rsidRPr="00300A11">
        <w:rPr>
          <w:rFonts w:ascii="Arial" w:hAnsi="Arial" w:cs="Arial"/>
          <w:sz w:val="22"/>
          <w:szCs w:val="22"/>
        </w:rPr>
        <w:t>y no se hubiera acogido a un</w:t>
      </w:r>
      <w:r w:rsidR="001F63F5" w:rsidRPr="00300A11">
        <w:rPr>
          <w:rFonts w:ascii="Arial" w:hAnsi="Arial" w:cs="Arial"/>
          <w:sz w:val="22"/>
          <w:szCs w:val="22"/>
        </w:rPr>
        <w:t>a g</w:t>
      </w:r>
      <w:r w:rsidR="008448EB" w:rsidRPr="00300A11">
        <w:rPr>
          <w:rFonts w:ascii="Arial" w:hAnsi="Arial" w:cs="Arial"/>
          <w:sz w:val="22"/>
          <w:szCs w:val="22"/>
        </w:rPr>
        <w:t>radualidad anterior</w:t>
      </w:r>
      <w:r w:rsidR="00D00B78" w:rsidRPr="00300A11">
        <w:rPr>
          <w:rFonts w:ascii="Arial" w:hAnsi="Arial" w:cs="Arial"/>
          <w:sz w:val="22"/>
          <w:szCs w:val="22"/>
        </w:rPr>
        <w:t>, no generando derecho algun</w:t>
      </w:r>
      <w:r w:rsidR="00A231BF" w:rsidRPr="00300A11">
        <w:rPr>
          <w:rFonts w:ascii="Arial" w:hAnsi="Arial" w:cs="Arial"/>
          <w:sz w:val="22"/>
          <w:szCs w:val="22"/>
        </w:rPr>
        <w:t>o</w:t>
      </w:r>
      <w:r w:rsidR="00D00B78" w:rsidRPr="00300A11">
        <w:rPr>
          <w:rFonts w:ascii="Arial" w:hAnsi="Arial" w:cs="Arial"/>
          <w:sz w:val="22"/>
          <w:szCs w:val="22"/>
        </w:rPr>
        <w:t xml:space="preserve"> a devolución o compensación.</w:t>
      </w:r>
    </w:p>
    <w:p w14:paraId="571A9754" w14:textId="77777777" w:rsidR="00A231BF" w:rsidRPr="00300A11" w:rsidRDefault="00A231BF" w:rsidP="00A231BF">
      <w:pPr>
        <w:pStyle w:val="Prrafodelista"/>
        <w:ind w:left="426"/>
        <w:jc w:val="both"/>
        <w:rPr>
          <w:rFonts w:ascii="Arial" w:hAnsi="Arial" w:cs="Arial"/>
          <w:sz w:val="22"/>
          <w:szCs w:val="22"/>
        </w:rPr>
      </w:pPr>
    </w:p>
    <w:p w14:paraId="12C71057" w14:textId="637EAB10" w:rsidR="00BE1245" w:rsidRPr="00300A11" w:rsidRDefault="00806ABA" w:rsidP="00884783">
      <w:pPr>
        <w:jc w:val="both"/>
        <w:rPr>
          <w:rFonts w:ascii="Arial" w:hAnsi="Arial" w:cs="Arial"/>
          <w:sz w:val="22"/>
          <w:szCs w:val="22"/>
        </w:rPr>
      </w:pPr>
      <w:bookmarkStart w:id="1" w:name="_Hlk72963514"/>
      <w:r w:rsidRPr="00300A11">
        <w:rPr>
          <w:rFonts w:ascii="Arial" w:hAnsi="Arial" w:cs="Arial"/>
          <w:sz w:val="22"/>
          <w:szCs w:val="22"/>
        </w:rPr>
        <w:t xml:space="preserve">Cuando la declaración por la que se hubiera incurrido en la infracción antes mencionada corresponda a períodos anteriores al 2021, se debe considerar, </w:t>
      </w:r>
      <w:r w:rsidR="00C921DC" w:rsidRPr="00300A11">
        <w:rPr>
          <w:rFonts w:ascii="Arial" w:hAnsi="Arial" w:cs="Arial"/>
          <w:sz w:val="22"/>
          <w:szCs w:val="22"/>
        </w:rPr>
        <w:t>p</w:t>
      </w:r>
      <w:r w:rsidR="00A231BF" w:rsidRPr="00300A11">
        <w:rPr>
          <w:rFonts w:ascii="Arial" w:hAnsi="Arial" w:cs="Arial"/>
          <w:sz w:val="22"/>
          <w:szCs w:val="22"/>
        </w:rPr>
        <w:t xml:space="preserve">ara efecto de lo dispuesto en el </w:t>
      </w:r>
      <w:r w:rsidR="00884783" w:rsidRPr="00300A11">
        <w:rPr>
          <w:rFonts w:ascii="Arial" w:hAnsi="Arial" w:cs="Arial"/>
          <w:sz w:val="22"/>
          <w:szCs w:val="22"/>
        </w:rPr>
        <w:t xml:space="preserve">párrafo </w:t>
      </w:r>
      <w:r w:rsidR="00A231BF" w:rsidRPr="00300A11">
        <w:rPr>
          <w:rFonts w:ascii="Arial" w:hAnsi="Arial" w:cs="Arial"/>
          <w:sz w:val="22"/>
          <w:szCs w:val="22"/>
        </w:rPr>
        <w:t>anterior</w:t>
      </w:r>
      <w:r w:rsidR="00884783" w:rsidRPr="00300A11">
        <w:rPr>
          <w:rFonts w:ascii="Arial" w:hAnsi="Arial" w:cs="Arial"/>
          <w:sz w:val="22"/>
          <w:szCs w:val="22"/>
        </w:rPr>
        <w:t xml:space="preserve"> y a fin de determinar si los ingresos netos no superan las ciento cincuenta (150) UIT a que se refiere el numeral 1 del artículo 13-B del Reglamento</w:t>
      </w:r>
      <w:r w:rsidR="00A231BF" w:rsidRPr="00300A11">
        <w:rPr>
          <w:rFonts w:ascii="Arial" w:hAnsi="Arial" w:cs="Arial"/>
          <w:sz w:val="22"/>
          <w:szCs w:val="22"/>
        </w:rPr>
        <w:t xml:space="preserve">, </w:t>
      </w:r>
      <w:r w:rsidR="00884783" w:rsidRPr="00300A11">
        <w:rPr>
          <w:rFonts w:ascii="Arial" w:hAnsi="Arial" w:cs="Arial"/>
          <w:sz w:val="22"/>
          <w:szCs w:val="22"/>
        </w:rPr>
        <w:t>las declaraciones juradas mensuales correspondientes a</w:t>
      </w:r>
      <w:r w:rsidR="00C17129" w:rsidRPr="00300A11">
        <w:rPr>
          <w:rFonts w:ascii="Arial" w:hAnsi="Arial" w:cs="Arial"/>
          <w:sz w:val="22"/>
          <w:szCs w:val="22"/>
        </w:rPr>
        <w:t xml:space="preserve"> </w:t>
      </w:r>
      <w:r w:rsidR="00884783" w:rsidRPr="00300A11">
        <w:rPr>
          <w:rFonts w:ascii="Arial" w:hAnsi="Arial" w:cs="Arial"/>
          <w:sz w:val="22"/>
          <w:szCs w:val="22"/>
        </w:rPr>
        <w:t xml:space="preserve">los períodos de enero a diciembre </w:t>
      </w:r>
      <w:r w:rsidR="00A231BF" w:rsidRPr="00300A11">
        <w:rPr>
          <w:rFonts w:ascii="Arial" w:hAnsi="Arial" w:cs="Arial"/>
          <w:sz w:val="22"/>
          <w:szCs w:val="22"/>
        </w:rPr>
        <w:t xml:space="preserve">del ejercicio 2020 </w:t>
      </w:r>
      <w:r w:rsidR="00884783" w:rsidRPr="00300A11">
        <w:rPr>
          <w:rFonts w:ascii="Arial" w:hAnsi="Arial" w:cs="Arial"/>
          <w:sz w:val="22"/>
          <w:szCs w:val="22"/>
        </w:rPr>
        <w:t xml:space="preserve">presentadas hasta el </w:t>
      </w:r>
      <w:r w:rsidR="00A231BF" w:rsidRPr="00300A11">
        <w:rPr>
          <w:rFonts w:ascii="Arial" w:hAnsi="Arial" w:cs="Arial"/>
          <w:sz w:val="22"/>
          <w:szCs w:val="22"/>
        </w:rPr>
        <w:t>31 de enero de 2021</w:t>
      </w:r>
      <w:r w:rsidR="00884783" w:rsidRPr="00300A11">
        <w:rPr>
          <w:rFonts w:ascii="Arial" w:hAnsi="Arial" w:cs="Arial"/>
          <w:sz w:val="22"/>
          <w:szCs w:val="22"/>
        </w:rPr>
        <w:t xml:space="preserve">, incluyendo las </w:t>
      </w:r>
      <w:proofErr w:type="spellStart"/>
      <w:r w:rsidR="00884783" w:rsidRPr="00300A11">
        <w:rPr>
          <w:rFonts w:ascii="Arial" w:hAnsi="Arial" w:cs="Arial"/>
          <w:sz w:val="22"/>
          <w:szCs w:val="22"/>
        </w:rPr>
        <w:t>rectificatorias</w:t>
      </w:r>
      <w:proofErr w:type="spellEnd"/>
      <w:r w:rsidR="00884783" w:rsidRPr="00300A11">
        <w:rPr>
          <w:rFonts w:ascii="Arial" w:hAnsi="Arial" w:cs="Arial"/>
          <w:sz w:val="22"/>
          <w:szCs w:val="22"/>
        </w:rPr>
        <w:t xml:space="preserve"> que hayan surtido efecto hasta dicha fecha</w:t>
      </w:r>
      <w:r w:rsidR="00A231BF" w:rsidRPr="00300A11">
        <w:rPr>
          <w:rFonts w:ascii="Arial" w:hAnsi="Arial" w:cs="Arial"/>
          <w:sz w:val="22"/>
          <w:szCs w:val="22"/>
        </w:rPr>
        <w:t xml:space="preserve">. </w:t>
      </w:r>
    </w:p>
    <w:bookmarkEnd w:id="1"/>
    <w:p w14:paraId="6E984200" w14:textId="77777777" w:rsidR="00BE1245" w:rsidRPr="00300A11" w:rsidRDefault="00BE1245" w:rsidP="00884783">
      <w:pPr>
        <w:jc w:val="both"/>
        <w:rPr>
          <w:rFonts w:ascii="Arial" w:hAnsi="Arial" w:cs="Arial"/>
          <w:sz w:val="22"/>
          <w:szCs w:val="22"/>
        </w:rPr>
      </w:pPr>
    </w:p>
    <w:p w14:paraId="7CD06A86" w14:textId="093691A8" w:rsidR="00A231BF" w:rsidRPr="00300A11" w:rsidRDefault="00BE1245" w:rsidP="00884783">
      <w:pPr>
        <w:jc w:val="both"/>
        <w:rPr>
          <w:rFonts w:ascii="Arial" w:hAnsi="Arial" w:cs="Arial"/>
          <w:sz w:val="22"/>
          <w:szCs w:val="22"/>
        </w:rPr>
      </w:pPr>
      <w:r w:rsidRPr="00300A11">
        <w:rPr>
          <w:rFonts w:ascii="Arial" w:hAnsi="Arial" w:cs="Arial"/>
          <w:sz w:val="22"/>
          <w:szCs w:val="22"/>
        </w:rPr>
        <w:t>Tratándose de sujetos que no hubieran realizado actividades generadoras de rentas de tercera categoría durante el ejercicio 2020, se considerar</w:t>
      </w:r>
      <w:r w:rsidR="00AB2927" w:rsidRPr="00300A11">
        <w:rPr>
          <w:rFonts w:ascii="Arial" w:hAnsi="Arial" w:cs="Arial"/>
          <w:sz w:val="22"/>
          <w:szCs w:val="22"/>
        </w:rPr>
        <w:t>á</w:t>
      </w:r>
      <w:r w:rsidRPr="00300A11">
        <w:rPr>
          <w:rFonts w:ascii="Arial" w:hAnsi="Arial" w:cs="Arial"/>
          <w:sz w:val="22"/>
          <w:szCs w:val="22"/>
        </w:rPr>
        <w:t xml:space="preserve"> que </w:t>
      </w:r>
      <w:r w:rsidR="00A231BF" w:rsidRPr="00300A11">
        <w:rPr>
          <w:rFonts w:ascii="Arial" w:hAnsi="Arial" w:cs="Arial"/>
          <w:sz w:val="22"/>
          <w:szCs w:val="22"/>
        </w:rPr>
        <w:t>no han superado el límite</w:t>
      </w:r>
      <w:r w:rsidRPr="00300A11">
        <w:rPr>
          <w:rFonts w:ascii="Arial" w:hAnsi="Arial" w:cs="Arial"/>
          <w:sz w:val="22"/>
          <w:szCs w:val="22"/>
        </w:rPr>
        <w:t xml:space="preserve"> de las ciento cincuenta (150) UIT</w:t>
      </w:r>
      <w:r w:rsidR="00032312" w:rsidRPr="00300A11">
        <w:rPr>
          <w:rFonts w:ascii="Arial" w:hAnsi="Arial" w:cs="Arial"/>
          <w:sz w:val="22"/>
          <w:szCs w:val="22"/>
        </w:rPr>
        <w:t>.</w:t>
      </w:r>
    </w:p>
    <w:p w14:paraId="69B1E9F9" w14:textId="7A982496" w:rsidR="00E84EAE" w:rsidRPr="009202B0" w:rsidRDefault="00B2659C" w:rsidP="00B2659C">
      <w:pPr>
        <w:pStyle w:val="NormalWeb"/>
        <w:jc w:val="both"/>
        <w:rPr>
          <w:rFonts w:ascii="Arial" w:hAnsi="Arial" w:cs="Arial"/>
          <w:bCs/>
          <w:sz w:val="22"/>
          <w:szCs w:val="22"/>
        </w:rPr>
      </w:pPr>
      <w:r w:rsidRPr="00300A11">
        <w:rPr>
          <w:rFonts w:ascii="Arial" w:hAnsi="Arial" w:cs="Arial"/>
          <w:bCs/>
          <w:sz w:val="22"/>
          <w:szCs w:val="22"/>
        </w:rPr>
        <w:t>Regístrese, comuníquese y publíquese</w:t>
      </w:r>
    </w:p>
    <w:p w14:paraId="5E1ABC36" w14:textId="77777777" w:rsidR="005B4561" w:rsidRPr="009202B0" w:rsidRDefault="005B4561">
      <w:pPr>
        <w:rPr>
          <w:rFonts w:ascii="Arial" w:hAnsi="Arial" w:cs="Arial"/>
          <w:bCs/>
          <w:sz w:val="22"/>
          <w:szCs w:val="22"/>
        </w:rPr>
      </w:pPr>
    </w:p>
    <w:sectPr w:rsidR="005B4561" w:rsidRPr="009202B0" w:rsidSect="00E14DD4">
      <w:headerReference w:type="default" r:id="rId8"/>
      <w:pgSz w:w="11907" w:h="16840" w:code="9"/>
      <w:pgMar w:top="4536" w:right="1701" w:bottom="170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34807" w14:textId="77777777" w:rsidR="001D5D33" w:rsidRDefault="001D5D33">
      <w:r>
        <w:separator/>
      </w:r>
    </w:p>
  </w:endnote>
  <w:endnote w:type="continuationSeparator" w:id="0">
    <w:p w14:paraId="087DEA1A" w14:textId="77777777" w:rsidR="001D5D33" w:rsidRDefault="001D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3F418" w14:textId="77777777" w:rsidR="001D5D33" w:rsidRDefault="001D5D33">
      <w:r>
        <w:separator/>
      </w:r>
    </w:p>
  </w:footnote>
  <w:footnote w:type="continuationSeparator" w:id="0">
    <w:p w14:paraId="3BE6E583" w14:textId="77777777" w:rsidR="001D5D33" w:rsidRDefault="001D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F812" w14:textId="77777777" w:rsidR="00D42E46" w:rsidRDefault="00D42E46">
    <w:pPr>
      <w:pStyle w:val="Encabezado"/>
      <w:jc w:val="both"/>
      <w:rPr>
        <w:rFonts w:ascii="Arial" w:hAnsi="Arial" w:cs="Arial"/>
        <w:b/>
        <w:bCs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042802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F1D46"/>
    <w:multiLevelType w:val="hybridMultilevel"/>
    <w:tmpl w:val="7BA4B412"/>
    <w:lvl w:ilvl="0" w:tplc="9A7AA19C">
      <w:start w:val="1"/>
      <w:numFmt w:val="lowerRoman"/>
      <w:lvlText w:val="(%1)"/>
      <w:lvlJc w:val="left"/>
      <w:pPr>
        <w:ind w:left="1636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A84132C"/>
    <w:multiLevelType w:val="hybridMultilevel"/>
    <w:tmpl w:val="06FC2EB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72A4"/>
    <w:multiLevelType w:val="hybridMultilevel"/>
    <w:tmpl w:val="A024ECBA"/>
    <w:lvl w:ilvl="0" w:tplc="280A000F">
      <w:start w:val="1"/>
      <w:numFmt w:val="decimal"/>
      <w:lvlText w:val="%1."/>
      <w:lvlJc w:val="left"/>
      <w:pPr>
        <w:ind w:left="780" w:hanging="360"/>
      </w:p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6A4CA0"/>
    <w:multiLevelType w:val="hybridMultilevel"/>
    <w:tmpl w:val="54DE1A62"/>
    <w:lvl w:ilvl="0" w:tplc="D0B0A70A">
      <w:start w:val="1"/>
      <w:numFmt w:val="lowerLetter"/>
      <w:lvlText w:val="%1)"/>
      <w:lvlJc w:val="left"/>
      <w:pPr>
        <w:ind w:left="1495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DFA7149"/>
    <w:multiLevelType w:val="hybridMultilevel"/>
    <w:tmpl w:val="F546009C"/>
    <w:lvl w:ilvl="0" w:tplc="C1C2BE16">
      <w:start w:val="1"/>
      <w:numFmt w:val="lowerLetter"/>
      <w:lvlText w:val="%1)"/>
      <w:lvlJc w:val="left"/>
      <w:pPr>
        <w:ind w:left="1515" w:hanging="720"/>
      </w:pPr>
      <w:rPr>
        <w:rFonts w:ascii="Arial" w:eastAsia="Times New Roman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11075DC7"/>
    <w:multiLevelType w:val="hybridMultilevel"/>
    <w:tmpl w:val="17F2DD3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7C0B"/>
    <w:multiLevelType w:val="hybridMultilevel"/>
    <w:tmpl w:val="1F78C88E"/>
    <w:lvl w:ilvl="0" w:tplc="D1821C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76402"/>
    <w:multiLevelType w:val="hybridMultilevel"/>
    <w:tmpl w:val="634A928C"/>
    <w:lvl w:ilvl="0" w:tplc="B044C7E8">
      <w:start w:val="1"/>
      <w:numFmt w:val="lowerLetter"/>
      <w:lvlText w:val="%1)"/>
      <w:lvlJc w:val="left"/>
      <w:pPr>
        <w:ind w:left="780" w:hanging="360"/>
      </w:pPr>
      <w:rPr>
        <w:rFonts w:ascii="Arial" w:hAnsi="Arial" w:hint="default"/>
        <w:b w:val="0"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F45BDF"/>
    <w:multiLevelType w:val="hybridMultilevel"/>
    <w:tmpl w:val="2FBE030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11AF"/>
    <w:multiLevelType w:val="hybridMultilevel"/>
    <w:tmpl w:val="548C0882"/>
    <w:lvl w:ilvl="0" w:tplc="6AA2265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132EB"/>
    <w:multiLevelType w:val="multilevel"/>
    <w:tmpl w:val="6226C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4F4289"/>
    <w:multiLevelType w:val="hybridMultilevel"/>
    <w:tmpl w:val="F5F8DA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95ACB"/>
    <w:multiLevelType w:val="hybridMultilevel"/>
    <w:tmpl w:val="5EF690F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A59FC"/>
    <w:multiLevelType w:val="hybridMultilevel"/>
    <w:tmpl w:val="430A3318"/>
    <w:lvl w:ilvl="0" w:tplc="216C8C9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10F86"/>
    <w:multiLevelType w:val="hybridMultilevel"/>
    <w:tmpl w:val="CC2E8FA0"/>
    <w:lvl w:ilvl="0" w:tplc="ED321C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1E0BDF"/>
    <w:multiLevelType w:val="hybridMultilevel"/>
    <w:tmpl w:val="BB462470"/>
    <w:lvl w:ilvl="0" w:tplc="6E8ECE54">
      <w:start w:val="1"/>
      <w:numFmt w:val="decimal"/>
      <w:lvlText w:val="3.%1"/>
      <w:lvlJc w:val="left"/>
      <w:pPr>
        <w:ind w:left="4897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390F"/>
    <w:multiLevelType w:val="hybridMultilevel"/>
    <w:tmpl w:val="600403D2"/>
    <w:lvl w:ilvl="0" w:tplc="D1821CC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B530FD"/>
    <w:multiLevelType w:val="hybridMultilevel"/>
    <w:tmpl w:val="2398034C"/>
    <w:lvl w:ilvl="0" w:tplc="280A0017">
      <w:start w:val="1"/>
      <w:numFmt w:val="lowerLetter"/>
      <w:lvlText w:val="%1)"/>
      <w:lvlJc w:val="left"/>
      <w:pPr>
        <w:ind w:left="1207" w:hanging="360"/>
      </w:pPr>
    </w:lvl>
    <w:lvl w:ilvl="1" w:tplc="280A0019" w:tentative="1">
      <w:start w:val="1"/>
      <w:numFmt w:val="lowerLetter"/>
      <w:lvlText w:val="%2."/>
      <w:lvlJc w:val="left"/>
      <w:pPr>
        <w:ind w:left="1927" w:hanging="360"/>
      </w:pPr>
    </w:lvl>
    <w:lvl w:ilvl="2" w:tplc="280A001B" w:tentative="1">
      <w:start w:val="1"/>
      <w:numFmt w:val="lowerRoman"/>
      <w:lvlText w:val="%3."/>
      <w:lvlJc w:val="right"/>
      <w:pPr>
        <w:ind w:left="2647" w:hanging="180"/>
      </w:pPr>
    </w:lvl>
    <w:lvl w:ilvl="3" w:tplc="280A000F" w:tentative="1">
      <w:start w:val="1"/>
      <w:numFmt w:val="decimal"/>
      <w:lvlText w:val="%4."/>
      <w:lvlJc w:val="left"/>
      <w:pPr>
        <w:ind w:left="3367" w:hanging="360"/>
      </w:pPr>
    </w:lvl>
    <w:lvl w:ilvl="4" w:tplc="280A0019" w:tentative="1">
      <w:start w:val="1"/>
      <w:numFmt w:val="lowerLetter"/>
      <w:lvlText w:val="%5."/>
      <w:lvlJc w:val="left"/>
      <w:pPr>
        <w:ind w:left="4087" w:hanging="360"/>
      </w:pPr>
    </w:lvl>
    <w:lvl w:ilvl="5" w:tplc="280A001B" w:tentative="1">
      <w:start w:val="1"/>
      <w:numFmt w:val="lowerRoman"/>
      <w:lvlText w:val="%6."/>
      <w:lvlJc w:val="right"/>
      <w:pPr>
        <w:ind w:left="4807" w:hanging="180"/>
      </w:pPr>
    </w:lvl>
    <w:lvl w:ilvl="6" w:tplc="280A000F" w:tentative="1">
      <w:start w:val="1"/>
      <w:numFmt w:val="decimal"/>
      <w:lvlText w:val="%7."/>
      <w:lvlJc w:val="left"/>
      <w:pPr>
        <w:ind w:left="5527" w:hanging="360"/>
      </w:pPr>
    </w:lvl>
    <w:lvl w:ilvl="7" w:tplc="280A0019" w:tentative="1">
      <w:start w:val="1"/>
      <w:numFmt w:val="lowerLetter"/>
      <w:lvlText w:val="%8."/>
      <w:lvlJc w:val="left"/>
      <w:pPr>
        <w:ind w:left="6247" w:hanging="360"/>
      </w:pPr>
    </w:lvl>
    <w:lvl w:ilvl="8" w:tplc="280A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9" w15:restartNumberingAfterBreak="0">
    <w:nsid w:val="321F0F69"/>
    <w:multiLevelType w:val="hybridMultilevel"/>
    <w:tmpl w:val="E05E30E0"/>
    <w:lvl w:ilvl="0" w:tplc="BB3EAB3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5" w:hanging="360"/>
      </w:pPr>
    </w:lvl>
    <w:lvl w:ilvl="2" w:tplc="280A001B" w:tentative="1">
      <w:start w:val="1"/>
      <w:numFmt w:val="lowerRoman"/>
      <w:lvlText w:val="%3."/>
      <w:lvlJc w:val="right"/>
      <w:pPr>
        <w:ind w:left="2235" w:hanging="180"/>
      </w:pPr>
    </w:lvl>
    <w:lvl w:ilvl="3" w:tplc="280A000F" w:tentative="1">
      <w:start w:val="1"/>
      <w:numFmt w:val="decimal"/>
      <w:lvlText w:val="%4."/>
      <w:lvlJc w:val="left"/>
      <w:pPr>
        <w:ind w:left="2955" w:hanging="360"/>
      </w:pPr>
    </w:lvl>
    <w:lvl w:ilvl="4" w:tplc="280A0019" w:tentative="1">
      <w:start w:val="1"/>
      <w:numFmt w:val="lowerLetter"/>
      <w:lvlText w:val="%5."/>
      <w:lvlJc w:val="left"/>
      <w:pPr>
        <w:ind w:left="3675" w:hanging="360"/>
      </w:pPr>
    </w:lvl>
    <w:lvl w:ilvl="5" w:tplc="280A001B" w:tentative="1">
      <w:start w:val="1"/>
      <w:numFmt w:val="lowerRoman"/>
      <w:lvlText w:val="%6."/>
      <w:lvlJc w:val="right"/>
      <w:pPr>
        <w:ind w:left="4395" w:hanging="180"/>
      </w:pPr>
    </w:lvl>
    <w:lvl w:ilvl="6" w:tplc="280A000F" w:tentative="1">
      <w:start w:val="1"/>
      <w:numFmt w:val="decimal"/>
      <w:lvlText w:val="%7."/>
      <w:lvlJc w:val="left"/>
      <w:pPr>
        <w:ind w:left="5115" w:hanging="360"/>
      </w:pPr>
    </w:lvl>
    <w:lvl w:ilvl="7" w:tplc="280A0019" w:tentative="1">
      <w:start w:val="1"/>
      <w:numFmt w:val="lowerLetter"/>
      <w:lvlText w:val="%8."/>
      <w:lvlJc w:val="left"/>
      <w:pPr>
        <w:ind w:left="5835" w:hanging="360"/>
      </w:pPr>
    </w:lvl>
    <w:lvl w:ilvl="8" w:tplc="2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33DC3ABD"/>
    <w:multiLevelType w:val="hybridMultilevel"/>
    <w:tmpl w:val="AFA27CAC"/>
    <w:lvl w:ilvl="0" w:tplc="536845D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12A4B"/>
    <w:multiLevelType w:val="hybridMultilevel"/>
    <w:tmpl w:val="54DE1A62"/>
    <w:lvl w:ilvl="0" w:tplc="D0B0A70A">
      <w:start w:val="1"/>
      <w:numFmt w:val="lowerLetter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2639" w:hanging="360"/>
      </w:pPr>
    </w:lvl>
    <w:lvl w:ilvl="2" w:tplc="280A001B" w:tentative="1">
      <w:start w:val="1"/>
      <w:numFmt w:val="lowerRoman"/>
      <w:lvlText w:val="%3."/>
      <w:lvlJc w:val="right"/>
      <w:pPr>
        <w:ind w:left="3359" w:hanging="180"/>
      </w:pPr>
    </w:lvl>
    <w:lvl w:ilvl="3" w:tplc="280A000F" w:tentative="1">
      <w:start w:val="1"/>
      <w:numFmt w:val="decimal"/>
      <w:lvlText w:val="%4."/>
      <w:lvlJc w:val="left"/>
      <w:pPr>
        <w:ind w:left="4079" w:hanging="360"/>
      </w:pPr>
    </w:lvl>
    <w:lvl w:ilvl="4" w:tplc="280A0019" w:tentative="1">
      <w:start w:val="1"/>
      <w:numFmt w:val="lowerLetter"/>
      <w:lvlText w:val="%5."/>
      <w:lvlJc w:val="left"/>
      <w:pPr>
        <w:ind w:left="4799" w:hanging="360"/>
      </w:pPr>
    </w:lvl>
    <w:lvl w:ilvl="5" w:tplc="280A001B" w:tentative="1">
      <w:start w:val="1"/>
      <w:numFmt w:val="lowerRoman"/>
      <w:lvlText w:val="%6."/>
      <w:lvlJc w:val="right"/>
      <w:pPr>
        <w:ind w:left="5519" w:hanging="180"/>
      </w:pPr>
    </w:lvl>
    <w:lvl w:ilvl="6" w:tplc="280A000F" w:tentative="1">
      <w:start w:val="1"/>
      <w:numFmt w:val="decimal"/>
      <w:lvlText w:val="%7."/>
      <w:lvlJc w:val="left"/>
      <w:pPr>
        <w:ind w:left="6239" w:hanging="360"/>
      </w:pPr>
    </w:lvl>
    <w:lvl w:ilvl="7" w:tplc="280A0019" w:tentative="1">
      <w:start w:val="1"/>
      <w:numFmt w:val="lowerLetter"/>
      <w:lvlText w:val="%8."/>
      <w:lvlJc w:val="left"/>
      <w:pPr>
        <w:ind w:left="6959" w:hanging="360"/>
      </w:pPr>
    </w:lvl>
    <w:lvl w:ilvl="8" w:tplc="280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2" w15:restartNumberingAfterBreak="0">
    <w:nsid w:val="3FC404D3"/>
    <w:multiLevelType w:val="multilevel"/>
    <w:tmpl w:val="9EFA4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20B6389"/>
    <w:multiLevelType w:val="hybridMultilevel"/>
    <w:tmpl w:val="0DF24A74"/>
    <w:lvl w:ilvl="0" w:tplc="260CF67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5522365"/>
    <w:multiLevelType w:val="multilevel"/>
    <w:tmpl w:val="162E396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442195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1B83F2B"/>
    <w:multiLevelType w:val="hybridMultilevel"/>
    <w:tmpl w:val="FFB69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51415"/>
    <w:multiLevelType w:val="hybridMultilevel"/>
    <w:tmpl w:val="D2385FBE"/>
    <w:lvl w:ilvl="0" w:tplc="30EE8354">
      <w:start w:val="1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56030067"/>
    <w:multiLevelType w:val="hybridMultilevel"/>
    <w:tmpl w:val="0F242FB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B25F2"/>
    <w:multiLevelType w:val="hybridMultilevel"/>
    <w:tmpl w:val="06A6748C"/>
    <w:lvl w:ilvl="0" w:tplc="280A0017">
      <w:start w:val="1"/>
      <w:numFmt w:val="lowerLetter"/>
      <w:lvlText w:val="%1)"/>
      <w:lvlJc w:val="left"/>
      <w:pPr>
        <w:ind w:left="1713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D4E5210"/>
    <w:multiLevelType w:val="hybridMultilevel"/>
    <w:tmpl w:val="E900362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83C00"/>
    <w:multiLevelType w:val="multilevel"/>
    <w:tmpl w:val="1798791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C84994"/>
    <w:multiLevelType w:val="hybridMultilevel"/>
    <w:tmpl w:val="B9FA32A4"/>
    <w:lvl w:ilvl="0" w:tplc="43C0A58C">
      <w:start w:val="14"/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  <w:b w:val="0"/>
        <w:bCs w:val="0"/>
        <w:sz w:val="14"/>
        <w:szCs w:val="1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622B7"/>
    <w:multiLevelType w:val="multilevel"/>
    <w:tmpl w:val="057806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4063D8"/>
    <w:multiLevelType w:val="hybridMultilevel"/>
    <w:tmpl w:val="92846D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53AC7"/>
    <w:multiLevelType w:val="multilevel"/>
    <w:tmpl w:val="2DF8F1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AC7279D"/>
    <w:multiLevelType w:val="hybridMultilevel"/>
    <w:tmpl w:val="304E84F2"/>
    <w:lvl w:ilvl="0" w:tplc="23F4C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1B566E"/>
    <w:multiLevelType w:val="hybridMultilevel"/>
    <w:tmpl w:val="45146BB2"/>
    <w:lvl w:ilvl="0" w:tplc="F75E5EEE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1" w:hanging="360"/>
      </w:pPr>
    </w:lvl>
    <w:lvl w:ilvl="2" w:tplc="280A001B" w:tentative="1">
      <w:start w:val="1"/>
      <w:numFmt w:val="lowerRoman"/>
      <w:lvlText w:val="%3."/>
      <w:lvlJc w:val="right"/>
      <w:pPr>
        <w:ind w:left="2511" w:hanging="180"/>
      </w:pPr>
    </w:lvl>
    <w:lvl w:ilvl="3" w:tplc="280A000F" w:tentative="1">
      <w:start w:val="1"/>
      <w:numFmt w:val="decimal"/>
      <w:lvlText w:val="%4."/>
      <w:lvlJc w:val="left"/>
      <w:pPr>
        <w:ind w:left="3231" w:hanging="360"/>
      </w:pPr>
    </w:lvl>
    <w:lvl w:ilvl="4" w:tplc="280A0019" w:tentative="1">
      <w:start w:val="1"/>
      <w:numFmt w:val="lowerLetter"/>
      <w:lvlText w:val="%5."/>
      <w:lvlJc w:val="left"/>
      <w:pPr>
        <w:ind w:left="3951" w:hanging="360"/>
      </w:pPr>
    </w:lvl>
    <w:lvl w:ilvl="5" w:tplc="280A001B" w:tentative="1">
      <w:start w:val="1"/>
      <w:numFmt w:val="lowerRoman"/>
      <w:lvlText w:val="%6."/>
      <w:lvlJc w:val="right"/>
      <w:pPr>
        <w:ind w:left="4671" w:hanging="180"/>
      </w:pPr>
    </w:lvl>
    <w:lvl w:ilvl="6" w:tplc="280A000F" w:tentative="1">
      <w:start w:val="1"/>
      <w:numFmt w:val="decimal"/>
      <w:lvlText w:val="%7."/>
      <w:lvlJc w:val="left"/>
      <w:pPr>
        <w:ind w:left="5391" w:hanging="360"/>
      </w:pPr>
    </w:lvl>
    <w:lvl w:ilvl="7" w:tplc="280A0019" w:tentative="1">
      <w:start w:val="1"/>
      <w:numFmt w:val="lowerLetter"/>
      <w:lvlText w:val="%8."/>
      <w:lvlJc w:val="left"/>
      <w:pPr>
        <w:ind w:left="6111" w:hanging="360"/>
      </w:pPr>
    </w:lvl>
    <w:lvl w:ilvl="8" w:tplc="28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8" w15:restartNumberingAfterBreak="0">
    <w:nsid w:val="72B43389"/>
    <w:multiLevelType w:val="hybridMultilevel"/>
    <w:tmpl w:val="002E61FA"/>
    <w:lvl w:ilvl="0" w:tplc="D1821CC0">
      <w:start w:val="1"/>
      <w:numFmt w:val="lowerLetter"/>
      <w:lvlText w:val="%1)"/>
      <w:lvlJc w:val="left"/>
      <w:pPr>
        <w:ind w:left="1347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067" w:hanging="360"/>
      </w:pPr>
    </w:lvl>
    <w:lvl w:ilvl="2" w:tplc="280A001B" w:tentative="1">
      <w:start w:val="1"/>
      <w:numFmt w:val="lowerRoman"/>
      <w:lvlText w:val="%3."/>
      <w:lvlJc w:val="right"/>
      <w:pPr>
        <w:ind w:left="2787" w:hanging="180"/>
      </w:pPr>
    </w:lvl>
    <w:lvl w:ilvl="3" w:tplc="280A000F" w:tentative="1">
      <w:start w:val="1"/>
      <w:numFmt w:val="decimal"/>
      <w:lvlText w:val="%4."/>
      <w:lvlJc w:val="left"/>
      <w:pPr>
        <w:ind w:left="3507" w:hanging="360"/>
      </w:pPr>
    </w:lvl>
    <w:lvl w:ilvl="4" w:tplc="280A0019" w:tentative="1">
      <w:start w:val="1"/>
      <w:numFmt w:val="lowerLetter"/>
      <w:lvlText w:val="%5."/>
      <w:lvlJc w:val="left"/>
      <w:pPr>
        <w:ind w:left="4227" w:hanging="360"/>
      </w:pPr>
    </w:lvl>
    <w:lvl w:ilvl="5" w:tplc="280A001B" w:tentative="1">
      <w:start w:val="1"/>
      <w:numFmt w:val="lowerRoman"/>
      <w:lvlText w:val="%6."/>
      <w:lvlJc w:val="right"/>
      <w:pPr>
        <w:ind w:left="4947" w:hanging="180"/>
      </w:pPr>
    </w:lvl>
    <w:lvl w:ilvl="6" w:tplc="280A000F" w:tentative="1">
      <w:start w:val="1"/>
      <w:numFmt w:val="decimal"/>
      <w:lvlText w:val="%7."/>
      <w:lvlJc w:val="left"/>
      <w:pPr>
        <w:ind w:left="5667" w:hanging="360"/>
      </w:pPr>
    </w:lvl>
    <w:lvl w:ilvl="7" w:tplc="280A0019" w:tentative="1">
      <w:start w:val="1"/>
      <w:numFmt w:val="lowerLetter"/>
      <w:lvlText w:val="%8."/>
      <w:lvlJc w:val="left"/>
      <w:pPr>
        <w:ind w:left="6387" w:hanging="360"/>
      </w:pPr>
    </w:lvl>
    <w:lvl w:ilvl="8" w:tplc="280A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39" w15:restartNumberingAfterBreak="0">
    <w:nsid w:val="742926CC"/>
    <w:multiLevelType w:val="hybridMultilevel"/>
    <w:tmpl w:val="6694CD1A"/>
    <w:lvl w:ilvl="0" w:tplc="CD5A9DB2">
      <w:start w:val="1"/>
      <w:numFmt w:val="lowerRoman"/>
      <w:lvlText w:val="%1."/>
      <w:lvlJc w:val="left"/>
      <w:pPr>
        <w:ind w:left="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720" w:hanging="360"/>
      </w:pPr>
    </w:lvl>
    <w:lvl w:ilvl="2" w:tplc="280A001B" w:tentative="1">
      <w:start w:val="1"/>
      <w:numFmt w:val="lowerRoman"/>
      <w:lvlText w:val="%3."/>
      <w:lvlJc w:val="right"/>
      <w:pPr>
        <w:ind w:left="1440" w:hanging="180"/>
      </w:pPr>
    </w:lvl>
    <w:lvl w:ilvl="3" w:tplc="280A000F" w:tentative="1">
      <w:start w:val="1"/>
      <w:numFmt w:val="decimal"/>
      <w:lvlText w:val="%4."/>
      <w:lvlJc w:val="left"/>
      <w:pPr>
        <w:ind w:left="2160" w:hanging="360"/>
      </w:pPr>
    </w:lvl>
    <w:lvl w:ilvl="4" w:tplc="280A0019" w:tentative="1">
      <w:start w:val="1"/>
      <w:numFmt w:val="lowerLetter"/>
      <w:lvlText w:val="%5."/>
      <w:lvlJc w:val="left"/>
      <w:pPr>
        <w:ind w:left="2880" w:hanging="360"/>
      </w:pPr>
    </w:lvl>
    <w:lvl w:ilvl="5" w:tplc="280A001B" w:tentative="1">
      <w:start w:val="1"/>
      <w:numFmt w:val="lowerRoman"/>
      <w:lvlText w:val="%6."/>
      <w:lvlJc w:val="right"/>
      <w:pPr>
        <w:ind w:left="3600" w:hanging="180"/>
      </w:pPr>
    </w:lvl>
    <w:lvl w:ilvl="6" w:tplc="280A000F" w:tentative="1">
      <w:start w:val="1"/>
      <w:numFmt w:val="decimal"/>
      <w:lvlText w:val="%7."/>
      <w:lvlJc w:val="left"/>
      <w:pPr>
        <w:ind w:left="4320" w:hanging="360"/>
      </w:pPr>
    </w:lvl>
    <w:lvl w:ilvl="7" w:tplc="280A0019" w:tentative="1">
      <w:start w:val="1"/>
      <w:numFmt w:val="lowerLetter"/>
      <w:lvlText w:val="%8."/>
      <w:lvlJc w:val="left"/>
      <w:pPr>
        <w:ind w:left="5040" w:hanging="360"/>
      </w:pPr>
    </w:lvl>
    <w:lvl w:ilvl="8" w:tplc="28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 w15:restartNumberingAfterBreak="0">
    <w:nsid w:val="76277508"/>
    <w:multiLevelType w:val="hybridMultilevel"/>
    <w:tmpl w:val="BEF071C0"/>
    <w:lvl w:ilvl="0" w:tplc="A232F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A4AA7"/>
    <w:multiLevelType w:val="hybridMultilevel"/>
    <w:tmpl w:val="9A52BEBC"/>
    <w:lvl w:ilvl="0" w:tplc="9922124E">
      <w:start w:val="1"/>
      <w:numFmt w:val="lowerRoman"/>
      <w:lvlText w:val="%1."/>
      <w:lvlJc w:val="left"/>
      <w:pPr>
        <w:ind w:left="2061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781" w:hanging="360"/>
      </w:pPr>
    </w:lvl>
    <w:lvl w:ilvl="2" w:tplc="280A001B" w:tentative="1">
      <w:start w:val="1"/>
      <w:numFmt w:val="lowerRoman"/>
      <w:lvlText w:val="%3."/>
      <w:lvlJc w:val="right"/>
      <w:pPr>
        <w:ind w:left="3501" w:hanging="180"/>
      </w:pPr>
    </w:lvl>
    <w:lvl w:ilvl="3" w:tplc="280A000F" w:tentative="1">
      <w:start w:val="1"/>
      <w:numFmt w:val="decimal"/>
      <w:lvlText w:val="%4."/>
      <w:lvlJc w:val="left"/>
      <w:pPr>
        <w:ind w:left="4221" w:hanging="360"/>
      </w:pPr>
    </w:lvl>
    <w:lvl w:ilvl="4" w:tplc="280A0019" w:tentative="1">
      <w:start w:val="1"/>
      <w:numFmt w:val="lowerLetter"/>
      <w:lvlText w:val="%5."/>
      <w:lvlJc w:val="left"/>
      <w:pPr>
        <w:ind w:left="4941" w:hanging="360"/>
      </w:pPr>
    </w:lvl>
    <w:lvl w:ilvl="5" w:tplc="280A001B" w:tentative="1">
      <w:start w:val="1"/>
      <w:numFmt w:val="lowerRoman"/>
      <w:lvlText w:val="%6."/>
      <w:lvlJc w:val="right"/>
      <w:pPr>
        <w:ind w:left="5661" w:hanging="180"/>
      </w:pPr>
    </w:lvl>
    <w:lvl w:ilvl="6" w:tplc="280A000F" w:tentative="1">
      <w:start w:val="1"/>
      <w:numFmt w:val="decimal"/>
      <w:lvlText w:val="%7."/>
      <w:lvlJc w:val="left"/>
      <w:pPr>
        <w:ind w:left="6381" w:hanging="360"/>
      </w:pPr>
    </w:lvl>
    <w:lvl w:ilvl="7" w:tplc="280A0019" w:tentative="1">
      <w:start w:val="1"/>
      <w:numFmt w:val="lowerLetter"/>
      <w:lvlText w:val="%8."/>
      <w:lvlJc w:val="left"/>
      <w:pPr>
        <w:ind w:left="7101" w:hanging="360"/>
      </w:pPr>
    </w:lvl>
    <w:lvl w:ilvl="8" w:tplc="2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" w15:restartNumberingAfterBreak="0">
    <w:nsid w:val="7D7953AD"/>
    <w:multiLevelType w:val="multilevel"/>
    <w:tmpl w:val="AC92CB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7E8D37A3"/>
    <w:multiLevelType w:val="hybridMultilevel"/>
    <w:tmpl w:val="608A0C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9"/>
  </w:num>
  <w:num w:numId="4">
    <w:abstractNumId w:val="21"/>
  </w:num>
  <w:num w:numId="5">
    <w:abstractNumId w:val="41"/>
  </w:num>
  <w:num w:numId="6">
    <w:abstractNumId w:val="4"/>
  </w:num>
  <w:num w:numId="7">
    <w:abstractNumId w:val="14"/>
  </w:num>
  <w:num w:numId="8">
    <w:abstractNumId w:val="10"/>
  </w:num>
  <w:num w:numId="9">
    <w:abstractNumId w:val="9"/>
  </w:num>
  <w:num w:numId="10">
    <w:abstractNumId w:val="19"/>
  </w:num>
  <w:num w:numId="11">
    <w:abstractNumId w:val="5"/>
  </w:num>
  <w:num w:numId="12">
    <w:abstractNumId w:val="26"/>
  </w:num>
  <w:num w:numId="13">
    <w:abstractNumId w:val="11"/>
  </w:num>
  <w:num w:numId="14">
    <w:abstractNumId w:val="35"/>
  </w:num>
  <w:num w:numId="15">
    <w:abstractNumId w:val="22"/>
  </w:num>
  <w:num w:numId="16">
    <w:abstractNumId w:val="33"/>
  </w:num>
  <w:num w:numId="17">
    <w:abstractNumId w:val="23"/>
  </w:num>
  <w:num w:numId="18">
    <w:abstractNumId w:val="31"/>
  </w:num>
  <w:num w:numId="19">
    <w:abstractNumId w:val="24"/>
  </w:num>
  <w:num w:numId="20">
    <w:abstractNumId w:val="40"/>
  </w:num>
  <w:num w:numId="21">
    <w:abstractNumId w:val="42"/>
  </w:num>
  <w:num w:numId="22">
    <w:abstractNumId w:val="34"/>
  </w:num>
  <w:num w:numId="23">
    <w:abstractNumId w:val="36"/>
  </w:num>
  <w:num w:numId="24">
    <w:abstractNumId w:val="30"/>
  </w:num>
  <w:num w:numId="25">
    <w:abstractNumId w:val="7"/>
  </w:num>
  <w:num w:numId="26">
    <w:abstractNumId w:val="17"/>
  </w:num>
  <w:num w:numId="27">
    <w:abstractNumId w:val="38"/>
  </w:num>
  <w:num w:numId="28">
    <w:abstractNumId w:val="16"/>
  </w:num>
  <w:num w:numId="29">
    <w:abstractNumId w:val="18"/>
  </w:num>
  <w:num w:numId="30">
    <w:abstractNumId w:val="37"/>
  </w:num>
  <w:num w:numId="31">
    <w:abstractNumId w:val="29"/>
  </w:num>
  <w:num w:numId="32">
    <w:abstractNumId w:val="27"/>
  </w:num>
  <w:num w:numId="33">
    <w:abstractNumId w:val="1"/>
  </w:num>
  <w:num w:numId="34">
    <w:abstractNumId w:val="32"/>
  </w:num>
  <w:num w:numId="35">
    <w:abstractNumId w:val="3"/>
  </w:num>
  <w:num w:numId="36">
    <w:abstractNumId w:val="8"/>
  </w:num>
  <w:num w:numId="37">
    <w:abstractNumId w:val="43"/>
  </w:num>
  <w:num w:numId="38">
    <w:abstractNumId w:val="15"/>
  </w:num>
  <w:num w:numId="39">
    <w:abstractNumId w:val="20"/>
  </w:num>
  <w:num w:numId="40">
    <w:abstractNumId w:val="28"/>
  </w:num>
  <w:num w:numId="41">
    <w:abstractNumId w:val="12"/>
  </w:num>
  <w:num w:numId="42">
    <w:abstractNumId w:val="13"/>
  </w:num>
  <w:num w:numId="43">
    <w:abstractNumId w:val="6"/>
  </w:num>
  <w:num w:numId="4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F5"/>
    <w:rsid w:val="000000B2"/>
    <w:rsid w:val="000002F9"/>
    <w:rsid w:val="000014A5"/>
    <w:rsid w:val="0000225D"/>
    <w:rsid w:val="000022D9"/>
    <w:rsid w:val="00003107"/>
    <w:rsid w:val="00003BA7"/>
    <w:rsid w:val="00003C32"/>
    <w:rsid w:val="0000513D"/>
    <w:rsid w:val="00007908"/>
    <w:rsid w:val="00010F75"/>
    <w:rsid w:val="00014393"/>
    <w:rsid w:val="00014779"/>
    <w:rsid w:val="0001701F"/>
    <w:rsid w:val="00017072"/>
    <w:rsid w:val="000174F1"/>
    <w:rsid w:val="00017916"/>
    <w:rsid w:val="0002318D"/>
    <w:rsid w:val="00023D25"/>
    <w:rsid w:val="000244B1"/>
    <w:rsid w:val="00024580"/>
    <w:rsid w:val="00024D08"/>
    <w:rsid w:val="00032312"/>
    <w:rsid w:val="00032DDB"/>
    <w:rsid w:val="000336B8"/>
    <w:rsid w:val="00033E02"/>
    <w:rsid w:val="000408A2"/>
    <w:rsid w:val="0004167B"/>
    <w:rsid w:val="00042200"/>
    <w:rsid w:val="00043997"/>
    <w:rsid w:val="00044B94"/>
    <w:rsid w:val="0005061E"/>
    <w:rsid w:val="00050D60"/>
    <w:rsid w:val="000548F6"/>
    <w:rsid w:val="00056027"/>
    <w:rsid w:val="00056B2A"/>
    <w:rsid w:val="00056D69"/>
    <w:rsid w:val="00057A9F"/>
    <w:rsid w:val="00057FB5"/>
    <w:rsid w:val="000605F8"/>
    <w:rsid w:val="000618A9"/>
    <w:rsid w:val="000620D8"/>
    <w:rsid w:val="00062CBE"/>
    <w:rsid w:val="000642ED"/>
    <w:rsid w:val="00065933"/>
    <w:rsid w:val="00065B27"/>
    <w:rsid w:val="00066D8C"/>
    <w:rsid w:val="00070590"/>
    <w:rsid w:val="0007085E"/>
    <w:rsid w:val="000718AD"/>
    <w:rsid w:val="00071AC5"/>
    <w:rsid w:val="00072083"/>
    <w:rsid w:val="0007347C"/>
    <w:rsid w:val="00075C9E"/>
    <w:rsid w:val="0007616C"/>
    <w:rsid w:val="0007672E"/>
    <w:rsid w:val="00076CB9"/>
    <w:rsid w:val="00080920"/>
    <w:rsid w:val="00081CF5"/>
    <w:rsid w:val="000845D1"/>
    <w:rsid w:val="00087217"/>
    <w:rsid w:val="00091A92"/>
    <w:rsid w:val="00091B20"/>
    <w:rsid w:val="00091C4C"/>
    <w:rsid w:val="00093393"/>
    <w:rsid w:val="000965D7"/>
    <w:rsid w:val="0009665C"/>
    <w:rsid w:val="00097D7C"/>
    <w:rsid w:val="00097FD1"/>
    <w:rsid w:val="000A179D"/>
    <w:rsid w:val="000A2481"/>
    <w:rsid w:val="000A2813"/>
    <w:rsid w:val="000A2CFC"/>
    <w:rsid w:val="000A2DA0"/>
    <w:rsid w:val="000A2FF0"/>
    <w:rsid w:val="000A4B3C"/>
    <w:rsid w:val="000A4D80"/>
    <w:rsid w:val="000A76FD"/>
    <w:rsid w:val="000A7B63"/>
    <w:rsid w:val="000B1053"/>
    <w:rsid w:val="000B2D13"/>
    <w:rsid w:val="000B451D"/>
    <w:rsid w:val="000B4C63"/>
    <w:rsid w:val="000B547E"/>
    <w:rsid w:val="000B62FB"/>
    <w:rsid w:val="000B79EB"/>
    <w:rsid w:val="000B7C2D"/>
    <w:rsid w:val="000C183F"/>
    <w:rsid w:val="000C3D8D"/>
    <w:rsid w:val="000C40C3"/>
    <w:rsid w:val="000C44C7"/>
    <w:rsid w:val="000C630F"/>
    <w:rsid w:val="000D0008"/>
    <w:rsid w:val="000D1DE0"/>
    <w:rsid w:val="000D2908"/>
    <w:rsid w:val="000D4326"/>
    <w:rsid w:val="000D45EF"/>
    <w:rsid w:val="000D48E5"/>
    <w:rsid w:val="000D63B4"/>
    <w:rsid w:val="000D774D"/>
    <w:rsid w:val="000D7CF6"/>
    <w:rsid w:val="000E1BD9"/>
    <w:rsid w:val="000E320E"/>
    <w:rsid w:val="000E40ED"/>
    <w:rsid w:val="000E4A6B"/>
    <w:rsid w:val="000E4C1B"/>
    <w:rsid w:val="000E5D47"/>
    <w:rsid w:val="000F1F67"/>
    <w:rsid w:val="000F273C"/>
    <w:rsid w:val="000F757C"/>
    <w:rsid w:val="000F7E09"/>
    <w:rsid w:val="00100A02"/>
    <w:rsid w:val="001018E0"/>
    <w:rsid w:val="0010203A"/>
    <w:rsid w:val="001023E6"/>
    <w:rsid w:val="00104024"/>
    <w:rsid w:val="00104037"/>
    <w:rsid w:val="001041E4"/>
    <w:rsid w:val="00114C18"/>
    <w:rsid w:val="001164BC"/>
    <w:rsid w:val="00117546"/>
    <w:rsid w:val="0011798E"/>
    <w:rsid w:val="00120B6B"/>
    <w:rsid w:val="00121625"/>
    <w:rsid w:val="001225B9"/>
    <w:rsid w:val="00124AB9"/>
    <w:rsid w:val="00127D85"/>
    <w:rsid w:val="00127FCF"/>
    <w:rsid w:val="00131453"/>
    <w:rsid w:val="00131783"/>
    <w:rsid w:val="00132667"/>
    <w:rsid w:val="001327EE"/>
    <w:rsid w:val="00133072"/>
    <w:rsid w:val="00133691"/>
    <w:rsid w:val="00141171"/>
    <w:rsid w:val="00141BFC"/>
    <w:rsid w:val="00141FCB"/>
    <w:rsid w:val="001424D7"/>
    <w:rsid w:val="001430D9"/>
    <w:rsid w:val="001439DE"/>
    <w:rsid w:val="00143AE3"/>
    <w:rsid w:val="0014480F"/>
    <w:rsid w:val="001458BA"/>
    <w:rsid w:val="00150EF2"/>
    <w:rsid w:val="00151704"/>
    <w:rsid w:val="00151C1A"/>
    <w:rsid w:val="0015302C"/>
    <w:rsid w:val="00153A7E"/>
    <w:rsid w:val="0015480D"/>
    <w:rsid w:val="0015517A"/>
    <w:rsid w:val="001575C3"/>
    <w:rsid w:val="00157E93"/>
    <w:rsid w:val="00157F0F"/>
    <w:rsid w:val="001618D4"/>
    <w:rsid w:val="00161C1B"/>
    <w:rsid w:val="001632AB"/>
    <w:rsid w:val="001637DC"/>
    <w:rsid w:val="00163E7C"/>
    <w:rsid w:val="00165D3C"/>
    <w:rsid w:val="00165FF6"/>
    <w:rsid w:val="00166028"/>
    <w:rsid w:val="00167DA8"/>
    <w:rsid w:val="0017239C"/>
    <w:rsid w:val="00172F9B"/>
    <w:rsid w:val="00175BFF"/>
    <w:rsid w:val="00177DD2"/>
    <w:rsid w:val="001801A0"/>
    <w:rsid w:val="001813E0"/>
    <w:rsid w:val="00182B1B"/>
    <w:rsid w:val="00185881"/>
    <w:rsid w:val="00186293"/>
    <w:rsid w:val="0018765F"/>
    <w:rsid w:val="0019071E"/>
    <w:rsid w:val="001948C8"/>
    <w:rsid w:val="0019542F"/>
    <w:rsid w:val="001960FE"/>
    <w:rsid w:val="00196354"/>
    <w:rsid w:val="001A556D"/>
    <w:rsid w:val="001A7D00"/>
    <w:rsid w:val="001B0065"/>
    <w:rsid w:val="001B0B32"/>
    <w:rsid w:val="001B55A0"/>
    <w:rsid w:val="001B5AE8"/>
    <w:rsid w:val="001B629A"/>
    <w:rsid w:val="001B6775"/>
    <w:rsid w:val="001B6B7D"/>
    <w:rsid w:val="001B6C7E"/>
    <w:rsid w:val="001B7ABA"/>
    <w:rsid w:val="001C2685"/>
    <w:rsid w:val="001C2A0E"/>
    <w:rsid w:val="001C2BB8"/>
    <w:rsid w:val="001C3165"/>
    <w:rsid w:val="001C59CC"/>
    <w:rsid w:val="001C72B0"/>
    <w:rsid w:val="001C7C3C"/>
    <w:rsid w:val="001D1D7A"/>
    <w:rsid w:val="001D2D28"/>
    <w:rsid w:val="001D5D33"/>
    <w:rsid w:val="001D600E"/>
    <w:rsid w:val="001D61BE"/>
    <w:rsid w:val="001D7700"/>
    <w:rsid w:val="001E0677"/>
    <w:rsid w:val="001E1403"/>
    <w:rsid w:val="001E1482"/>
    <w:rsid w:val="001E2EAB"/>
    <w:rsid w:val="001E306D"/>
    <w:rsid w:val="001E3493"/>
    <w:rsid w:val="001E6388"/>
    <w:rsid w:val="001E6A44"/>
    <w:rsid w:val="001F1D82"/>
    <w:rsid w:val="001F2F50"/>
    <w:rsid w:val="001F396B"/>
    <w:rsid w:val="001F5362"/>
    <w:rsid w:val="001F611F"/>
    <w:rsid w:val="001F63F5"/>
    <w:rsid w:val="001F704B"/>
    <w:rsid w:val="002015B9"/>
    <w:rsid w:val="0020325F"/>
    <w:rsid w:val="00203D7F"/>
    <w:rsid w:val="00210ACB"/>
    <w:rsid w:val="00210BB5"/>
    <w:rsid w:val="00211CA7"/>
    <w:rsid w:val="00212168"/>
    <w:rsid w:val="0021376E"/>
    <w:rsid w:val="002146D7"/>
    <w:rsid w:val="002152BE"/>
    <w:rsid w:val="00215BCD"/>
    <w:rsid w:val="002166FA"/>
    <w:rsid w:val="00216F22"/>
    <w:rsid w:val="002204B5"/>
    <w:rsid w:val="00221FC5"/>
    <w:rsid w:val="002225AE"/>
    <w:rsid w:val="002238DE"/>
    <w:rsid w:val="00224737"/>
    <w:rsid w:val="002279DD"/>
    <w:rsid w:val="0023122A"/>
    <w:rsid w:val="0023210B"/>
    <w:rsid w:val="0023230C"/>
    <w:rsid w:val="00232912"/>
    <w:rsid w:val="0024257B"/>
    <w:rsid w:val="00243C8E"/>
    <w:rsid w:val="00244F73"/>
    <w:rsid w:val="00246249"/>
    <w:rsid w:val="00246873"/>
    <w:rsid w:val="00247193"/>
    <w:rsid w:val="00250285"/>
    <w:rsid w:val="00253871"/>
    <w:rsid w:val="0025410D"/>
    <w:rsid w:val="0025615E"/>
    <w:rsid w:val="00256561"/>
    <w:rsid w:val="00256984"/>
    <w:rsid w:val="00256FDD"/>
    <w:rsid w:val="0026228A"/>
    <w:rsid w:val="002637DC"/>
    <w:rsid w:val="002645A0"/>
    <w:rsid w:val="002703C9"/>
    <w:rsid w:val="00270840"/>
    <w:rsid w:val="00270B00"/>
    <w:rsid w:val="00271B5D"/>
    <w:rsid w:val="00271BBD"/>
    <w:rsid w:val="00271E3D"/>
    <w:rsid w:val="00272318"/>
    <w:rsid w:val="00275F69"/>
    <w:rsid w:val="002764CE"/>
    <w:rsid w:val="00280B24"/>
    <w:rsid w:val="002812D1"/>
    <w:rsid w:val="00282252"/>
    <w:rsid w:val="002824EC"/>
    <w:rsid w:val="00282D29"/>
    <w:rsid w:val="00282E73"/>
    <w:rsid w:val="00283405"/>
    <w:rsid w:val="00283ACD"/>
    <w:rsid w:val="00283C95"/>
    <w:rsid w:val="002841F5"/>
    <w:rsid w:val="002856FE"/>
    <w:rsid w:val="00287F5A"/>
    <w:rsid w:val="00287F70"/>
    <w:rsid w:val="00293C5E"/>
    <w:rsid w:val="0029566A"/>
    <w:rsid w:val="00295786"/>
    <w:rsid w:val="00296FED"/>
    <w:rsid w:val="002970A5"/>
    <w:rsid w:val="002977AA"/>
    <w:rsid w:val="002A17E5"/>
    <w:rsid w:val="002A3954"/>
    <w:rsid w:val="002A3D7F"/>
    <w:rsid w:val="002A4DBB"/>
    <w:rsid w:val="002A540C"/>
    <w:rsid w:val="002A616F"/>
    <w:rsid w:val="002A666B"/>
    <w:rsid w:val="002A6D7C"/>
    <w:rsid w:val="002A7BA4"/>
    <w:rsid w:val="002A7FD5"/>
    <w:rsid w:val="002B0390"/>
    <w:rsid w:val="002B0752"/>
    <w:rsid w:val="002B1269"/>
    <w:rsid w:val="002B18AA"/>
    <w:rsid w:val="002B1D23"/>
    <w:rsid w:val="002B3A1E"/>
    <w:rsid w:val="002B587E"/>
    <w:rsid w:val="002B59D5"/>
    <w:rsid w:val="002B6A5D"/>
    <w:rsid w:val="002C049B"/>
    <w:rsid w:val="002C063D"/>
    <w:rsid w:val="002C1B6C"/>
    <w:rsid w:val="002C5497"/>
    <w:rsid w:val="002C6F76"/>
    <w:rsid w:val="002C721C"/>
    <w:rsid w:val="002D275F"/>
    <w:rsid w:val="002D3268"/>
    <w:rsid w:val="002D3E7B"/>
    <w:rsid w:val="002D4167"/>
    <w:rsid w:val="002D619A"/>
    <w:rsid w:val="002D68E2"/>
    <w:rsid w:val="002D69E4"/>
    <w:rsid w:val="002E000D"/>
    <w:rsid w:val="002E22F9"/>
    <w:rsid w:val="002E60FB"/>
    <w:rsid w:val="002F08DC"/>
    <w:rsid w:val="002F2A21"/>
    <w:rsid w:val="002F2D40"/>
    <w:rsid w:val="002F4DBD"/>
    <w:rsid w:val="002F4E28"/>
    <w:rsid w:val="002F5775"/>
    <w:rsid w:val="002F5966"/>
    <w:rsid w:val="002F5A7D"/>
    <w:rsid w:val="002F6613"/>
    <w:rsid w:val="002F74DB"/>
    <w:rsid w:val="002F7BA4"/>
    <w:rsid w:val="0030053A"/>
    <w:rsid w:val="00300A11"/>
    <w:rsid w:val="00301E22"/>
    <w:rsid w:val="00303D18"/>
    <w:rsid w:val="00303F42"/>
    <w:rsid w:val="00306EAB"/>
    <w:rsid w:val="0030755B"/>
    <w:rsid w:val="00310C96"/>
    <w:rsid w:val="00310F5C"/>
    <w:rsid w:val="003113A3"/>
    <w:rsid w:val="00311B93"/>
    <w:rsid w:val="003130D0"/>
    <w:rsid w:val="00313F32"/>
    <w:rsid w:val="00314CC1"/>
    <w:rsid w:val="00315550"/>
    <w:rsid w:val="00315D66"/>
    <w:rsid w:val="0031603C"/>
    <w:rsid w:val="00316EE6"/>
    <w:rsid w:val="0032018F"/>
    <w:rsid w:val="003216E9"/>
    <w:rsid w:val="00321C2F"/>
    <w:rsid w:val="00321DF9"/>
    <w:rsid w:val="00321E55"/>
    <w:rsid w:val="00323545"/>
    <w:rsid w:val="00323B03"/>
    <w:rsid w:val="003246EE"/>
    <w:rsid w:val="0032706C"/>
    <w:rsid w:val="00327C36"/>
    <w:rsid w:val="00327C6E"/>
    <w:rsid w:val="00330436"/>
    <w:rsid w:val="00330EF5"/>
    <w:rsid w:val="003321AB"/>
    <w:rsid w:val="00333A1C"/>
    <w:rsid w:val="0033564D"/>
    <w:rsid w:val="0033633E"/>
    <w:rsid w:val="0034063C"/>
    <w:rsid w:val="00341032"/>
    <w:rsid w:val="00341C1F"/>
    <w:rsid w:val="003441FF"/>
    <w:rsid w:val="00344ACC"/>
    <w:rsid w:val="00344BDB"/>
    <w:rsid w:val="00344D7D"/>
    <w:rsid w:val="00353CA9"/>
    <w:rsid w:val="003630EA"/>
    <w:rsid w:val="003654DF"/>
    <w:rsid w:val="0036570A"/>
    <w:rsid w:val="00365B21"/>
    <w:rsid w:val="00365D7C"/>
    <w:rsid w:val="003663FE"/>
    <w:rsid w:val="003672D2"/>
    <w:rsid w:val="003679FB"/>
    <w:rsid w:val="003718EE"/>
    <w:rsid w:val="00371EBD"/>
    <w:rsid w:val="00373647"/>
    <w:rsid w:val="00373C6D"/>
    <w:rsid w:val="00375753"/>
    <w:rsid w:val="00375B80"/>
    <w:rsid w:val="003769FD"/>
    <w:rsid w:val="00377FAA"/>
    <w:rsid w:val="00381D1B"/>
    <w:rsid w:val="003823CC"/>
    <w:rsid w:val="00383A6D"/>
    <w:rsid w:val="00385062"/>
    <w:rsid w:val="00386836"/>
    <w:rsid w:val="00387956"/>
    <w:rsid w:val="003916D0"/>
    <w:rsid w:val="00393B3F"/>
    <w:rsid w:val="00394A49"/>
    <w:rsid w:val="00395FA8"/>
    <w:rsid w:val="003967B6"/>
    <w:rsid w:val="00396FB1"/>
    <w:rsid w:val="003970C8"/>
    <w:rsid w:val="003A0F5B"/>
    <w:rsid w:val="003A1EC3"/>
    <w:rsid w:val="003A2A68"/>
    <w:rsid w:val="003A34B8"/>
    <w:rsid w:val="003A48FA"/>
    <w:rsid w:val="003A5D91"/>
    <w:rsid w:val="003B047D"/>
    <w:rsid w:val="003B0AFD"/>
    <w:rsid w:val="003B4EE3"/>
    <w:rsid w:val="003B6757"/>
    <w:rsid w:val="003C0753"/>
    <w:rsid w:val="003C1D57"/>
    <w:rsid w:val="003C2852"/>
    <w:rsid w:val="003C41A8"/>
    <w:rsid w:val="003C43D4"/>
    <w:rsid w:val="003C4AB3"/>
    <w:rsid w:val="003C4CA4"/>
    <w:rsid w:val="003C5843"/>
    <w:rsid w:val="003D4394"/>
    <w:rsid w:val="003D6B2A"/>
    <w:rsid w:val="003D73AF"/>
    <w:rsid w:val="003E03A1"/>
    <w:rsid w:val="003E1300"/>
    <w:rsid w:val="003E1EB3"/>
    <w:rsid w:val="003E27AB"/>
    <w:rsid w:val="003E4450"/>
    <w:rsid w:val="003E4A3B"/>
    <w:rsid w:val="003E4D57"/>
    <w:rsid w:val="003E5D51"/>
    <w:rsid w:val="003F0E8A"/>
    <w:rsid w:val="003F1035"/>
    <w:rsid w:val="003F14A6"/>
    <w:rsid w:val="003F1840"/>
    <w:rsid w:val="003F2C62"/>
    <w:rsid w:val="003F3CF1"/>
    <w:rsid w:val="003F4A7E"/>
    <w:rsid w:val="00403046"/>
    <w:rsid w:val="00403076"/>
    <w:rsid w:val="004077C8"/>
    <w:rsid w:val="00412362"/>
    <w:rsid w:val="0041407C"/>
    <w:rsid w:val="004153D2"/>
    <w:rsid w:val="004162FE"/>
    <w:rsid w:val="00420D10"/>
    <w:rsid w:val="00422A6E"/>
    <w:rsid w:val="00425B86"/>
    <w:rsid w:val="004274CC"/>
    <w:rsid w:val="00427938"/>
    <w:rsid w:val="00427B4F"/>
    <w:rsid w:val="004316EA"/>
    <w:rsid w:val="0043234C"/>
    <w:rsid w:val="00432889"/>
    <w:rsid w:val="004336A6"/>
    <w:rsid w:val="0043408D"/>
    <w:rsid w:val="00435159"/>
    <w:rsid w:val="004353FB"/>
    <w:rsid w:val="004362F2"/>
    <w:rsid w:val="00437AFA"/>
    <w:rsid w:val="004421EB"/>
    <w:rsid w:val="004433CA"/>
    <w:rsid w:val="00443C8C"/>
    <w:rsid w:val="00443E7D"/>
    <w:rsid w:val="00444BF7"/>
    <w:rsid w:val="00446751"/>
    <w:rsid w:val="004505E2"/>
    <w:rsid w:val="00451787"/>
    <w:rsid w:val="0045235A"/>
    <w:rsid w:val="00453ECE"/>
    <w:rsid w:val="004545A7"/>
    <w:rsid w:val="00454C05"/>
    <w:rsid w:val="0045632C"/>
    <w:rsid w:val="00466CDF"/>
    <w:rsid w:val="00466EA7"/>
    <w:rsid w:val="00467D1D"/>
    <w:rsid w:val="00471F6F"/>
    <w:rsid w:val="004726A5"/>
    <w:rsid w:val="00472C7B"/>
    <w:rsid w:val="00473561"/>
    <w:rsid w:val="00473B43"/>
    <w:rsid w:val="00474424"/>
    <w:rsid w:val="0048038C"/>
    <w:rsid w:val="004809F6"/>
    <w:rsid w:val="004824BD"/>
    <w:rsid w:val="0048291E"/>
    <w:rsid w:val="00482CFB"/>
    <w:rsid w:val="004836B4"/>
    <w:rsid w:val="00484001"/>
    <w:rsid w:val="004851B0"/>
    <w:rsid w:val="00486574"/>
    <w:rsid w:val="00486FFA"/>
    <w:rsid w:val="0048718E"/>
    <w:rsid w:val="004876FD"/>
    <w:rsid w:val="004877AE"/>
    <w:rsid w:val="0049017A"/>
    <w:rsid w:val="0049060E"/>
    <w:rsid w:val="004909DD"/>
    <w:rsid w:val="00490C8B"/>
    <w:rsid w:val="00491006"/>
    <w:rsid w:val="00491512"/>
    <w:rsid w:val="004927E5"/>
    <w:rsid w:val="00492AF0"/>
    <w:rsid w:val="004941A8"/>
    <w:rsid w:val="0049522F"/>
    <w:rsid w:val="00495D29"/>
    <w:rsid w:val="00497692"/>
    <w:rsid w:val="00497B99"/>
    <w:rsid w:val="004A1B4D"/>
    <w:rsid w:val="004A215F"/>
    <w:rsid w:val="004A2A08"/>
    <w:rsid w:val="004A5441"/>
    <w:rsid w:val="004A57D1"/>
    <w:rsid w:val="004A699B"/>
    <w:rsid w:val="004B0AE7"/>
    <w:rsid w:val="004B0D44"/>
    <w:rsid w:val="004B11EA"/>
    <w:rsid w:val="004B2AA8"/>
    <w:rsid w:val="004B39BD"/>
    <w:rsid w:val="004B3E47"/>
    <w:rsid w:val="004B4325"/>
    <w:rsid w:val="004B49A6"/>
    <w:rsid w:val="004B4A40"/>
    <w:rsid w:val="004B58B2"/>
    <w:rsid w:val="004B6895"/>
    <w:rsid w:val="004B6FA6"/>
    <w:rsid w:val="004C0C15"/>
    <w:rsid w:val="004C2EAC"/>
    <w:rsid w:val="004C3406"/>
    <w:rsid w:val="004C7365"/>
    <w:rsid w:val="004C7502"/>
    <w:rsid w:val="004D0886"/>
    <w:rsid w:val="004D1CC9"/>
    <w:rsid w:val="004D220A"/>
    <w:rsid w:val="004D2916"/>
    <w:rsid w:val="004D3716"/>
    <w:rsid w:val="004E0842"/>
    <w:rsid w:val="004E28AB"/>
    <w:rsid w:val="004E3B1B"/>
    <w:rsid w:val="004E423A"/>
    <w:rsid w:val="004E4253"/>
    <w:rsid w:val="004E4259"/>
    <w:rsid w:val="004E463A"/>
    <w:rsid w:val="004E5FD2"/>
    <w:rsid w:val="004F0789"/>
    <w:rsid w:val="004F2276"/>
    <w:rsid w:val="004F3083"/>
    <w:rsid w:val="004F37C5"/>
    <w:rsid w:val="004F51DB"/>
    <w:rsid w:val="004F5644"/>
    <w:rsid w:val="004F63CB"/>
    <w:rsid w:val="00504493"/>
    <w:rsid w:val="00504AF6"/>
    <w:rsid w:val="00504C09"/>
    <w:rsid w:val="00505E7B"/>
    <w:rsid w:val="0050704C"/>
    <w:rsid w:val="005071B9"/>
    <w:rsid w:val="00507C22"/>
    <w:rsid w:val="00510884"/>
    <w:rsid w:val="00511575"/>
    <w:rsid w:val="005133CE"/>
    <w:rsid w:val="0051465C"/>
    <w:rsid w:val="00514A54"/>
    <w:rsid w:val="00515E28"/>
    <w:rsid w:val="00520A58"/>
    <w:rsid w:val="00520E3E"/>
    <w:rsid w:val="00521D61"/>
    <w:rsid w:val="00522BB5"/>
    <w:rsid w:val="00525FC5"/>
    <w:rsid w:val="0052685F"/>
    <w:rsid w:val="005301A9"/>
    <w:rsid w:val="005301B6"/>
    <w:rsid w:val="00530253"/>
    <w:rsid w:val="00530291"/>
    <w:rsid w:val="00530952"/>
    <w:rsid w:val="00531258"/>
    <w:rsid w:val="005316CC"/>
    <w:rsid w:val="00532970"/>
    <w:rsid w:val="0053449D"/>
    <w:rsid w:val="005348C5"/>
    <w:rsid w:val="00534A83"/>
    <w:rsid w:val="00535353"/>
    <w:rsid w:val="005372A7"/>
    <w:rsid w:val="00541BDF"/>
    <w:rsid w:val="0054203A"/>
    <w:rsid w:val="00543E1C"/>
    <w:rsid w:val="005448A6"/>
    <w:rsid w:val="005471E6"/>
    <w:rsid w:val="00553C55"/>
    <w:rsid w:val="00553E8B"/>
    <w:rsid w:val="005576C0"/>
    <w:rsid w:val="005577B1"/>
    <w:rsid w:val="005603D2"/>
    <w:rsid w:val="00560ADB"/>
    <w:rsid w:val="00560CFC"/>
    <w:rsid w:val="00561655"/>
    <w:rsid w:val="00562082"/>
    <w:rsid w:val="0056216B"/>
    <w:rsid w:val="005628AA"/>
    <w:rsid w:val="00564AF2"/>
    <w:rsid w:val="0056679C"/>
    <w:rsid w:val="005715AA"/>
    <w:rsid w:val="00571E80"/>
    <w:rsid w:val="00572E15"/>
    <w:rsid w:val="005733C2"/>
    <w:rsid w:val="005755E7"/>
    <w:rsid w:val="00576017"/>
    <w:rsid w:val="00576ABB"/>
    <w:rsid w:val="00580E65"/>
    <w:rsid w:val="00583F8C"/>
    <w:rsid w:val="0058405E"/>
    <w:rsid w:val="0058633E"/>
    <w:rsid w:val="0058687F"/>
    <w:rsid w:val="00587195"/>
    <w:rsid w:val="00587B6B"/>
    <w:rsid w:val="00590245"/>
    <w:rsid w:val="00591594"/>
    <w:rsid w:val="0059196B"/>
    <w:rsid w:val="0059389D"/>
    <w:rsid w:val="00593A53"/>
    <w:rsid w:val="0059782A"/>
    <w:rsid w:val="005A13B6"/>
    <w:rsid w:val="005A1DF2"/>
    <w:rsid w:val="005A3D59"/>
    <w:rsid w:val="005A3DED"/>
    <w:rsid w:val="005A404A"/>
    <w:rsid w:val="005A42CC"/>
    <w:rsid w:val="005A7921"/>
    <w:rsid w:val="005B34A8"/>
    <w:rsid w:val="005B3C0E"/>
    <w:rsid w:val="005B4314"/>
    <w:rsid w:val="005B4561"/>
    <w:rsid w:val="005B4AFA"/>
    <w:rsid w:val="005B55F3"/>
    <w:rsid w:val="005B58FA"/>
    <w:rsid w:val="005C1960"/>
    <w:rsid w:val="005C3A4F"/>
    <w:rsid w:val="005C4B2B"/>
    <w:rsid w:val="005C7904"/>
    <w:rsid w:val="005C7AB6"/>
    <w:rsid w:val="005C7F01"/>
    <w:rsid w:val="005D038D"/>
    <w:rsid w:val="005D1C47"/>
    <w:rsid w:val="005D2CDB"/>
    <w:rsid w:val="005D2D36"/>
    <w:rsid w:val="005D412C"/>
    <w:rsid w:val="005D48B5"/>
    <w:rsid w:val="005D50AA"/>
    <w:rsid w:val="005E1909"/>
    <w:rsid w:val="005E2A84"/>
    <w:rsid w:val="005E2C7F"/>
    <w:rsid w:val="005E38C4"/>
    <w:rsid w:val="005E60DE"/>
    <w:rsid w:val="005E61BD"/>
    <w:rsid w:val="005E6423"/>
    <w:rsid w:val="005F1BC3"/>
    <w:rsid w:val="005F2429"/>
    <w:rsid w:val="005F31C6"/>
    <w:rsid w:val="005F4642"/>
    <w:rsid w:val="005F644B"/>
    <w:rsid w:val="005F766C"/>
    <w:rsid w:val="00600AC1"/>
    <w:rsid w:val="0060131B"/>
    <w:rsid w:val="0060200A"/>
    <w:rsid w:val="0060204D"/>
    <w:rsid w:val="00602AD6"/>
    <w:rsid w:val="0060332F"/>
    <w:rsid w:val="00603ED1"/>
    <w:rsid w:val="0060436E"/>
    <w:rsid w:val="006044CA"/>
    <w:rsid w:val="00604731"/>
    <w:rsid w:val="006049F4"/>
    <w:rsid w:val="00607742"/>
    <w:rsid w:val="006137DB"/>
    <w:rsid w:val="00614A20"/>
    <w:rsid w:val="00617700"/>
    <w:rsid w:val="00617DA0"/>
    <w:rsid w:val="00625B18"/>
    <w:rsid w:val="00626DA3"/>
    <w:rsid w:val="00626E92"/>
    <w:rsid w:val="0062712F"/>
    <w:rsid w:val="00627733"/>
    <w:rsid w:val="006277BF"/>
    <w:rsid w:val="0062783F"/>
    <w:rsid w:val="00627D17"/>
    <w:rsid w:val="006312A9"/>
    <w:rsid w:val="00631478"/>
    <w:rsid w:val="00631E27"/>
    <w:rsid w:val="0063212B"/>
    <w:rsid w:val="006322D9"/>
    <w:rsid w:val="00632733"/>
    <w:rsid w:val="00633B89"/>
    <w:rsid w:val="00634A0B"/>
    <w:rsid w:val="006357E9"/>
    <w:rsid w:val="00635B35"/>
    <w:rsid w:val="006362A1"/>
    <w:rsid w:val="00636B39"/>
    <w:rsid w:val="00640FAE"/>
    <w:rsid w:val="00641740"/>
    <w:rsid w:val="00641B27"/>
    <w:rsid w:val="00642D34"/>
    <w:rsid w:val="006433A1"/>
    <w:rsid w:val="0064388B"/>
    <w:rsid w:val="00645395"/>
    <w:rsid w:val="00647B98"/>
    <w:rsid w:val="00651BBD"/>
    <w:rsid w:val="0065379D"/>
    <w:rsid w:val="00654C01"/>
    <w:rsid w:val="006556AF"/>
    <w:rsid w:val="006561AC"/>
    <w:rsid w:val="0065653D"/>
    <w:rsid w:val="00656646"/>
    <w:rsid w:val="0065752F"/>
    <w:rsid w:val="00657837"/>
    <w:rsid w:val="0066087A"/>
    <w:rsid w:val="00661A1B"/>
    <w:rsid w:val="006661A4"/>
    <w:rsid w:val="006661B0"/>
    <w:rsid w:val="006665E8"/>
    <w:rsid w:val="00670127"/>
    <w:rsid w:val="00670CAC"/>
    <w:rsid w:val="00672BB6"/>
    <w:rsid w:val="006732D0"/>
    <w:rsid w:val="00674EC5"/>
    <w:rsid w:val="00676C42"/>
    <w:rsid w:val="0068065E"/>
    <w:rsid w:val="006820D4"/>
    <w:rsid w:val="00683178"/>
    <w:rsid w:val="00683D5B"/>
    <w:rsid w:val="006845CC"/>
    <w:rsid w:val="0068499B"/>
    <w:rsid w:val="0068553C"/>
    <w:rsid w:val="00686198"/>
    <w:rsid w:val="00692310"/>
    <w:rsid w:val="006926EC"/>
    <w:rsid w:val="00694AB1"/>
    <w:rsid w:val="00694D5B"/>
    <w:rsid w:val="00696788"/>
    <w:rsid w:val="00696814"/>
    <w:rsid w:val="00696FBE"/>
    <w:rsid w:val="0069775E"/>
    <w:rsid w:val="006A058F"/>
    <w:rsid w:val="006A0D5F"/>
    <w:rsid w:val="006A0D77"/>
    <w:rsid w:val="006A100D"/>
    <w:rsid w:val="006A3865"/>
    <w:rsid w:val="006A5D1E"/>
    <w:rsid w:val="006B0035"/>
    <w:rsid w:val="006B1349"/>
    <w:rsid w:val="006B1FFF"/>
    <w:rsid w:val="006B22EC"/>
    <w:rsid w:val="006B27E7"/>
    <w:rsid w:val="006B67DD"/>
    <w:rsid w:val="006B6E7F"/>
    <w:rsid w:val="006B7C9B"/>
    <w:rsid w:val="006C2ECC"/>
    <w:rsid w:val="006C3AF4"/>
    <w:rsid w:val="006C5999"/>
    <w:rsid w:val="006C6485"/>
    <w:rsid w:val="006C747A"/>
    <w:rsid w:val="006C787B"/>
    <w:rsid w:val="006C7C85"/>
    <w:rsid w:val="006D0FDB"/>
    <w:rsid w:val="006D2133"/>
    <w:rsid w:val="006D3407"/>
    <w:rsid w:val="006D40E2"/>
    <w:rsid w:val="006D47E0"/>
    <w:rsid w:val="006D68D5"/>
    <w:rsid w:val="006D74CF"/>
    <w:rsid w:val="006E3D3C"/>
    <w:rsid w:val="006E5210"/>
    <w:rsid w:val="006E6766"/>
    <w:rsid w:val="006E6DC1"/>
    <w:rsid w:val="006F0050"/>
    <w:rsid w:val="006F0661"/>
    <w:rsid w:val="006F126E"/>
    <w:rsid w:val="006F4142"/>
    <w:rsid w:val="006F4E0C"/>
    <w:rsid w:val="006F5013"/>
    <w:rsid w:val="006F50A0"/>
    <w:rsid w:val="006F63F0"/>
    <w:rsid w:val="00701B11"/>
    <w:rsid w:val="00706959"/>
    <w:rsid w:val="0070783E"/>
    <w:rsid w:val="00707A22"/>
    <w:rsid w:val="00710A52"/>
    <w:rsid w:val="00710E76"/>
    <w:rsid w:val="00711FAF"/>
    <w:rsid w:val="007128B7"/>
    <w:rsid w:val="00712ACD"/>
    <w:rsid w:val="007131D4"/>
    <w:rsid w:val="0071432A"/>
    <w:rsid w:val="007155AE"/>
    <w:rsid w:val="007155FE"/>
    <w:rsid w:val="00715723"/>
    <w:rsid w:val="007200D7"/>
    <w:rsid w:val="0072252A"/>
    <w:rsid w:val="00722F59"/>
    <w:rsid w:val="00724944"/>
    <w:rsid w:val="00724DD0"/>
    <w:rsid w:val="007260A9"/>
    <w:rsid w:val="00730965"/>
    <w:rsid w:val="0073107E"/>
    <w:rsid w:val="00731530"/>
    <w:rsid w:val="0073226A"/>
    <w:rsid w:val="00734407"/>
    <w:rsid w:val="00735DD5"/>
    <w:rsid w:val="00736A5A"/>
    <w:rsid w:val="00736A6A"/>
    <w:rsid w:val="00737B64"/>
    <w:rsid w:val="007413BB"/>
    <w:rsid w:val="007414CA"/>
    <w:rsid w:val="0074174D"/>
    <w:rsid w:val="00741C24"/>
    <w:rsid w:val="0074397F"/>
    <w:rsid w:val="00744026"/>
    <w:rsid w:val="00744298"/>
    <w:rsid w:val="00745DDD"/>
    <w:rsid w:val="00746753"/>
    <w:rsid w:val="00750AEF"/>
    <w:rsid w:val="00751138"/>
    <w:rsid w:val="00752D2A"/>
    <w:rsid w:val="00754475"/>
    <w:rsid w:val="007600AF"/>
    <w:rsid w:val="00761F0C"/>
    <w:rsid w:val="00764794"/>
    <w:rsid w:val="00765F27"/>
    <w:rsid w:val="00766547"/>
    <w:rsid w:val="00766A6B"/>
    <w:rsid w:val="00766C13"/>
    <w:rsid w:val="00770E32"/>
    <w:rsid w:val="00771661"/>
    <w:rsid w:val="00771B7F"/>
    <w:rsid w:val="00771CCE"/>
    <w:rsid w:val="00772649"/>
    <w:rsid w:val="00773D4E"/>
    <w:rsid w:val="00774591"/>
    <w:rsid w:val="00776789"/>
    <w:rsid w:val="00777078"/>
    <w:rsid w:val="00777ABA"/>
    <w:rsid w:val="00777F74"/>
    <w:rsid w:val="00782E76"/>
    <w:rsid w:val="007830E3"/>
    <w:rsid w:val="0078356D"/>
    <w:rsid w:val="00786F48"/>
    <w:rsid w:val="007873E6"/>
    <w:rsid w:val="007908C8"/>
    <w:rsid w:val="00790C95"/>
    <w:rsid w:val="00796285"/>
    <w:rsid w:val="007966A7"/>
    <w:rsid w:val="00797636"/>
    <w:rsid w:val="00797D15"/>
    <w:rsid w:val="00797DB8"/>
    <w:rsid w:val="007A1063"/>
    <w:rsid w:val="007A1F9E"/>
    <w:rsid w:val="007A315D"/>
    <w:rsid w:val="007A52C5"/>
    <w:rsid w:val="007A5F93"/>
    <w:rsid w:val="007A6365"/>
    <w:rsid w:val="007A66F2"/>
    <w:rsid w:val="007A7F11"/>
    <w:rsid w:val="007B0494"/>
    <w:rsid w:val="007B124F"/>
    <w:rsid w:val="007B2639"/>
    <w:rsid w:val="007B26E2"/>
    <w:rsid w:val="007B2799"/>
    <w:rsid w:val="007B2AB8"/>
    <w:rsid w:val="007B2E43"/>
    <w:rsid w:val="007B4B76"/>
    <w:rsid w:val="007B5B23"/>
    <w:rsid w:val="007B6873"/>
    <w:rsid w:val="007B6C1D"/>
    <w:rsid w:val="007B7791"/>
    <w:rsid w:val="007C23EF"/>
    <w:rsid w:val="007C30B8"/>
    <w:rsid w:val="007C3F37"/>
    <w:rsid w:val="007C42C6"/>
    <w:rsid w:val="007C6B23"/>
    <w:rsid w:val="007C753F"/>
    <w:rsid w:val="007D0666"/>
    <w:rsid w:val="007D0ECF"/>
    <w:rsid w:val="007D1179"/>
    <w:rsid w:val="007D20B2"/>
    <w:rsid w:val="007D26D8"/>
    <w:rsid w:val="007D2C37"/>
    <w:rsid w:val="007D507F"/>
    <w:rsid w:val="007D51AB"/>
    <w:rsid w:val="007D550A"/>
    <w:rsid w:val="007D5A72"/>
    <w:rsid w:val="007D5BB3"/>
    <w:rsid w:val="007D626D"/>
    <w:rsid w:val="007D6BBF"/>
    <w:rsid w:val="007E07C2"/>
    <w:rsid w:val="007E17E9"/>
    <w:rsid w:val="007E256D"/>
    <w:rsid w:val="007E33A9"/>
    <w:rsid w:val="007E64B0"/>
    <w:rsid w:val="007E66DA"/>
    <w:rsid w:val="007F0405"/>
    <w:rsid w:val="007F1C46"/>
    <w:rsid w:val="007F2B2E"/>
    <w:rsid w:val="007F4CF1"/>
    <w:rsid w:val="007F64FF"/>
    <w:rsid w:val="00800452"/>
    <w:rsid w:val="008008DD"/>
    <w:rsid w:val="00801AEB"/>
    <w:rsid w:val="00802931"/>
    <w:rsid w:val="0080404D"/>
    <w:rsid w:val="0080435C"/>
    <w:rsid w:val="00805B4D"/>
    <w:rsid w:val="00805D5D"/>
    <w:rsid w:val="00806134"/>
    <w:rsid w:val="00806914"/>
    <w:rsid w:val="00806ABA"/>
    <w:rsid w:val="00810EAE"/>
    <w:rsid w:val="00812078"/>
    <w:rsid w:val="00812148"/>
    <w:rsid w:val="00812BF1"/>
    <w:rsid w:val="00812FE4"/>
    <w:rsid w:val="00814F3A"/>
    <w:rsid w:val="00816A44"/>
    <w:rsid w:val="008202FF"/>
    <w:rsid w:val="00821BD6"/>
    <w:rsid w:val="008254B6"/>
    <w:rsid w:val="00825EC7"/>
    <w:rsid w:val="0082612E"/>
    <w:rsid w:val="0083153F"/>
    <w:rsid w:val="00832251"/>
    <w:rsid w:val="00833440"/>
    <w:rsid w:val="00834B38"/>
    <w:rsid w:val="00835697"/>
    <w:rsid w:val="00836E19"/>
    <w:rsid w:val="00842D2F"/>
    <w:rsid w:val="008448EB"/>
    <w:rsid w:val="0084521B"/>
    <w:rsid w:val="00851B1A"/>
    <w:rsid w:val="00851F55"/>
    <w:rsid w:val="00852A6F"/>
    <w:rsid w:val="00852AF5"/>
    <w:rsid w:val="00853C3E"/>
    <w:rsid w:val="00853EC4"/>
    <w:rsid w:val="008547B0"/>
    <w:rsid w:val="00854E73"/>
    <w:rsid w:val="008571B1"/>
    <w:rsid w:val="00863A48"/>
    <w:rsid w:val="00864E9B"/>
    <w:rsid w:val="00867199"/>
    <w:rsid w:val="008700B2"/>
    <w:rsid w:val="008711D3"/>
    <w:rsid w:val="00871493"/>
    <w:rsid w:val="008716A3"/>
    <w:rsid w:val="00871C1C"/>
    <w:rsid w:val="008747D6"/>
    <w:rsid w:val="00874D3C"/>
    <w:rsid w:val="00875E00"/>
    <w:rsid w:val="008804AE"/>
    <w:rsid w:val="00884783"/>
    <w:rsid w:val="00887150"/>
    <w:rsid w:val="00887D76"/>
    <w:rsid w:val="00891121"/>
    <w:rsid w:val="00891570"/>
    <w:rsid w:val="00891829"/>
    <w:rsid w:val="008926EF"/>
    <w:rsid w:val="00892AD1"/>
    <w:rsid w:val="00893128"/>
    <w:rsid w:val="00894AA6"/>
    <w:rsid w:val="008964EC"/>
    <w:rsid w:val="00897383"/>
    <w:rsid w:val="008977DD"/>
    <w:rsid w:val="00897F5C"/>
    <w:rsid w:val="008A18C0"/>
    <w:rsid w:val="008A231C"/>
    <w:rsid w:val="008A5652"/>
    <w:rsid w:val="008A5D31"/>
    <w:rsid w:val="008A654D"/>
    <w:rsid w:val="008A6EB7"/>
    <w:rsid w:val="008A7624"/>
    <w:rsid w:val="008B3950"/>
    <w:rsid w:val="008C0AF6"/>
    <w:rsid w:val="008C1E28"/>
    <w:rsid w:val="008C2040"/>
    <w:rsid w:val="008C309B"/>
    <w:rsid w:val="008C3584"/>
    <w:rsid w:val="008C3C87"/>
    <w:rsid w:val="008C43A7"/>
    <w:rsid w:val="008C5585"/>
    <w:rsid w:val="008C5B69"/>
    <w:rsid w:val="008C6491"/>
    <w:rsid w:val="008C6B6B"/>
    <w:rsid w:val="008C6BED"/>
    <w:rsid w:val="008C728F"/>
    <w:rsid w:val="008C7F33"/>
    <w:rsid w:val="008D2789"/>
    <w:rsid w:val="008D2F3D"/>
    <w:rsid w:val="008D3F54"/>
    <w:rsid w:val="008D6ACF"/>
    <w:rsid w:val="008E7A58"/>
    <w:rsid w:val="008F3DF0"/>
    <w:rsid w:val="008F66D4"/>
    <w:rsid w:val="008F6761"/>
    <w:rsid w:val="008F725F"/>
    <w:rsid w:val="008F7BD8"/>
    <w:rsid w:val="00902681"/>
    <w:rsid w:val="00903047"/>
    <w:rsid w:val="00903452"/>
    <w:rsid w:val="00903B11"/>
    <w:rsid w:val="00907DB4"/>
    <w:rsid w:val="009102BD"/>
    <w:rsid w:val="009117C6"/>
    <w:rsid w:val="00911B82"/>
    <w:rsid w:val="00914FCC"/>
    <w:rsid w:val="009174C3"/>
    <w:rsid w:val="009202B0"/>
    <w:rsid w:val="009206C8"/>
    <w:rsid w:val="00921DC8"/>
    <w:rsid w:val="00923480"/>
    <w:rsid w:val="009235F6"/>
    <w:rsid w:val="00923A15"/>
    <w:rsid w:val="00923E94"/>
    <w:rsid w:val="009241FA"/>
    <w:rsid w:val="0092604B"/>
    <w:rsid w:val="00927421"/>
    <w:rsid w:val="00930CB2"/>
    <w:rsid w:val="00930D4B"/>
    <w:rsid w:val="00931242"/>
    <w:rsid w:val="00932338"/>
    <w:rsid w:val="00932C4C"/>
    <w:rsid w:val="00933C7E"/>
    <w:rsid w:val="0093445D"/>
    <w:rsid w:val="00934D5F"/>
    <w:rsid w:val="009359F9"/>
    <w:rsid w:val="00936E14"/>
    <w:rsid w:val="00942D66"/>
    <w:rsid w:val="009433EB"/>
    <w:rsid w:val="00943A08"/>
    <w:rsid w:val="00945450"/>
    <w:rsid w:val="00945D81"/>
    <w:rsid w:val="009505C2"/>
    <w:rsid w:val="00951E5B"/>
    <w:rsid w:val="00955BE8"/>
    <w:rsid w:val="0096304C"/>
    <w:rsid w:val="00963D2C"/>
    <w:rsid w:val="0096596C"/>
    <w:rsid w:val="00966A9B"/>
    <w:rsid w:val="0096737F"/>
    <w:rsid w:val="00967F7C"/>
    <w:rsid w:val="00970CC9"/>
    <w:rsid w:val="00970E05"/>
    <w:rsid w:val="0097415C"/>
    <w:rsid w:val="00974743"/>
    <w:rsid w:val="00974C55"/>
    <w:rsid w:val="00975089"/>
    <w:rsid w:val="00976B04"/>
    <w:rsid w:val="00976C46"/>
    <w:rsid w:val="0098161A"/>
    <w:rsid w:val="00981EEA"/>
    <w:rsid w:val="009852A1"/>
    <w:rsid w:val="009868E1"/>
    <w:rsid w:val="00986C2A"/>
    <w:rsid w:val="00986EA4"/>
    <w:rsid w:val="00987528"/>
    <w:rsid w:val="00991491"/>
    <w:rsid w:val="009916A3"/>
    <w:rsid w:val="00991A83"/>
    <w:rsid w:val="00992D5D"/>
    <w:rsid w:val="0099355A"/>
    <w:rsid w:val="009A10C5"/>
    <w:rsid w:val="009A4294"/>
    <w:rsid w:val="009A6254"/>
    <w:rsid w:val="009A66C7"/>
    <w:rsid w:val="009B1BFA"/>
    <w:rsid w:val="009B3A84"/>
    <w:rsid w:val="009B58CD"/>
    <w:rsid w:val="009B60C0"/>
    <w:rsid w:val="009B6470"/>
    <w:rsid w:val="009C3D53"/>
    <w:rsid w:val="009D0105"/>
    <w:rsid w:val="009D0189"/>
    <w:rsid w:val="009D0B48"/>
    <w:rsid w:val="009D1718"/>
    <w:rsid w:val="009D1C1F"/>
    <w:rsid w:val="009D1E30"/>
    <w:rsid w:val="009D21ED"/>
    <w:rsid w:val="009D4626"/>
    <w:rsid w:val="009D4EF6"/>
    <w:rsid w:val="009D6D81"/>
    <w:rsid w:val="009D77AD"/>
    <w:rsid w:val="009E01C3"/>
    <w:rsid w:val="009E1113"/>
    <w:rsid w:val="009E370D"/>
    <w:rsid w:val="009E3E55"/>
    <w:rsid w:val="009E4B69"/>
    <w:rsid w:val="009E4E75"/>
    <w:rsid w:val="009E57C7"/>
    <w:rsid w:val="009E7781"/>
    <w:rsid w:val="009E7B57"/>
    <w:rsid w:val="009E7B5E"/>
    <w:rsid w:val="009F1814"/>
    <w:rsid w:val="009F18DF"/>
    <w:rsid w:val="009F26E2"/>
    <w:rsid w:val="009F2DF6"/>
    <w:rsid w:val="009F2FEF"/>
    <w:rsid w:val="009F36CB"/>
    <w:rsid w:val="009F41AF"/>
    <w:rsid w:val="009F4D1F"/>
    <w:rsid w:val="009F5343"/>
    <w:rsid w:val="009F5571"/>
    <w:rsid w:val="009F5A5D"/>
    <w:rsid w:val="009F5AD4"/>
    <w:rsid w:val="00A014C9"/>
    <w:rsid w:val="00A023CF"/>
    <w:rsid w:val="00A03520"/>
    <w:rsid w:val="00A03B6E"/>
    <w:rsid w:val="00A047B6"/>
    <w:rsid w:val="00A048EC"/>
    <w:rsid w:val="00A06B88"/>
    <w:rsid w:val="00A10FA8"/>
    <w:rsid w:val="00A1119C"/>
    <w:rsid w:val="00A11411"/>
    <w:rsid w:val="00A12497"/>
    <w:rsid w:val="00A1258E"/>
    <w:rsid w:val="00A1279A"/>
    <w:rsid w:val="00A15015"/>
    <w:rsid w:val="00A211F2"/>
    <w:rsid w:val="00A21270"/>
    <w:rsid w:val="00A21463"/>
    <w:rsid w:val="00A22D39"/>
    <w:rsid w:val="00A231BF"/>
    <w:rsid w:val="00A23D62"/>
    <w:rsid w:val="00A2673E"/>
    <w:rsid w:val="00A33567"/>
    <w:rsid w:val="00A338D1"/>
    <w:rsid w:val="00A358B6"/>
    <w:rsid w:val="00A361F0"/>
    <w:rsid w:val="00A409BD"/>
    <w:rsid w:val="00A41FBB"/>
    <w:rsid w:val="00A43183"/>
    <w:rsid w:val="00A44126"/>
    <w:rsid w:val="00A44256"/>
    <w:rsid w:val="00A450DC"/>
    <w:rsid w:val="00A45DEC"/>
    <w:rsid w:val="00A472D8"/>
    <w:rsid w:val="00A5061B"/>
    <w:rsid w:val="00A5084F"/>
    <w:rsid w:val="00A5098C"/>
    <w:rsid w:val="00A5176E"/>
    <w:rsid w:val="00A518DC"/>
    <w:rsid w:val="00A54331"/>
    <w:rsid w:val="00A54996"/>
    <w:rsid w:val="00A54C4E"/>
    <w:rsid w:val="00A54DC2"/>
    <w:rsid w:val="00A55166"/>
    <w:rsid w:val="00A57281"/>
    <w:rsid w:val="00A57B98"/>
    <w:rsid w:val="00A61655"/>
    <w:rsid w:val="00A61FAC"/>
    <w:rsid w:val="00A6332A"/>
    <w:rsid w:val="00A64988"/>
    <w:rsid w:val="00A74986"/>
    <w:rsid w:val="00A76428"/>
    <w:rsid w:val="00A7643E"/>
    <w:rsid w:val="00A81642"/>
    <w:rsid w:val="00A81D2A"/>
    <w:rsid w:val="00A81F68"/>
    <w:rsid w:val="00A82DDF"/>
    <w:rsid w:val="00A845B5"/>
    <w:rsid w:val="00A84B63"/>
    <w:rsid w:val="00A84F8C"/>
    <w:rsid w:val="00A85348"/>
    <w:rsid w:val="00A86813"/>
    <w:rsid w:val="00A8736A"/>
    <w:rsid w:val="00A9335B"/>
    <w:rsid w:val="00A946F6"/>
    <w:rsid w:val="00A955F6"/>
    <w:rsid w:val="00A95823"/>
    <w:rsid w:val="00A96F1B"/>
    <w:rsid w:val="00AA0227"/>
    <w:rsid w:val="00AA05FD"/>
    <w:rsid w:val="00AA198C"/>
    <w:rsid w:val="00AA427B"/>
    <w:rsid w:val="00AA42D3"/>
    <w:rsid w:val="00AA5636"/>
    <w:rsid w:val="00AA7936"/>
    <w:rsid w:val="00AB0561"/>
    <w:rsid w:val="00AB20B1"/>
    <w:rsid w:val="00AB2927"/>
    <w:rsid w:val="00AB2D59"/>
    <w:rsid w:val="00AB419E"/>
    <w:rsid w:val="00AB4778"/>
    <w:rsid w:val="00AB540F"/>
    <w:rsid w:val="00AB5E00"/>
    <w:rsid w:val="00AB622D"/>
    <w:rsid w:val="00AB6708"/>
    <w:rsid w:val="00AC028A"/>
    <w:rsid w:val="00AC028E"/>
    <w:rsid w:val="00AC1A40"/>
    <w:rsid w:val="00AC1FBF"/>
    <w:rsid w:val="00AC43FA"/>
    <w:rsid w:val="00AC64AE"/>
    <w:rsid w:val="00AC6D58"/>
    <w:rsid w:val="00AC7970"/>
    <w:rsid w:val="00AC7CAC"/>
    <w:rsid w:val="00AD7210"/>
    <w:rsid w:val="00AE1805"/>
    <w:rsid w:val="00AE2322"/>
    <w:rsid w:val="00AE3F9D"/>
    <w:rsid w:val="00AE4725"/>
    <w:rsid w:val="00AE5BB9"/>
    <w:rsid w:val="00AF2EA7"/>
    <w:rsid w:val="00AF4A61"/>
    <w:rsid w:val="00AF633E"/>
    <w:rsid w:val="00AF6B7A"/>
    <w:rsid w:val="00AF73C4"/>
    <w:rsid w:val="00B007D7"/>
    <w:rsid w:val="00B00D76"/>
    <w:rsid w:val="00B011F8"/>
    <w:rsid w:val="00B01296"/>
    <w:rsid w:val="00B022F8"/>
    <w:rsid w:val="00B02446"/>
    <w:rsid w:val="00B03F09"/>
    <w:rsid w:val="00B0494B"/>
    <w:rsid w:val="00B04A43"/>
    <w:rsid w:val="00B04B70"/>
    <w:rsid w:val="00B059A7"/>
    <w:rsid w:val="00B07CDB"/>
    <w:rsid w:val="00B100AE"/>
    <w:rsid w:val="00B1028E"/>
    <w:rsid w:val="00B113E9"/>
    <w:rsid w:val="00B11BFD"/>
    <w:rsid w:val="00B120FD"/>
    <w:rsid w:val="00B12423"/>
    <w:rsid w:val="00B1296F"/>
    <w:rsid w:val="00B135F4"/>
    <w:rsid w:val="00B151A9"/>
    <w:rsid w:val="00B16367"/>
    <w:rsid w:val="00B20170"/>
    <w:rsid w:val="00B2069B"/>
    <w:rsid w:val="00B22693"/>
    <w:rsid w:val="00B22D84"/>
    <w:rsid w:val="00B22F5F"/>
    <w:rsid w:val="00B23CCA"/>
    <w:rsid w:val="00B24A2F"/>
    <w:rsid w:val="00B24E2D"/>
    <w:rsid w:val="00B25919"/>
    <w:rsid w:val="00B2659C"/>
    <w:rsid w:val="00B26E5B"/>
    <w:rsid w:val="00B32524"/>
    <w:rsid w:val="00B342BB"/>
    <w:rsid w:val="00B34C1B"/>
    <w:rsid w:val="00B3551E"/>
    <w:rsid w:val="00B35A9F"/>
    <w:rsid w:val="00B35C86"/>
    <w:rsid w:val="00B37927"/>
    <w:rsid w:val="00B40FD6"/>
    <w:rsid w:val="00B4295E"/>
    <w:rsid w:val="00B453E7"/>
    <w:rsid w:val="00B46AF8"/>
    <w:rsid w:val="00B46F21"/>
    <w:rsid w:val="00B50EFB"/>
    <w:rsid w:val="00B5433E"/>
    <w:rsid w:val="00B5514F"/>
    <w:rsid w:val="00B55CBB"/>
    <w:rsid w:val="00B57C59"/>
    <w:rsid w:val="00B60054"/>
    <w:rsid w:val="00B64C3D"/>
    <w:rsid w:val="00B6523D"/>
    <w:rsid w:val="00B65492"/>
    <w:rsid w:val="00B6551D"/>
    <w:rsid w:val="00B67316"/>
    <w:rsid w:val="00B70A41"/>
    <w:rsid w:val="00B71120"/>
    <w:rsid w:val="00B7155F"/>
    <w:rsid w:val="00B7220E"/>
    <w:rsid w:val="00B74CF3"/>
    <w:rsid w:val="00B74FAC"/>
    <w:rsid w:val="00B7536F"/>
    <w:rsid w:val="00B7679D"/>
    <w:rsid w:val="00B7742B"/>
    <w:rsid w:val="00B81FCD"/>
    <w:rsid w:val="00B83A63"/>
    <w:rsid w:val="00B855E2"/>
    <w:rsid w:val="00B85B73"/>
    <w:rsid w:val="00B90E4F"/>
    <w:rsid w:val="00B91412"/>
    <w:rsid w:val="00B916F8"/>
    <w:rsid w:val="00B916FC"/>
    <w:rsid w:val="00B91BBE"/>
    <w:rsid w:val="00B93BEB"/>
    <w:rsid w:val="00B94CD7"/>
    <w:rsid w:val="00B9507C"/>
    <w:rsid w:val="00B96DAB"/>
    <w:rsid w:val="00B96FEF"/>
    <w:rsid w:val="00BA2C4B"/>
    <w:rsid w:val="00BA4F21"/>
    <w:rsid w:val="00BA682A"/>
    <w:rsid w:val="00BA6F04"/>
    <w:rsid w:val="00BA766C"/>
    <w:rsid w:val="00BB045C"/>
    <w:rsid w:val="00BB057B"/>
    <w:rsid w:val="00BB2E2E"/>
    <w:rsid w:val="00BB35B2"/>
    <w:rsid w:val="00BB4261"/>
    <w:rsid w:val="00BB5309"/>
    <w:rsid w:val="00BB6094"/>
    <w:rsid w:val="00BC0196"/>
    <w:rsid w:val="00BC0837"/>
    <w:rsid w:val="00BC0D61"/>
    <w:rsid w:val="00BC1DFB"/>
    <w:rsid w:val="00BC2009"/>
    <w:rsid w:val="00BC21EE"/>
    <w:rsid w:val="00BC2DB7"/>
    <w:rsid w:val="00BC4972"/>
    <w:rsid w:val="00BD1149"/>
    <w:rsid w:val="00BD20D0"/>
    <w:rsid w:val="00BD221C"/>
    <w:rsid w:val="00BD371D"/>
    <w:rsid w:val="00BD4232"/>
    <w:rsid w:val="00BD5AED"/>
    <w:rsid w:val="00BD645F"/>
    <w:rsid w:val="00BD7D54"/>
    <w:rsid w:val="00BE1245"/>
    <w:rsid w:val="00BE13AD"/>
    <w:rsid w:val="00BE1945"/>
    <w:rsid w:val="00BE222F"/>
    <w:rsid w:val="00BE3F45"/>
    <w:rsid w:val="00BE4E91"/>
    <w:rsid w:val="00BE4FBA"/>
    <w:rsid w:val="00BE55B0"/>
    <w:rsid w:val="00BE6A01"/>
    <w:rsid w:val="00BE6CBE"/>
    <w:rsid w:val="00BE773B"/>
    <w:rsid w:val="00BE7D7C"/>
    <w:rsid w:val="00BF049C"/>
    <w:rsid w:val="00BF12A9"/>
    <w:rsid w:val="00BF130D"/>
    <w:rsid w:val="00BF31CF"/>
    <w:rsid w:val="00BF509A"/>
    <w:rsid w:val="00BF66A3"/>
    <w:rsid w:val="00BF66D3"/>
    <w:rsid w:val="00BF7269"/>
    <w:rsid w:val="00C01846"/>
    <w:rsid w:val="00C0286B"/>
    <w:rsid w:val="00C02E82"/>
    <w:rsid w:val="00C03533"/>
    <w:rsid w:val="00C037E6"/>
    <w:rsid w:val="00C05585"/>
    <w:rsid w:val="00C05B5D"/>
    <w:rsid w:val="00C0705A"/>
    <w:rsid w:val="00C07881"/>
    <w:rsid w:val="00C117C6"/>
    <w:rsid w:val="00C1359B"/>
    <w:rsid w:val="00C1409E"/>
    <w:rsid w:val="00C15F5E"/>
    <w:rsid w:val="00C17129"/>
    <w:rsid w:val="00C17AD1"/>
    <w:rsid w:val="00C17C49"/>
    <w:rsid w:val="00C210E8"/>
    <w:rsid w:val="00C2204D"/>
    <w:rsid w:val="00C23E5A"/>
    <w:rsid w:val="00C23F27"/>
    <w:rsid w:val="00C240FE"/>
    <w:rsid w:val="00C24124"/>
    <w:rsid w:val="00C301C6"/>
    <w:rsid w:val="00C31452"/>
    <w:rsid w:val="00C3190B"/>
    <w:rsid w:val="00C31AF1"/>
    <w:rsid w:val="00C330D9"/>
    <w:rsid w:val="00C337CD"/>
    <w:rsid w:val="00C344BC"/>
    <w:rsid w:val="00C346CB"/>
    <w:rsid w:val="00C36A3C"/>
    <w:rsid w:val="00C37B58"/>
    <w:rsid w:val="00C46E0B"/>
    <w:rsid w:val="00C50383"/>
    <w:rsid w:val="00C569C7"/>
    <w:rsid w:val="00C60D43"/>
    <w:rsid w:val="00C6477B"/>
    <w:rsid w:val="00C64DD2"/>
    <w:rsid w:val="00C657F4"/>
    <w:rsid w:val="00C66E21"/>
    <w:rsid w:val="00C67E91"/>
    <w:rsid w:val="00C70A6D"/>
    <w:rsid w:val="00C72443"/>
    <w:rsid w:val="00C74088"/>
    <w:rsid w:val="00C74AF4"/>
    <w:rsid w:val="00C77778"/>
    <w:rsid w:val="00C77E49"/>
    <w:rsid w:val="00C77FB5"/>
    <w:rsid w:val="00C82E25"/>
    <w:rsid w:val="00C83274"/>
    <w:rsid w:val="00C85B49"/>
    <w:rsid w:val="00C85BE7"/>
    <w:rsid w:val="00C86969"/>
    <w:rsid w:val="00C8799C"/>
    <w:rsid w:val="00C921DC"/>
    <w:rsid w:val="00C92341"/>
    <w:rsid w:val="00C95928"/>
    <w:rsid w:val="00C95D4C"/>
    <w:rsid w:val="00C95FE3"/>
    <w:rsid w:val="00CA1103"/>
    <w:rsid w:val="00CA2F8D"/>
    <w:rsid w:val="00CA7A09"/>
    <w:rsid w:val="00CA7EAE"/>
    <w:rsid w:val="00CA7EE9"/>
    <w:rsid w:val="00CB2180"/>
    <w:rsid w:val="00CB285C"/>
    <w:rsid w:val="00CB332C"/>
    <w:rsid w:val="00CB4001"/>
    <w:rsid w:val="00CB4836"/>
    <w:rsid w:val="00CB545A"/>
    <w:rsid w:val="00CB6554"/>
    <w:rsid w:val="00CB6752"/>
    <w:rsid w:val="00CB73E9"/>
    <w:rsid w:val="00CC2993"/>
    <w:rsid w:val="00CC2B71"/>
    <w:rsid w:val="00CC4049"/>
    <w:rsid w:val="00CC40D2"/>
    <w:rsid w:val="00CC6460"/>
    <w:rsid w:val="00CD31BB"/>
    <w:rsid w:val="00CD4767"/>
    <w:rsid w:val="00CD497A"/>
    <w:rsid w:val="00CE1749"/>
    <w:rsid w:val="00CE2F4C"/>
    <w:rsid w:val="00CE4E88"/>
    <w:rsid w:val="00CE7FA2"/>
    <w:rsid w:val="00CF0374"/>
    <w:rsid w:val="00CF07D7"/>
    <w:rsid w:val="00CF2FBD"/>
    <w:rsid w:val="00CF3FC4"/>
    <w:rsid w:val="00CF43B7"/>
    <w:rsid w:val="00CF4E3B"/>
    <w:rsid w:val="00CF6C69"/>
    <w:rsid w:val="00CF797D"/>
    <w:rsid w:val="00D00917"/>
    <w:rsid w:val="00D00989"/>
    <w:rsid w:val="00D00B78"/>
    <w:rsid w:val="00D04156"/>
    <w:rsid w:val="00D05EB5"/>
    <w:rsid w:val="00D0638A"/>
    <w:rsid w:val="00D06558"/>
    <w:rsid w:val="00D06E0A"/>
    <w:rsid w:val="00D10182"/>
    <w:rsid w:val="00D1096F"/>
    <w:rsid w:val="00D117C0"/>
    <w:rsid w:val="00D11E3C"/>
    <w:rsid w:val="00D165B0"/>
    <w:rsid w:val="00D17C41"/>
    <w:rsid w:val="00D20C2C"/>
    <w:rsid w:val="00D21113"/>
    <w:rsid w:val="00D21F61"/>
    <w:rsid w:val="00D247F2"/>
    <w:rsid w:val="00D24FD6"/>
    <w:rsid w:val="00D2535E"/>
    <w:rsid w:val="00D254E7"/>
    <w:rsid w:val="00D25A02"/>
    <w:rsid w:val="00D26DF6"/>
    <w:rsid w:val="00D26EA8"/>
    <w:rsid w:val="00D27A5C"/>
    <w:rsid w:val="00D27DD7"/>
    <w:rsid w:val="00D3019E"/>
    <w:rsid w:val="00D30C52"/>
    <w:rsid w:val="00D33A55"/>
    <w:rsid w:val="00D33F52"/>
    <w:rsid w:val="00D3420A"/>
    <w:rsid w:val="00D348EA"/>
    <w:rsid w:val="00D34E20"/>
    <w:rsid w:val="00D37CB2"/>
    <w:rsid w:val="00D40D3C"/>
    <w:rsid w:val="00D4186D"/>
    <w:rsid w:val="00D42E46"/>
    <w:rsid w:val="00D43530"/>
    <w:rsid w:val="00D43614"/>
    <w:rsid w:val="00D43A98"/>
    <w:rsid w:val="00D44EBB"/>
    <w:rsid w:val="00D456D1"/>
    <w:rsid w:val="00D51147"/>
    <w:rsid w:val="00D53529"/>
    <w:rsid w:val="00D53DC4"/>
    <w:rsid w:val="00D551EB"/>
    <w:rsid w:val="00D554ED"/>
    <w:rsid w:val="00D55E74"/>
    <w:rsid w:val="00D60D0D"/>
    <w:rsid w:val="00D61A77"/>
    <w:rsid w:val="00D623DB"/>
    <w:rsid w:val="00D6303E"/>
    <w:rsid w:val="00D655F4"/>
    <w:rsid w:val="00D66B8E"/>
    <w:rsid w:val="00D705DC"/>
    <w:rsid w:val="00D708B2"/>
    <w:rsid w:val="00D7122F"/>
    <w:rsid w:val="00D716E0"/>
    <w:rsid w:val="00D72DA2"/>
    <w:rsid w:val="00D75103"/>
    <w:rsid w:val="00D816C3"/>
    <w:rsid w:val="00D8351E"/>
    <w:rsid w:val="00D84233"/>
    <w:rsid w:val="00D84CE2"/>
    <w:rsid w:val="00D84F1E"/>
    <w:rsid w:val="00D8543B"/>
    <w:rsid w:val="00D872FC"/>
    <w:rsid w:val="00D90313"/>
    <w:rsid w:val="00D9088F"/>
    <w:rsid w:val="00D90D7E"/>
    <w:rsid w:val="00D911DF"/>
    <w:rsid w:val="00D912C8"/>
    <w:rsid w:val="00D919B2"/>
    <w:rsid w:val="00D93A71"/>
    <w:rsid w:val="00D93A80"/>
    <w:rsid w:val="00D9456C"/>
    <w:rsid w:val="00D957A2"/>
    <w:rsid w:val="00D958AB"/>
    <w:rsid w:val="00D96CBE"/>
    <w:rsid w:val="00D96E0D"/>
    <w:rsid w:val="00DA6419"/>
    <w:rsid w:val="00DB0C88"/>
    <w:rsid w:val="00DB1DD9"/>
    <w:rsid w:val="00DB622E"/>
    <w:rsid w:val="00DB6B11"/>
    <w:rsid w:val="00DC0C41"/>
    <w:rsid w:val="00DC1B31"/>
    <w:rsid w:val="00DC22A9"/>
    <w:rsid w:val="00DD0022"/>
    <w:rsid w:val="00DD13AD"/>
    <w:rsid w:val="00DD2988"/>
    <w:rsid w:val="00DD2F61"/>
    <w:rsid w:val="00DD4372"/>
    <w:rsid w:val="00DD479E"/>
    <w:rsid w:val="00DD54BA"/>
    <w:rsid w:val="00DE0D2B"/>
    <w:rsid w:val="00DE1167"/>
    <w:rsid w:val="00DE2C43"/>
    <w:rsid w:val="00DE4505"/>
    <w:rsid w:val="00DE52ED"/>
    <w:rsid w:val="00DE5C3D"/>
    <w:rsid w:val="00DE678E"/>
    <w:rsid w:val="00DE72DD"/>
    <w:rsid w:val="00DF0DA2"/>
    <w:rsid w:val="00DF1BF8"/>
    <w:rsid w:val="00DF1E24"/>
    <w:rsid w:val="00DF49D6"/>
    <w:rsid w:val="00DF58FB"/>
    <w:rsid w:val="00DF696F"/>
    <w:rsid w:val="00DF768F"/>
    <w:rsid w:val="00DF788C"/>
    <w:rsid w:val="00DF7DCF"/>
    <w:rsid w:val="00E003C7"/>
    <w:rsid w:val="00E01D95"/>
    <w:rsid w:val="00E027DE"/>
    <w:rsid w:val="00E02CEE"/>
    <w:rsid w:val="00E02D7F"/>
    <w:rsid w:val="00E02E09"/>
    <w:rsid w:val="00E03F7C"/>
    <w:rsid w:val="00E06095"/>
    <w:rsid w:val="00E072EA"/>
    <w:rsid w:val="00E108A9"/>
    <w:rsid w:val="00E1328A"/>
    <w:rsid w:val="00E136AE"/>
    <w:rsid w:val="00E14DD4"/>
    <w:rsid w:val="00E14F74"/>
    <w:rsid w:val="00E15505"/>
    <w:rsid w:val="00E16B3F"/>
    <w:rsid w:val="00E1749F"/>
    <w:rsid w:val="00E17EE3"/>
    <w:rsid w:val="00E21B7C"/>
    <w:rsid w:val="00E230BF"/>
    <w:rsid w:val="00E23C81"/>
    <w:rsid w:val="00E24E5D"/>
    <w:rsid w:val="00E27A80"/>
    <w:rsid w:val="00E30B7F"/>
    <w:rsid w:val="00E30D54"/>
    <w:rsid w:val="00E31405"/>
    <w:rsid w:val="00E338DB"/>
    <w:rsid w:val="00E34258"/>
    <w:rsid w:val="00E3440A"/>
    <w:rsid w:val="00E34501"/>
    <w:rsid w:val="00E34930"/>
    <w:rsid w:val="00E3514B"/>
    <w:rsid w:val="00E3523C"/>
    <w:rsid w:val="00E35E64"/>
    <w:rsid w:val="00E35FB2"/>
    <w:rsid w:val="00E370C9"/>
    <w:rsid w:val="00E37A40"/>
    <w:rsid w:val="00E4143D"/>
    <w:rsid w:val="00E43D19"/>
    <w:rsid w:val="00E46D62"/>
    <w:rsid w:val="00E471A5"/>
    <w:rsid w:val="00E47612"/>
    <w:rsid w:val="00E47FF5"/>
    <w:rsid w:val="00E501C6"/>
    <w:rsid w:val="00E50381"/>
    <w:rsid w:val="00E50A09"/>
    <w:rsid w:val="00E511A1"/>
    <w:rsid w:val="00E51AE6"/>
    <w:rsid w:val="00E54C84"/>
    <w:rsid w:val="00E57A14"/>
    <w:rsid w:val="00E60632"/>
    <w:rsid w:val="00E60CD8"/>
    <w:rsid w:val="00E61A26"/>
    <w:rsid w:val="00E61F01"/>
    <w:rsid w:val="00E6627B"/>
    <w:rsid w:val="00E7140B"/>
    <w:rsid w:val="00E71A24"/>
    <w:rsid w:val="00E71A4E"/>
    <w:rsid w:val="00E71F65"/>
    <w:rsid w:val="00E732F5"/>
    <w:rsid w:val="00E73FED"/>
    <w:rsid w:val="00E7584E"/>
    <w:rsid w:val="00E75F1C"/>
    <w:rsid w:val="00E76085"/>
    <w:rsid w:val="00E811DA"/>
    <w:rsid w:val="00E814AE"/>
    <w:rsid w:val="00E827C9"/>
    <w:rsid w:val="00E83B34"/>
    <w:rsid w:val="00E8493A"/>
    <w:rsid w:val="00E84A0E"/>
    <w:rsid w:val="00E84EAE"/>
    <w:rsid w:val="00E86384"/>
    <w:rsid w:val="00E86487"/>
    <w:rsid w:val="00E91642"/>
    <w:rsid w:val="00E926E4"/>
    <w:rsid w:val="00E92D68"/>
    <w:rsid w:val="00E92D8D"/>
    <w:rsid w:val="00E93FD8"/>
    <w:rsid w:val="00E955EC"/>
    <w:rsid w:val="00E97178"/>
    <w:rsid w:val="00E97D83"/>
    <w:rsid w:val="00EA0B33"/>
    <w:rsid w:val="00EA18BA"/>
    <w:rsid w:val="00EA2338"/>
    <w:rsid w:val="00EA28F6"/>
    <w:rsid w:val="00EA2FDB"/>
    <w:rsid w:val="00EA640A"/>
    <w:rsid w:val="00EB18C3"/>
    <w:rsid w:val="00EB2495"/>
    <w:rsid w:val="00EB2604"/>
    <w:rsid w:val="00EB4135"/>
    <w:rsid w:val="00EB6430"/>
    <w:rsid w:val="00EB6E16"/>
    <w:rsid w:val="00EB6EF6"/>
    <w:rsid w:val="00EC0504"/>
    <w:rsid w:val="00EC1193"/>
    <w:rsid w:val="00EC157B"/>
    <w:rsid w:val="00EC1670"/>
    <w:rsid w:val="00EC355A"/>
    <w:rsid w:val="00EC3A9F"/>
    <w:rsid w:val="00EC3B92"/>
    <w:rsid w:val="00EC449E"/>
    <w:rsid w:val="00EC691E"/>
    <w:rsid w:val="00EC6B34"/>
    <w:rsid w:val="00EC6E03"/>
    <w:rsid w:val="00EC76F2"/>
    <w:rsid w:val="00ED0917"/>
    <w:rsid w:val="00ED0FD3"/>
    <w:rsid w:val="00ED15DD"/>
    <w:rsid w:val="00ED525A"/>
    <w:rsid w:val="00ED5ED3"/>
    <w:rsid w:val="00ED5F19"/>
    <w:rsid w:val="00ED7424"/>
    <w:rsid w:val="00ED751A"/>
    <w:rsid w:val="00ED770D"/>
    <w:rsid w:val="00EE0103"/>
    <w:rsid w:val="00EE04D0"/>
    <w:rsid w:val="00EE04E8"/>
    <w:rsid w:val="00EE1D46"/>
    <w:rsid w:val="00EE380B"/>
    <w:rsid w:val="00EE409D"/>
    <w:rsid w:val="00EE6EB0"/>
    <w:rsid w:val="00EE7330"/>
    <w:rsid w:val="00EF12B0"/>
    <w:rsid w:val="00EF15BE"/>
    <w:rsid w:val="00EF3397"/>
    <w:rsid w:val="00EF366A"/>
    <w:rsid w:val="00EF43CE"/>
    <w:rsid w:val="00EF4497"/>
    <w:rsid w:val="00EF4EF0"/>
    <w:rsid w:val="00EF7637"/>
    <w:rsid w:val="00EF768F"/>
    <w:rsid w:val="00F008D4"/>
    <w:rsid w:val="00F020FB"/>
    <w:rsid w:val="00F0233C"/>
    <w:rsid w:val="00F04491"/>
    <w:rsid w:val="00F0704C"/>
    <w:rsid w:val="00F07E3F"/>
    <w:rsid w:val="00F110C0"/>
    <w:rsid w:val="00F1229D"/>
    <w:rsid w:val="00F17DAB"/>
    <w:rsid w:val="00F208AC"/>
    <w:rsid w:val="00F22BAB"/>
    <w:rsid w:val="00F243E7"/>
    <w:rsid w:val="00F25412"/>
    <w:rsid w:val="00F268DA"/>
    <w:rsid w:val="00F27D97"/>
    <w:rsid w:val="00F301A8"/>
    <w:rsid w:val="00F32E03"/>
    <w:rsid w:val="00F366A9"/>
    <w:rsid w:val="00F37A93"/>
    <w:rsid w:val="00F42550"/>
    <w:rsid w:val="00F425D6"/>
    <w:rsid w:val="00F42D04"/>
    <w:rsid w:val="00F44104"/>
    <w:rsid w:val="00F45C1F"/>
    <w:rsid w:val="00F47CF0"/>
    <w:rsid w:val="00F51347"/>
    <w:rsid w:val="00F51E4D"/>
    <w:rsid w:val="00F5463A"/>
    <w:rsid w:val="00F55899"/>
    <w:rsid w:val="00F57B62"/>
    <w:rsid w:val="00F601A8"/>
    <w:rsid w:val="00F61FAB"/>
    <w:rsid w:val="00F622E3"/>
    <w:rsid w:val="00F62B33"/>
    <w:rsid w:val="00F62CC4"/>
    <w:rsid w:val="00F63BA2"/>
    <w:rsid w:val="00F647F6"/>
    <w:rsid w:val="00F64E7C"/>
    <w:rsid w:val="00F7036C"/>
    <w:rsid w:val="00F7073A"/>
    <w:rsid w:val="00F70BE9"/>
    <w:rsid w:val="00F7256D"/>
    <w:rsid w:val="00F73A09"/>
    <w:rsid w:val="00F73C21"/>
    <w:rsid w:val="00F74820"/>
    <w:rsid w:val="00F755A2"/>
    <w:rsid w:val="00F75815"/>
    <w:rsid w:val="00F76945"/>
    <w:rsid w:val="00F76CEE"/>
    <w:rsid w:val="00F802F5"/>
    <w:rsid w:val="00F81183"/>
    <w:rsid w:val="00F845F5"/>
    <w:rsid w:val="00F85E19"/>
    <w:rsid w:val="00F86A16"/>
    <w:rsid w:val="00F86A88"/>
    <w:rsid w:val="00F86AB6"/>
    <w:rsid w:val="00F872A8"/>
    <w:rsid w:val="00F9026C"/>
    <w:rsid w:val="00F91631"/>
    <w:rsid w:val="00F920F4"/>
    <w:rsid w:val="00F921CB"/>
    <w:rsid w:val="00F92A75"/>
    <w:rsid w:val="00F948F4"/>
    <w:rsid w:val="00F95311"/>
    <w:rsid w:val="00F956DF"/>
    <w:rsid w:val="00F970A7"/>
    <w:rsid w:val="00F9730A"/>
    <w:rsid w:val="00F9745C"/>
    <w:rsid w:val="00F97C17"/>
    <w:rsid w:val="00FA0EB8"/>
    <w:rsid w:val="00FA1B42"/>
    <w:rsid w:val="00FA21D7"/>
    <w:rsid w:val="00FA2504"/>
    <w:rsid w:val="00FA364D"/>
    <w:rsid w:val="00FA3A68"/>
    <w:rsid w:val="00FA5259"/>
    <w:rsid w:val="00FA5EE9"/>
    <w:rsid w:val="00FA7566"/>
    <w:rsid w:val="00FA7F93"/>
    <w:rsid w:val="00FB1439"/>
    <w:rsid w:val="00FB425A"/>
    <w:rsid w:val="00FB4DF1"/>
    <w:rsid w:val="00FB5853"/>
    <w:rsid w:val="00FB5855"/>
    <w:rsid w:val="00FC38FB"/>
    <w:rsid w:val="00FD09EC"/>
    <w:rsid w:val="00FD1619"/>
    <w:rsid w:val="00FD251E"/>
    <w:rsid w:val="00FD25CB"/>
    <w:rsid w:val="00FD4261"/>
    <w:rsid w:val="00FD466A"/>
    <w:rsid w:val="00FD523D"/>
    <w:rsid w:val="00FD5E97"/>
    <w:rsid w:val="00FD667D"/>
    <w:rsid w:val="00FD70DB"/>
    <w:rsid w:val="00FD79D6"/>
    <w:rsid w:val="00FE0B1F"/>
    <w:rsid w:val="00FE2265"/>
    <w:rsid w:val="00FE3A33"/>
    <w:rsid w:val="00FE63C7"/>
    <w:rsid w:val="00FE6C73"/>
    <w:rsid w:val="00FE6DA2"/>
    <w:rsid w:val="00FE78BB"/>
    <w:rsid w:val="00FF0224"/>
    <w:rsid w:val="00FF2348"/>
    <w:rsid w:val="00FF256A"/>
    <w:rsid w:val="00FF26F4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499E11"/>
  <w15:docId w15:val="{7DBD1F5C-D900-4733-84B6-8991B32A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590"/>
    <w:rPr>
      <w:lang w:val="es-ES" w:eastAsia="es-ES"/>
    </w:rPr>
  </w:style>
  <w:style w:type="paragraph" w:styleId="Ttulo1">
    <w:name w:val="heading 1"/>
    <w:basedOn w:val="Normal"/>
    <w:next w:val="Normal"/>
    <w:qFormat/>
    <w:rsid w:val="00070590"/>
    <w:pPr>
      <w:keepNext/>
      <w:spacing w:before="240" w:after="60"/>
      <w:outlineLvl w:val="0"/>
    </w:pPr>
    <w:rPr>
      <w:rFonts w:ascii="Arial" w:hAnsi="Arial"/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rsid w:val="00070590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070590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070590"/>
    <w:pPr>
      <w:keepNext/>
      <w:jc w:val="both"/>
      <w:outlineLvl w:val="3"/>
    </w:pPr>
    <w:rPr>
      <w:rFonts w:ascii="Arial" w:hAnsi="Arial"/>
      <w:b/>
      <w:sz w:val="22"/>
      <w:lang w:val="es-ES_tradnl"/>
    </w:rPr>
  </w:style>
  <w:style w:type="paragraph" w:styleId="Ttulo5">
    <w:name w:val="heading 5"/>
    <w:basedOn w:val="Normal"/>
    <w:next w:val="Normal"/>
    <w:qFormat/>
    <w:rsid w:val="00070590"/>
    <w:pPr>
      <w:keepNext/>
      <w:jc w:val="both"/>
      <w:outlineLvl w:val="4"/>
    </w:pPr>
    <w:rPr>
      <w:rFonts w:ascii="Arial" w:hAnsi="Arial"/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070590"/>
    <w:pPr>
      <w:keepNext/>
      <w:jc w:val="both"/>
      <w:outlineLvl w:val="5"/>
    </w:pPr>
    <w:rPr>
      <w:rFonts w:ascii="Arial" w:hAnsi="Arial"/>
      <w:b/>
      <w:color w:val="0000FF"/>
    </w:rPr>
  </w:style>
  <w:style w:type="paragraph" w:styleId="Ttulo7">
    <w:name w:val="heading 7"/>
    <w:basedOn w:val="Normal"/>
    <w:next w:val="Normal"/>
    <w:qFormat/>
    <w:rsid w:val="00070590"/>
    <w:pPr>
      <w:keepNext/>
      <w:jc w:val="both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rsid w:val="00070590"/>
    <w:pPr>
      <w:keepNext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rsid w:val="00070590"/>
    <w:pPr>
      <w:keepNext/>
      <w:ind w:left="709"/>
      <w:jc w:val="both"/>
      <w:outlineLvl w:val="8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rsid w:val="00070590"/>
    <w:pPr>
      <w:jc w:val="both"/>
    </w:pPr>
    <w:rPr>
      <w:sz w:val="22"/>
      <w:lang w:val="es-ES_tradnl"/>
    </w:rPr>
  </w:style>
  <w:style w:type="paragraph" w:styleId="Textoindependiente3">
    <w:name w:val="Body Text 3"/>
    <w:basedOn w:val="Normal"/>
    <w:semiHidden/>
    <w:rsid w:val="00070590"/>
    <w:pPr>
      <w:jc w:val="both"/>
    </w:pPr>
    <w:rPr>
      <w:b/>
      <w:sz w:val="22"/>
      <w:lang w:val="es-ES_tradnl"/>
    </w:rPr>
  </w:style>
  <w:style w:type="paragraph" w:styleId="Sangra2detindependiente">
    <w:name w:val="Body Text Indent 2"/>
    <w:basedOn w:val="Normal"/>
    <w:semiHidden/>
    <w:rsid w:val="00070590"/>
    <w:pPr>
      <w:ind w:left="708"/>
    </w:pPr>
  </w:style>
  <w:style w:type="paragraph" w:styleId="Textoindependiente">
    <w:name w:val="Body Text"/>
    <w:basedOn w:val="Normal"/>
    <w:semiHidden/>
    <w:rsid w:val="00070590"/>
    <w:pPr>
      <w:jc w:val="both"/>
    </w:pPr>
  </w:style>
  <w:style w:type="paragraph" w:styleId="Ttulo">
    <w:name w:val="Title"/>
    <w:basedOn w:val="Normal"/>
    <w:qFormat/>
    <w:rsid w:val="00070590"/>
    <w:pPr>
      <w:jc w:val="center"/>
    </w:pPr>
    <w:rPr>
      <w:b/>
    </w:rPr>
  </w:style>
  <w:style w:type="paragraph" w:styleId="Sangradetextonormal">
    <w:name w:val="Body Text Indent"/>
    <w:basedOn w:val="Normal"/>
    <w:semiHidden/>
    <w:rsid w:val="00070590"/>
    <w:pPr>
      <w:ind w:left="356"/>
      <w:jc w:val="both"/>
    </w:pPr>
    <w:rPr>
      <w:sz w:val="22"/>
      <w:lang w:val="es-ES_tradnl"/>
    </w:rPr>
  </w:style>
  <w:style w:type="paragraph" w:styleId="Mapadeldocumento">
    <w:name w:val="Document Map"/>
    <w:basedOn w:val="Normal"/>
    <w:semiHidden/>
    <w:rsid w:val="00070590"/>
    <w:pPr>
      <w:shd w:val="clear" w:color="auto" w:fill="000080"/>
    </w:pPr>
    <w:rPr>
      <w:rFonts w:ascii="Tahoma" w:hAnsi="Tahoma"/>
    </w:rPr>
  </w:style>
  <w:style w:type="paragraph" w:styleId="Sangra3detindependiente">
    <w:name w:val="Body Text Indent 3"/>
    <w:basedOn w:val="Normal"/>
    <w:semiHidden/>
    <w:rsid w:val="00070590"/>
    <w:pPr>
      <w:tabs>
        <w:tab w:val="left" w:pos="355"/>
      </w:tabs>
      <w:ind w:left="355" w:hanging="355"/>
      <w:jc w:val="both"/>
    </w:pPr>
    <w:rPr>
      <w:rFonts w:ascii="Arial" w:hAnsi="Arial"/>
    </w:rPr>
  </w:style>
  <w:style w:type="paragraph" w:styleId="Descripcin">
    <w:name w:val="caption"/>
    <w:basedOn w:val="Normal"/>
    <w:next w:val="Normal"/>
    <w:qFormat/>
    <w:rsid w:val="00070590"/>
    <w:pPr>
      <w:jc w:val="center"/>
    </w:pPr>
    <w:rPr>
      <w:rFonts w:ascii="Arial" w:hAnsi="Arial"/>
      <w:b/>
      <w:color w:val="000000"/>
    </w:rPr>
  </w:style>
  <w:style w:type="paragraph" w:styleId="Encabezado">
    <w:name w:val="header"/>
    <w:basedOn w:val="Normal"/>
    <w:semiHidden/>
    <w:rsid w:val="0007059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7059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070590"/>
  </w:style>
  <w:style w:type="paragraph" w:styleId="Textodebloque">
    <w:name w:val="Block Text"/>
    <w:basedOn w:val="Normal"/>
    <w:semiHidden/>
    <w:rsid w:val="00070590"/>
    <w:pPr>
      <w:tabs>
        <w:tab w:val="left" w:pos="355"/>
      </w:tabs>
      <w:ind w:left="355" w:right="71" w:hanging="283"/>
      <w:jc w:val="both"/>
    </w:pPr>
    <w:rPr>
      <w:rFonts w:ascii="Arial" w:hAnsi="Arial"/>
      <w:b/>
    </w:rPr>
  </w:style>
  <w:style w:type="paragraph" w:styleId="NormalWeb">
    <w:name w:val="Normal (Web)"/>
    <w:basedOn w:val="Normal"/>
    <w:uiPriority w:val="99"/>
    <w:rsid w:val="00070590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qFormat/>
    <w:rsid w:val="00070590"/>
    <w:rPr>
      <w:b/>
      <w:bCs/>
    </w:rPr>
  </w:style>
  <w:style w:type="paragraph" w:styleId="Textonotapie">
    <w:name w:val="footnote text"/>
    <w:aliases w:val="fn,single space,footnote text,FOOTNOTES,FN,Footnotes,Footnote ak,Footnote Text English,nota,Footnote Text Char Char Char,Footnote Text Char Char,FT"/>
    <w:basedOn w:val="Normal"/>
    <w:link w:val="TextonotapieCar"/>
    <w:rsid w:val="00070590"/>
  </w:style>
  <w:style w:type="character" w:styleId="Refdenotaalpie">
    <w:name w:val="footnote reference"/>
    <w:aliases w:val="sobrescrito,Ref,de nota al pie"/>
    <w:basedOn w:val="Fuentedeprrafopredeter"/>
    <w:rsid w:val="00070590"/>
    <w:rPr>
      <w:vertAlign w:val="superscript"/>
    </w:rPr>
  </w:style>
  <w:style w:type="paragraph" w:styleId="Listaconvietas">
    <w:name w:val="List Bullet"/>
    <w:basedOn w:val="Normal"/>
    <w:autoRedefine/>
    <w:semiHidden/>
    <w:rsid w:val="00070590"/>
    <w:pPr>
      <w:numPr>
        <w:numId w:val="1"/>
      </w:numPr>
    </w:pPr>
  </w:style>
  <w:style w:type="character" w:styleId="Refdecomentario">
    <w:name w:val="annotation reference"/>
    <w:basedOn w:val="Fuentedeprrafopredeter"/>
    <w:semiHidden/>
    <w:rsid w:val="0007059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70590"/>
  </w:style>
  <w:style w:type="character" w:styleId="Hipervnculo">
    <w:name w:val="Hyperlink"/>
    <w:basedOn w:val="Fuentedeprrafopredeter"/>
    <w:semiHidden/>
    <w:rsid w:val="00070590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070590"/>
    <w:rPr>
      <w:color w:val="800080"/>
      <w:u w:val="single"/>
    </w:rPr>
  </w:style>
  <w:style w:type="paragraph" w:customStyle="1" w:styleId="INJ1">
    <w:name w:val="INJ1"/>
    <w:basedOn w:val="Normal"/>
    <w:rsid w:val="00070590"/>
    <w:pPr>
      <w:jc w:val="both"/>
    </w:pPr>
    <w:rPr>
      <w:rFonts w:ascii="Arial" w:hAnsi="Arial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59196B"/>
    <w:pPr>
      <w:ind w:left="708"/>
    </w:pPr>
  </w:style>
  <w:style w:type="table" w:styleId="Tablaconcuadrcula">
    <w:name w:val="Table Grid"/>
    <w:basedOn w:val="Tablanormal"/>
    <w:uiPriority w:val="39"/>
    <w:rsid w:val="007C6B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EA2FDB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2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270"/>
    <w:rPr>
      <w:rFonts w:ascii="Tahoma" w:hAnsi="Tahoma" w:cs="Tahoma"/>
      <w:sz w:val="16"/>
      <w:szCs w:val="16"/>
      <w:lang w:val="es-ES" w:eastAsia="es-ES"/>
    </w:rPr>
  </w:style>
  <w:style w:type="numbering" w:styleId="111111">
    <w:name w:val="Outline List 2"/>
    <w:basedOn w:val="Sinlista"/>
    <w:rsid w:val="000B547E"/>
    <w:pPr>
      <w:numPr>
        <w:numId w:val="2"/>
      </w:numPr>
    </w:pPr>
  </w:style>
  <w:style w:type="paragraph" w:customStyle="1" w:styleId="Default">
    <w:name w:val="Default"/>
    <w:rsid w:val="005755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314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B4314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5B4314"/>
    <w:rPr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2D36"/>
    <w:rPr>
      <w:color w:val="605E5C"/>
      <w:shd w:val="clear" w:color="auto" w:fill="E1DFDD"/>
    </w:rPr>
  </w:style>
  <w:style w:type="character" w:customStyle="1" w:styleId="TextonotapieCar">
    <w:name w:val="Texto nota pie Car"/>
    <w:aliases w:val="fn Car,single space Car,footnote text Car,FOOTNOTES Car,FN Car,Footnotes Car,Footnote ak Car,Footnote Text English Car,nota Car,Footnote Text Char Char Char Car,Footnote Text Char Char Car,FT Car"/>
    <w:basedOn w:val="Fuentedeprrafopredeter"/>
    <w:link w:val="Textonotapie"/>
    <w:rsid w:val="00D21F61"/>
    <w:rPr>
      <w:lang w:val="es-ES" w:eastAsia="es-ES"/>
    </w:rPr>
  </w:style>
  <w:style w:type="paragraph" w:customStyle="1" w:styleId="cuerpo">
    <w:name w:val="cuerpo"/>
    <w:basedOn w:val="Normal"/>
    <w:rsid w:val="00E003C7"/>
    <w:pPr>
      <w:spacing w:before="100" w:beforeAutospacing="1" w:after="100" w:afterAutospacing="1"/>
    </w:pPr>
    <w:rPr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C4EF-EA9E-472E-8734-BC38AED7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cronogramas 2021</vt:lpstr>
    </vt:vector>
  </TitlesOfParts>
  <Company>SUNAT</Company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cronogramas 2021</dc:title>
  <dc:creator>SUNAT</dc:creator>
  <cp:lastModifiedBy>ANGELA ARREDONDO REYES</cp:lastModifiedBy>
  <cp:revision>2</cp:revision>
  <cp:lastPrinted>2019-12-23T17:14:00Z</cp:lastPrinted>
  <dcterms:created xsi:type="dcterms:W3CDTF">2021-06-03T17:13:00Z</dcterms:created>
  <dcterms:modified xsi:type="dcterms:W3CDTF">2021-06-03T17:13:00Z</dcterms:modified>
</cp:coreProperties>
</file>