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06FA08" w14:textId="77777777" w:rsidR="00AC60CD" w:rsidRPr="00FE3B0F" w:rsidRDefault="00AC60CD" w:rsidP="00AC60CD">
      <w:pPr>
        <w:pStyle w:val="Ttulo5"/>
        <w:tabs>
          <w:tab w:val="left" w:pos="5711"/>
        </w:tabs>
        <w:rPr>
          <w:szCs w:val="22"/>
        </w:rPr>
      </w:pPr>
      <w:bookmarkStart w:id="0" w:name="_Hlk95669296"/>
      <w:bookmarkStart w:id="1" w:name="_GoBack"/>
      <w:bookmarkEnd w:id="1"/>
      <w:proofErr w:type="spellStart"/>
      <w:r w:rsidRPr="00FE3B0F">
        <w:rPr>
          <w:szCs w:val="22"/>
        </w:rPr>
        <w:t>N.°</w:t>
      </w:r>
      <w:proofErr w:type="spellEnd"/>
      <w:r w:rsidRPr="00FE3B0F">
        <w:rPr>
          <w:szCs w:val="22"/>
        </w:rPr>
        <w:t xml:space="preserve">             -2022/SUNAT</w:t>
      </w:r>
    </w:p>
    <w:p w14:paraId="7AB2FBD0" w14:textId="77777777" w:rsidR="00AC60CD" w:rsidRPr="00FE3B0F" w:rsidRDefault="00AC60CD" w:rsidP="00AC60CD">
      <w:pPr>
        <w:pStyle w:val="Textoindependiente"/>
        <w:jc w:val="left"/>
        <w:rPr>
          <w:color w:val="auto"/>
          <w:szCs w:val="22"/>
        </w:rPr>
      </w:pPr>
    </w:p>
    <w:p w14:paraId="3F7364E1" w14:textId="77777777" w:rsidR="00AC60CD" w:rsidRPr="00FE3B0F" w:rsidRDefault="00AC60CD" w:rsidP="00AC60CD">
      <w:pPr>
        <w:pStyle w:val="Textoindependiente"/>
        <w:rPr>
          <w:color w:val="auto"/>
          <w:szCs w:val="22"/>
        </w:rPr>
      </w:pPr>
      <w:bookmarkStart w:id="2" w:name="_Hlk51162821"/>
      <w:bookmarkStart w:id="3" w:name="_Hlk51166665"/>
      <w:r w:rsidRPr="00FE3B0F">
        <w:rPr>
          <w:color w:val="auto"/>
          <w:szCs w:val="22"/>
        </w:rPr>
        <w:t xml:space="preserve">PROYECTO DE RESOLUCIÓN DE SUPERINTENDENCIA REFERIDO A LA DECLARACIÓN Y PAGO </w:t>
      </w:r>
      <w:r w:rsidRPr="000B49BB">
        <w:rPr>
          <w:color w:val="auto"/>
          <w:szCs w:val="22"/>
        </w:rPr>
        <w:t>DE APORTES</w:t>
      </w:r>
      <w:r w:rsidRPr="00FE3B0F">
        <w:rPr>
          <w:color w:val="auto"/>
          <w:szCs w:val="22"/>
        </w:rPr>
        <w:t xml:space="preserve"> A LA ONP COMO CONSECUENCIA DE NULIDADES DE AFILIACIÓN AL SISTEMA PRIVADO DE PENSIONES</w:t>
      </w:r>
    </w:p>
    <w:bookmarkEnd w:id="2"/>
    <w:p w14:paraId="48F1F191" w14:textId="77777777" w:rsidR="00AC60CD" w:rsidRPr="00FE3B0F" w:rsidRDefault="00AC60CD" w:rsidP="00AC60CD">
      <w:pPr>
        <w:pStyle w:val="Textoindependiente"/>
        <w:rPr>
          <w:color w:val="auto"/>
          <w:szCs w:val="22"/>
        </w:rPr>
      </w:pPr>
    </w:p>
    <w:bookmarkEnd w:id="3"/>
    <w:p w14:paraId="04CD1BC0" w14:textId="77777777" w:rsidR="00AC60CD" w:rsidRPr="00FE3B0F" w:rsidRDefault="00AC60CD" w:rsidP="00AC60CD">
      <w:pPr>
        <w:jc w:val="both"/>
        <w:rPr>
          <w:rFonts w:ascii="Arial" w:hAnsi="Arial" w:cs="Arial"/>
          <w:sz w:val="22"/>
          <w:szCs w:val="22"/>
        </w:rPr>
      </w:pPr>
      <w:r w:rsidRPr="00FE3B0F">
        <w:rPr>
          <w:rFonts w:ascii="Arial" w:hAnsi="Arial" w:cs="Arial"/>
          <w:sz w:val="22"/>
          <w:szCs w:val="22"/>
        </w:rPr>
        <w:t xml:space="preserve">Lima, </w:t>
      </w:r>
    </w:p>
    <w:p w14:paraId="4BAE4095" w14:textId="77777777" w:rsidR="00AC60CD" w:rsidRPr="00FE3B0F" w:rsidRDefault="00AC60CD" w:rsidP="00AC60CD">
      <w:pPr>
        <w:ind w:left="540"/>
        <w:jc w:val="both"/>
        <w:rPr>
          <w:rFonts w:ascii="Arial" w:hAnsi="Arial" w:cs="Arial"/>
          <w:b/>
          <w:sz w:val="22"/>
          <w:szCs w:val="22"/>
        </w:rPr>
      </w:pPr>
    </w:p>
    <w:p w14:paraId="76F077EE" w14:textId="77777777" w:rsidR="00AC60CD" w:rsidRPr="00FE3B0F" w:rsidRDefault="00AC60CD" w:rsidP="00AC60CD">
      <w:pPr>
        <w:jc w:val="both"/>
        <w:rPr>
          <w:rFonts w:ascii="Arial" w:hAnsi="Arial" w:cs="Arial"/>
          <w:b/>
          <w:sz w:val="22"/>
          <w:szCs w:val="22"/>
        </w:rPr>
      </w:pPr>
      <w:r w:rsidRPr="00FE3B0F">
        <w:rPr>
          <w:rFonts w:ascii="Arial" w:hAnsi="Arial" w:cs="Arial"/>
          <w:b/>
          <w:sz w:val="22"/>
          <w:szCs w:val="22"/>
        </w:rPr>
        <w:t>CONSIDERANDO:</w:t>
      </w:r>
    </w:p>
    <w:p w14:paraId="0235E392" w14:textId="77777777" w:rsidR="00AC60CD" w:rsidRPr="00FE3B0F" w:rsidRDefault="00AC60CD" w:rsidP="00AC60CD">
      <w:pPr>
        <w:pStyle w:val="NormalWeb"/>
        <w:spacing w:before="0" w:beforeAutospacing="0" w:after="0" w:afterAutospacing="0"/>
        <w:jc w:val="both"/>
        <w:rPr>
          <w:rFonts w:ascii="Arial" w:hAnsi="Arial" w:cs="Arial"/>
          <w:sz w:val="22"/>
          <w:szCs w:val="22"/>
        </w:rPr>
      </w:pPr>
    </w:p>
    <w:p w14:paraId="68680020" w14:textId="77777777" w:rsidR="00AC60CD" w:rsidRPr="00FE3B0F" w:rsidRDefault="00AC60CD" w:rsidP="00AC60CD">
      <w:pPr>
        <w:pStyle w:val="NormalWeb"/>
        <w:spacing w:before="0" w:beforeAutospacing="0" w:after="0" w:afterAutospacing="0"/>
        <w:jc w:val="both"/>
        <w:rPr>
          <w:rFonts w:ascii="Arial" w:hAnsi="Arial" w:cs="Arial"/>
          <w:sz w:val="22"/>
          <w:szCs w:val="22"/>
        </w:rPr>
      </w:pPr>
      <w:r w:rsidRPr="00FE3B0F">
        <w:rPr>
          <w:rFonts w:ascii="Arial" w:hAnsi="Arial" w:cs="Arial"/>
          <w:sz w:val="22"/>
          <w:szCs w:val="22"/>
        </w:rPr>
        <w:t xml:space="preserve">Que mediante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105-2001/SUNAT se establece que, en los casos de nulidad de afiliación al Sistema Privado de Administración de Fondos de Pensiones (SPP), la Administradora Privada de Fondos de Pensiones (AFP) debe efectuar la declaración y el pago de la devolución al Sistema Nacional de Pensiones (SNP) de los aportes obligatorios al SPP y de la regularización de aportes a la Oficina de Normalización Previsional (ONP) a través del Formulario Virtual </w:t>
      </w:r>
      <w:proofErr w:type="spellStart"/>
      <w:r w:rsidRPr="00FE3B0F">
        <w:rPr>
          <w:rFonts w:ascii="Arial" w:hAnsi="Arial" w:cs="Arial"/>
          <w:sz w:val="22"/>
          <w:szCs w:val="22"/>
        </w:rPr>
        <w:t>N.°</w:t>
      </w:r>
      <w:proofErr w:type="spellEnd"/>
      <w:r w:rsidRPr="00FE3B0F">
        <w:rPr>
          <w:rFonts w:ascii="Arial" w:hAnsi="Arial" w:cs="Arial"/>
          <w:sz w:val="22"/>
          <w:szCs w:val="22"/>
        </w:rPr>
        <w:t xml:space="preserve"> 0605, el cual debe ser presentado en la oficina de la SUNAT que corresponda al domicilio fiscal de la AFP; </w:t>
      </w:r>
    </w:p>
    <w:p w14:paraId="78D9AC48" w14:textId="77777777" w:rsidR="00AC60CD" w:rsidRPr="00FE3B0F" w:rsidRDefault="00AC60CD" w:rsidP="00AC60CD">
      <w:pPr>
        <w:pStyle w:val="NormalWeb"/>
        <w:spacing w:before="0" w:beforeAutospacing="0" w:after="0" w:afterAutospacing="0"/>
        <w:jc w:val="both"/>
        <w:rPr>
          <w:rFonts w:ascii="Arial" w:hAnsi="Arial" w:cs="Arial"/>
          <w:sz w:val="22"/>
          <w:szCs w:val="22"/>
        </w:rPr>
      </w:pPr>
    </w:p>
    <w:p w14:paraId="51B34323" w14:textId="788A6291" w:rsidR="00AC60CD" w:rsidRPr="00FE3B0F" w:rsidRDefault="00AC60CD" w:rsidP="00AC60CD">
      <w:pPr>
        <w:pStyle w:val="NormalWeb"/>
        <w:spacing w:before="0" w:beforeAutospacing="0" w:after="0" w:afterAutospacing="0"/>
        <w:jc w:val="both"/>
        <w:rPr>
          <w:rFonts w:ascii="Arial" w:hAnsi="Arial" w:cs="Arial"/>
          <w:sz w:val="22"/>
          <w:szCs w:val="22"/>
        </w:rPr>
      </w:pPr>
      <w:r w:rsidRPr="00FE3B0F">
        <w:rPr>
          <w:rFonts w:ascii="Arial" w:hAnsi="Arial" w:cs="Arial"/>
          <w:sz w:val="22"/>
          <w:szCs w:val="22"/>
        </w:rPr>
        <w:t xml:space="preserve">Que con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335-2017/SUNAT se crea el servicio Mis declaraciones y pagos como parte de SUNAT Operaciones en Línea, el cual permite presentar </w:t>
      </w:r>
      <w:r w:rsidR="00256C51" w:rsidRPr="00FE3B0F">
        <w:rPr>
          <w:rFonts w:ascii="Arial" w:hAnsi="Arial" w:cs="Arial"/>
          <w:sz w:val="22"/>
          <w:szCs w:val="22"/>
        </w:rPr>
        <w:t xml:space="preserve">algunas </w:t>
      </w:r>
      <w:r w:rsidRPr="00FE3B0F">
        <w:rPr>
          <w:rFonts w:ascii="Arial" w:hAnsi="Arial" w:cs="Arial"/>
          <w:sz w:val="22"/>
          <w:szCs w:val="22"/>
        </w:rPr>
        <w:t>declaraciones</w:t>
      </w:r>
      <w:r w:rsidR="00256C51" w:rsidRPr="00FE3B0F">
        <w:rPr>
          <w:rFonts w:ascii="Arial" w:hAnsi="Arial" w:cs="Arial"/>
          <w:sz w:val="22"/>
          <w:szCs w:val="22"/>
        </w:rPr>
        <w:t xml:space="preserve"> determinativas</w:t>
      </w:r>
      <w:r w:rsidRPr="00FE3B0F">
        <w:rPr>
          <w:rFonts w:ascii="Arial" w:hAnsi="Arial" w:cs="Arial"/>
          <w:sz w:val="22"/>
          <w:szCs w:val="22"/>
        </w:rPr>
        <w:t>, pagar los tributos respectivos y realizar consultas sobre las declaraciones presentadas y pagos efectuados; por lo que</w:t>
      </w:r>
      <w:r w:rsidR="008E13FF">
        <w:rPr>
          <w:rFonts w:ascii="Arial" w:hAnsi="Arial" w:cs="Arial"/>
          <w:sz w:val="22"/>
          <w:szCs w:val="22"/>
        </w:rPr>
        <w:t>,</w:t>
      </w:r>
      <w:r w:rsidRPr="00FE3B0F">
        <w:rPr>
          <w:rFonts w:ascii="Arial" w:hAnsi="Arial" w:cs="Arial"/>
          <w:sz w:val="22"/>
          <w:szCs w:val="22"/>
        </w:rPr>
        <w:t xml:space="preserve"> a fin de continuar con la política de masificación de servicios no presenciales y dada las facilidades que ofrece el servicio en mención</w:t>
      </w:r>
      <w:r w:rsidR="008E13FF">
        <w:rPr>
          <w:rFonts w:ascii="Arial" w:hAnsi="Arial" w:cs="Arial"/>
          <w:sz w:val="22"/>
          <w:szCs w:val="22"/>
        </w:rPr>
        <w:t>,</w:t>
      </w:r>
      <w:r w:rsidRPr="00FE3B0F">
        <w:rPr>
          <w:rFonts w:ascii="Arial" w:hAnsi="Arial" w:cs="Arial"/>
          <w:sz w:val="22"/>
          <w:szCs w:val="22"/>
        </w:rPr>
        <w:t xml:space="preserve"> se ha considerado conveniente disponer que a través de este se realice la presentación del Formulario Virtual </w:t>
      </w:r>
      <w:proofErr w:type="spellStart"/>
      <w:r w:rsidRPr="00FE3B0F">
        <w:rPr>
          <w:rFonts w:ascii="Arial" w:hAnsi="Arial" w:cs="Arial"/>
          <w:sz w:val="22"/>
          <w:szCs w:val="22"/>
        </w:rPr>
        <w:t>N.°</w:t>
      </w:r>
      <w:proofErr w:type="spellEnd"/>
      <w:r w:rsidRPr="00FE3B0F">
        <w:rPr>
          <w:rFonts w:ascii="Arial" w:hAnsi="Arial" w:cs="Arial"/>
          <w:sz w:val="22"/>
          <w:szCs w:val="22"/>
        </w:rPr>
        <w:t xml:space="preserve"> 0605 y, atendiendo a ello, regular el pago de los conceptos que la AFP declara en este formulario virtual, así como actualizar el anexo de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105-2001/SUNAT</w:t>
      </w:r>
      <w:r w:rsidR="002E67C0" w:rsidRPr="00FE3B0F">
        <w:rPr>
          <w:rFonts w:ascii="Arial" w:hAnsi="Arial" w:cs="Arial"/>
          <w:sz w:val="22"/>
          <w:szCs w:val="22"/>
        </w:rPr>
        <w:t xml:space="preserve"> para, entre otros</w:t>
      </w:r>
      <w:r w:rsidRPr="00FE3B0F">
        <w:rPr>
          <w:rFonts w:ascii="Arial" w:hAnsi="Arial" w:cs="Arial"/>
          <w:sz w:val="22"/>
          <w:szCs w:val="22"/>
        </w:rPr>
        <w:t xml:space="preserve">, </w:t>
      </w:r>
      <w:r w:rsidR="002E67C0" w:rsidRPr="00FE3B0F">
        <w:rPr>
          <w:rFonts w:ascii="Arial" w:hAnsi="Arial" w:cs="Arial"/>
          <w:sz w:val="22"/>
          <w:szCs w:val="22"/>
        </w:rPr>
        <w:t xml:space="preserve">agregar </w:t>
      </w:r>
      <w:r w:rsidRPr="00FE3B0F">
        <w:rPr>
          <w:rFonts w:ascii="Arial" w:hAnsi="Arial" w:cs="Arial"/>
          <w:sz w:val="22"/>
          <w:szCs w:val="22"/>
        </w:rPr>
        <w:t xml:space="preserve">las causales de nulidad de afiliación al SPP incorporadas por la Resolución SBS </w:t>
      </w:r>
      <w:proofErr w:type="spellStart"/>
      <w:r w:rsidRPr="00FE3B0F">
        <w:rPr>
          <w:rFonts w:ascii="Arial" w:hAnsi="Arial" w:cs="Arial"/>
          <w:sz w:val="22"/>
          <w:szCs w:val="22"/>
        </w:rPr>
        <w:t>N.°</w:t>
      </w:r>
      <w:proofErr w:type="spellEnd"/>
      <w:r w:rsidRPr="00FE3B0F">
        <w:rPr>
          <w:rFonts w:ascii="Arial" w:hAnsi="Arial" w:cs="Arial"/>
          <w:sz w:val="22"/>
          <w:szCs w:val="22"/>
        </w:rPr>
        <w:t xml:space="preserve"> 2100-2021;</w:t>
      </w:r>
    </w:p>
    <w:p w14:paraId="65236EA7" w14:textId="77777777" w:rsidR="00AC60CD" w:rsidRPr="00FE3B0F" w:rsidRDefault="00AC60CD" w:rsidP="00AC60CD">
      <w:pPr>
        <w:pStyle w:val="NormalWeb"/>
        <w:spacing w:before="0" w:beforeAutospacing="0" w:after="0" w:afterAutospacing="0"/>
        <w:jc w:val="both"/>
        <w:rPr>
          <w:rFonts w:ascii="Arial" w:hAnsi="Arial" w:cs="Arial"/>
          <w:sz w:val="22"/>
          <w:szCs w:val="22"/>
        </w:rPr>
      </w:pPr>
    </w:p>
    <w:p w14:paraId="1B58EDD0" w14:textId="77777777" w:rsidR="00AC60CD" w:rsidRPr="00FE3B0F" w:rsidRDefault="00AC60CD" w:rsidP="00AC60CD">
      <w:pPr>
        <w:pStyle w:val="Sangra2detindependiente"/>
        <w:ind w:firstLine="0"/>
        <w:rPr>
          <w:szCs w:val="22"/>
        </w:rPr>
      </w:pPr>
      <w:r w:rsidRPr="00FE3B0F">
        <w:rPr>
          <w:szCs w:val="22"/>
        </w:rPr>
        <w:t xml:space="preserve">En uso de las facultades conferidas por los artículos 29 y 88 del Código Tributario, cuyo Texto Único Ordenado ha sido aprobado por el Decreto Supremo </w:t>
      </w:r>
      <w:proofErr w:type="spellStart"/>
      <w:r w:rsidRPr="00FE3B0F">
        <w:rPr>
          <w:szCs w:val="22"/>
        </w:rPr>
        <w:t>N.°</w:t>
      </w:r>
      <w:proofErr w:type="spellEnd"/>
      <w:r w:rsidRPr="00FE3B0F">
        <w:rPr>
          <w:szCs w:val="22"/>
        </w:rPr>
        <w:t xml:space="preserve"> 133-2013-EF; el artículo 12 del Decreto Supremo </w:t>
      </w:r>
      <w:proofErr w:type="spellStart"/>
      <w:r w:rsidRPr="00FE3B0F">
        <w:rPr>
          <w:szCs w:val="22"/>
        </w:rPr>
        <w:t>N.°</w:t>
      </w:r>
      <w:proofErr w:type="spellEnd"/>
      <w:r w:rsidRPr="00FE3B0F">
        <w:rPr>
          <w:szCs w:val="22"/>
        </w:rPr>
        <w:t xml:space="preserve"> 039-2001-EF; el artículo 5 de la Ley </w:t>
      </w:r>
      <w:proofErr w:type="spellStart"/>
      <w:r w:rsidRPr="00FE3B0F">
        <w:rPr>
          <w:szCs w:val="22"/>
        </w:rPr>
        <w:t>N.°</w:t>
      </w:r>
      <w:proofErr w:type="spellEnd"/>
      <w:r w:rsidRPr="00FE3B0F">
        <w:rPr>
          <w:szCs w:val="22"/>
        </w:rPr>
        <w:t xml:space="preserve"> 29816, Ley de Fortalecimiento de la SUNAT; el artículo 11 del Decreto Legislativo </w:t>
      </w:r>
      <w:proofErr w:type="spellStart"/>
      <w:r w:rsidRPr="00FE3B0F">
        <w:rPr>
          <w:szCs w:val="22"/>
        </w:rPr>
        <w:t>N.°</w:t>
      </w:r>
      <w:proofErr w:type="spellEnd"/>
      <w:r w:rsidRPr="00FE3B0F">
        <w:rPr>
          <w:szCs w:val="22"/>
        </w:rPr>
        <w:t xml:space="preserve"> 501, Ley General de la SUNAT y el </w:t>
      </w:r>
      <w:r w:rsidRPr="00FE3B0F">
        <w:rPr>
          <w:szCs w:val="22"/>
          <w:lang w:val="es-PE" w:eastAsia="es-PE"/>
        </w:rPr>
        <w:t xml:space="preserve">inciso k) del artículo 8 del </w:t>
      </w:r>
      <w:r w:rsidRPr="00FE3B0F">
        <w:rPr>
          <w:szCs w:val="22"/>
          <w:lang w:eastAsia="es-PE"/>
        </w:rPr>
        <w:t>Documento de Organización y Funciones Provisional de la SUNAT,</w:t>
      </w:r>
      <w:r w:rsidRPr="00FE3B0F">
        <w:rPr>
          <w:szCs w:val="22"/>
          <w:lang w:val="es-PE" w:eastAsia="es-PE"/>
        </w:rPr>
        <w:t xml:space="preserve"> aprobado por la Resolución de Superintendencia </w:t>
      </w:r>
      <w:proofErr w:type="spellStart"/>
      <w:r w:rsidRPr="00FE3B0F">
        <w:rPr>
          <w:szCs w:val="22"/>
          <w:lang w:val="es-PE" w:eastAsia="es-PE"/>
        </w:rPr>
        <w:t>N.°</w:t>
      </w:r>
      <w:proofErr w:type="spellEnd"/>
      <w:r w:rsidRPr="00FE3B0F">
        <w:rPr>
          <w:szCs w:val="22"/>
          <w:lang w:val="es-PE" w:eastAsia="es-PE"/>
        </w:rPr>
        <w:t xml:space="preserve"> 000065-2021/SUNAT;</w:t>
      </w:r>
      <w:r w:rsidRPr="00FE3B0F">
        <w:rPr>
          <w:szCs w:val="22"/>
        </w:rPr>
        <w:t xml:space="preserve"> </w:t>
      </w:r>
    </w:p>
    <w:p w14:paraId="3DA802AE" w14:textId="77777777" w:rsidR="00AC60CD" w:rsidRPr="00FE3B0F" w:rsidRDefault="00AC60CD" w:rsidP="00AC60CD">
      <w:pPr>
        <w:pStyle w:val="Sangra2detindependiente"/>
        <w:ind w:firstLine="0"/>
        <w:rPr>
          <w:b/>
          <w:bCs/>
          <w:szCs w:val="22"/>
        </w:rPr>
      </w:pPr>
    </w:p>
    <w:p w14:paraId="717B96F0" w14:textId="77777777" w:rsidR="00AC60CD" w:rsidRPr="00FE3B0F" w:rsidRDefault="00AC60CD" w:rsidP="00AC60CD">
      <w:pPr>
        <w:pStyle w:val="Sangra2detindependiente"/>
        <w:ind w:firstLine="0"/>
        <w:rPr>
          <w:b/>
          <w:bCs/>
          <w:szCs w:val="22"/>
        </w:rPr>
      </w:pPr>
      <w:r w:rsidRPr="00FE3B0F">
        <w:rPr>
          <w:b/>
          <w:bCs/>
          <w:szCs w:val="22"/>
        </w:rPr>
        <w:t>SE RESUELVE:</w:t>
      </w:r>
    </w:p>
    <w:p w14:paraId="2D5A6B33" w14:textId="77777777" w:rsidR="00AC60CD" w:rsidRPr="00FE3B0F" w:rsidRDefault="00AC60CD" w:rsidP="00AC60CD">
      <w:pPr>
        <w:pStyle w:val="Sangra2detindependiente"/>
        <w:ind w:firstLine="0"/>
        <w:rPr>
          <w:b/>
          <w:bCs/>
          <w:szCs w:val="22"/>
        </w:rPr>
      </w:pPr>
    </w:p>
    <w:p w14:paraId="00CF60AB" w14:textId="77777777" w:rsidR="00AC60CD" w:rsidRPr="00FE3B0F" w:rsidRDefault="00AC60CD" w:rsidP="00AC60CD">
      <w:pPr>
        <w:pStyle w:val="Sangra2detindependiente"/>
        <w:ind w:firstLine="0"/>
        <w:rPr>
          <w:b/>
          <w:bCs/>
          <w:szCs w:val="22"/>
        </w:rPr>
      </w:pPr>
      <w:r w:rsidRPr="00FE3B0F">
        <w:rPr>
          <w:b/>
          <w:bCs/>
          <w:szCs w:val="22"/>
        </w:rPr>
        <w:t>Artículo 1. Referencia</w:t>
      </w:r>
    </w:p>
    <w:p w14:paraId="2EBC2B22" w14:textId="77777777" w:rsidR="00AC60CD" w:rsidRPr="00FE3B0F" w:rsidRDefault="00AC60CD" w:rsidP="00AC60CD">
      <w:pPr>
        <w:pStyle w:val="Sangra2detindependiente"/>
        <w:ind w:firstLine="0"/>
        <w:rPr>
          <w:b/>
          <w:bCs/>
          <w:szCs w:val="22"/>
        </w:rPr>
      </w:pPr>
    </w:p>
    <w:p w14:paraId="03CF74DF" w14:textId="77777777" w:rsidR="00AC60CD" w:rsidRPr="00FE3B0F" w:rsidRDefault="00AC60CD" w:rsidP="00AC60CD">
      <w:pPr>
        <w:pStyle w:val="Sangra2detindependiente"/>
        <w:ind w:firstLine="0"/>
        <w:rPr>
          <w:bCs/>
          <w:szCs w:val="22"/>
        </w:rPr>
      </w:pPr>
      <w:r w:rsidRPr="00FE3B0F">
        <w:rPr>
          <w:bCs/>
          <w:szCs w:val="22"/>
        </w:rPr>
        <w:lastRenderedPageBreak/>
        <w:t xml:space="preserve">Para efecto del presente dispositivo se entiende por resolución a la Resolución de Superintendencia </w:t>
      </w:r>
      <w:proofErr w:type="spellStart"/>
      <w:r w:rsidRPr="00FE3B0F">
        <w:rPr>
          <w:bCs/>
          <w:szCs w:val="22"/>
        </w:rPr>
        <w:t>N.°</w:t>
      </w:r>
      <w:proofErr w:type="spellEnd"/>
      <w:r w:rsidRPr="00FE3B0F">
        <w:rPr>
          <w:bCs/>
          <w:szCs w:val="22"/>
        </w:rPr>
        <w:t xml:space="preserve"> 105-2001/SUNAT, que regula la declaración y pago de aportes a la ONP como consecuencia de nulidades de afiliación al Sistema Privado de Pensiones.</w:t>
      </w:r>
    </w:p>
    <w:p w14:paraId="48C352DC" w14:textId="77777777" w:rsidR="00AC60CD" w:rsidRPr="00FE3B0F" w:rsidRDefault="00AC60CD" w:rsidP="00AC60CD">
      <w:pPr>
        <w:pStyle w:val="Sangra2detindependiente"/>
        <w:ind w:firstLine="0"/>
        <w:rPr>
          <w:bCs/>
          <w:szCs w:val="22"/>
        </w:rPr>
      </w:pPr>
    </w:p>
    <w:p w14:paraId="084E9AD4" w14:textId="77777777" w:rsidR="00AC60CD" w:rsidRPr="00FE3B0F" w:rsidRDefault="00AC60CD" w:rsidP="00AC60CD">
      <w:pPr>
        <w:jc w:val="both"/>
        <w:rPr>
          <w:rFonts w:ascii="Arial" w:hAnsi="Arial" w:cs="Arial"/>
          <w:b/>
          <w:sz w:val="22"/>
          <w:szCs w:val="22"/>
          <w:lang w:eastAsia="es-PE"/>
        </w:rPr>
      </w:pPr>
      <w:r w:rsidRPr="00FE3B0F">
        <w:rPr>
          <w:rFonts w:ascii="Arial" w:hAnsi="Arial" w:cs="Arial"/>
          <w:b/>
          <w:sz w:val="22"/>
          <w:szCs w:val="22"/>
          <w:lang w:eastAsia="es-PE"/>
        </w:rPr>
        <w:t xml:space="preserve">Artículo 2. Modificaciones de la resolución </w:t>
      </w:r>
    </w:p>
    <w:p w14:paraId="4A966B2A" w14:textId="77777777" w:rsidR="00AC60CD" w:rsidRPr="00FE3B0F" w:rsidRDefault="00AC60CD" w:rsidP="00AC60CD">
      <w:pPr>
        <w:jc w:val="both"/>
        <w:rPr>
          <w:rFonts w:ascii="Arial" w:hAnsi="Arial" w:cs="Arial"/>
          <w:b/>
          <w:sz w:val="22"/>
          <w:szCs w:val="22"/>
          <w:lang w:eastAsia="es-PE"/>
        </w:rPr>
      </w:pPr>
    </w:p>
    <w:p w14:paraId="079A1449" w14:textId="77777777" w:rsidR="00AC60CD" w:rsidRPr="00FE3B0F" w:rsidRDefault="00AC60CD" w:rsidP="00AC60CD">
      <w:pPr>
        <w:jc w:val="both"/>
        <w:rPr>
          <w:rFonts w:ascii="Arial" w:hAnsi="Arial" w:cs="Arial"/>
          <w:sz w:val="22"/>
          <w:szCs w:val="22"/>
          <w:lang w:eastAsia="es-PE"/>
        </w:rPr>
      </w:pPr>
      <w:r w:rsidRPr="00FE3B0F">
        <w:rPr>
          <w:rFonts w:ascii="Arial" w:hAnsi="Arial" w:cs="Arial"/>
          <w:sz w:val="22"/>
          <w:szCs w:val="22"/>
          <w:lang w:eastAsia="es-PE"/>
        </w:rPr>
        <w:t>Modifíquese los artículos 3, 4 y 5 de la resolución, en los términos siguientes:</w:t>
      </w:r>
    </w:p>
    <w:p w14:paraId="3D08E8D2" w14:textId="77777777" w:rsidR="00AC60CD" w:rsidRPr="00FE3B0F" w:rsidRDefault="00AC60CD" w:rsidP="00AC60CD">
      <w:pPr>
        <w:jc w:val="both"/>
        <w:rPr>
          <w:rFonts w:ascii="Arial" w:hAnsi="Arial" w:cs="Arial"/>
          <w:bCs/>
          <w:sz w:val="22"/>
          <w:szCs w:val="22"/>
          <w:lang w:eastAsia="es-PE"/>
        </w:rPr>
      </w:pPr>
    </w:p>
    <w:p w14:paraId="19D891E3" w14:textId="77777777" w:rsidR="00AC60CD" w:rsidRPr="00FE3B0F" w:rsidRDefault="00AC60CD" w:rsidP="00AC60CD">
      <w:pPr>
        <w:tabs>
          <w:tab w:val="left" w:pos="-851"/>
        </w:tabs>
        <w:ind w:right="49"/>
        <w:jc w:val="both"/>
        <w:rPr>
          <w:rFonts w:ascii="Arial" w:hAnsi="Arial" w:cs="Arial"/>
          <w:strike/>
          <w:sz w:val="22"/>
          <w:szCs w:val="22"/>
          <w:lang w:val="es-PE"/>
        </w:rPr>
      </w:pPr>
      <w:r w:rsidRPr="00FE3B0F">
        <w:rPr>
          <w:rFonts w:ascii="Arial" w:hAnsi="Arial" w:cs="Arial"/>
          <w:b/>
          <w:sz w:val="22"/>
          <w:szCs w:val="22"/>
          <w:lang w:eastAsia="es-PE"/>
        </w:rPr>
        <w:t>“</w:t>
      </w:r>
      <w:r w:rsidRPr="00FE3B0F">
        <w:rPr>
          <w:rFonts w:ascii="Arial" w:hAnsi="Arial" w:cs="Arial"/>
          <w:sz w:val="22"/>
          <w:szCs w:val="22"/>
          <w:lang w:eastAsia="es-PE"/>
        </w:rPr>
        <w:t>Artículo 3.-</w:t>
      </w:r>
      <w:r w:rsidRPr="00FE3B0F">
        <w:rPr>
          <w:rFonts w:ascii="Arial" w:hAnsi="Arial" w:cs="Arial"/>
          <w:bCs/>
          <w:sz w:val="22"/>
          <w:szCs w:val="22"/>
          <w:lang w:eastAsia="es-PE"/>
        </w:rPr>
        <w:t xml:space="preserve"> </w:t>
      </w:r>
      <w:r w:rsidRPr="00FE3B0F">
        <w:rPr>
          <w:rFonts w:ascii="Arial" w:hAnsi="Arial" w:cs="Arial"/>
          <w:sz w:val="22"/>
          <w:szCs w:val="22"/>
          <w:shd w:val="clear" w:color="auto" w:fill="FFFFFF"/>
          <w:lang w:val="es-PE" w:eastAsia="es-PE"/>
        </w:rPr>
        <w:t xml:space="preserve">FORMA Y CONDICIONES PARA LA PRESENTACIÓN DEL FORMULARIO VIRTUAL </w:t>
      </w:r>
      <w:proofErr w:type="spellStart"/>
      <w:r w:rsidRPr="00FE3B0F">
        <w:rPr>
          <w:rFonts w:ascii="Arial" w:hAnsi="Arial" w:cs="Arial"/>
          <w:sz w:val="22"/>
          <w:szCs w:val="22"/>
          <w:shd w:val="clear" w:color="auto" w:fill="FFFFFF"/>
          <w:lang w:val="es-PE" w:eastAsia="es-PE"/>
        </w:rPr>
        <w:t>N.°</w:t>
      </w:r>
      <w:proofErr w:type="spellEnd"/>
      <w:r w:rsidRPr="00FE3B0F">
        <w:rPr>
          <w:rFonts w:ascii="Arial" w:hAnsi="Arial" w:cs="Arial"/>
          <w:sz w:val="22"/>
          <w:szCs w:val="22"/>
          <w:shd w:val="clear" w:color="auto" w:fill="FFFFFF"/>
          <w:lang w:val="es-PE" w:eastAsia="es-PE"/>
        </w:rPr>
        <w:t xml:space="preserve"> 0605 </w:t>
      </w:r>
    </w:p>
    <w:p w14:paraId="246183E3" w14:textId="77777777" w:rsidR="00AC60CD" w:rsidRPr="00FE3B0F" w:rsidRDefault="00AC60CD" w:rsidP="00AC60CD">
      <w:pPr>
        <w:tabs>
          <w:tab w:val="left" w:pos="-851"/>
        </w:tabs>
        <w:ind w:left="426" w:right="49" w:hanging="426"/>
        <w:jc w:val="both"/>
        <w:rPr>
          <w:rFonts w:ascii="Arial" w:hAnsi="Arial" w:cs="Arial"/>
          <w:sz w:val="22"/>
          <w:szCs w:val="22"/>
          <w:lang w:val="es-PE" w:eastAsia="es-PE"/>
        </w:rPr>
      </w:pPr>
    </w:p>
    <w:p w14:paraId="4C0D6DD0" w14:textId="77777777" w:rsidR="00AC60CD" w:rsidRPr="00FE3B0F" w:rsidRDefault="00AC60CD" w:rsidP="00AC60CD">
      <w:pPr>
        <w:tabs>
          <w:tab w:val="left" w:pos="-851"/>
        </w:tabs>
        <w:ind w:right="49"/>
        <w:jc w:val="both"/>
        <w:rPr>
          <w:rFonts w:ascii="Arial" w:hAnsi="Arial" w:cs="Arial"/>
          <w:sz w:val="22"/>
          <w:szCs w:val="22"/>
          <w:lang w:val="es-PE" w:eastAsia="es-PE"/>
        </w:rPr>
      </w:pPr>
      <w:r w:rsidRPr="00FE3B0F">
        <w:rPr>
          <w:rFonts w:ascii="Arial" w:hAnsi="Arial" w:cs="Arial"/>
          <w:sz w:val="22"/>
          <w:szCs w:val="22"/>
          <w:lang w:val="es-PE" w:eastAsia="es-PE"/>
        </w:rPr>
        <w:t xml:space="preserve">3.1. El Formulario Virtual </w:t>
      </w:r>
      <w:proofErr w:type="spellStart"/>
      <w:r w:rsidRPr="00FE3B0F">
        <w:rPr>
          <w:rFonts w:ascii="Arial" w:hAnsi="Arial" w:cs="Arial"/>
          <w:sz w:val="22"/>
          <w:szCs w:val="22"/>
          <w:lang w:val="es-PE" w:eastAsia="es-PE"/>
        </w:rPr>
        <w:t>N.°</w:t>
      </w:r>
      <w:proofErr w:type="spellEnd"/>
      <w:r w:rsidRPr="00FE3B0F">
        <w:rPr>
          <w:rFonts w:ascii="Arial" w:hAnsi="Arial" w:cs="Arial"/>
          <w:sz w:val="22"/>
          <w:szCs w:val="22"/>
          <w:lang w:val="es-PE" w:eastAsia="es-PE"/>
        </w:rPr>
        <w:t xml:space="preserve"> 0605 se presenta a través de SUNAT Virtual, para lo cual la AFP debe:</w:t>
      </w:r>
    </w:p>
    <w:p w14:paraId="3A3A8FF1" w14:textId="77777777" w:rsidR="00AC60CD" w:rsidRPr="00FE3B0F" w:rsidRDefault="00AC60CD" w:rsidP="00AC60CD">
      <w:pPr>
        <w:tabs>
          <w:tab w:val="left" w:pos="-851"/>
        </w:tabs>
        <w:ind w:right="49"/>
        <w:jc w:val="both"/>
        <w:rPr>
          <w:rFonts w:ascii="Arial" w:hAnsi="Arial" w:cs="Arial"/>
          <w:sz w:val="22"/>
          <w:szCs w:val="22"/>
          <w:lang w:val="es-PE" w:eastAsia="es-PE"/>
        </w:rPr>
      </w:pPr>
    </w:p>
    <w:p w14:paraId="73B0E00C" w14:textId="77777777" w:rsidR="00AC60CD" w:rsidRPr="00FE3B0F" w:rsidRDefault="00AC60CD" w:rsidP="00AC60CD">
      <w:pPr>
        <w:pStyle w:val="Prrafodelista"/>
        <w:numPr>
          <w:ilvl w:val="0"/>
          <w:numId w:val="7"/>
        </w:numPr>
        <w:tabs>
          <w:tab w:val="left" w:pos="-851"/>
        </w:tabs>
        <w:ind w:right="51"/>
        <w:contextualSpacing/>
        <w:jc w:val="both"/>
        <w:rPr>
          <w:rFonts w:ascii="Arial" w:hAnsi="Arial" w:cs="Arial"/>
          <w:bCs/>
          <w:sz w:val="22"/>
          <w:szCs w:val="22"/>
        </w:rPr>
      </w:pPr>
      <w:r w:rsidRPr="00FE3B0F">
        <w:rPr>
          <w:rFonts w:ascii="Arial" w:hAnsi="Arial" w:cs="Arial"/>
          <w:sz w:val="22"/>
          <w:szCs w:val="22"/>
        </w:rPr>
        <w:t xml:space="preserve">Ingresar al servicio Mis declaraciones y pagos, habilitado en SUNAT Operaciones en Línea, utilizando el número de RUC, el código de usuario y la clave SOL </w:t>
      </w:r>
      <w:r w:rsidRPr="00FE3B0F">
        <w:rPr>
          <w:rFonts w:ascii="Arial" w:hAnsi="Arial" w:cs="Arial"/>
          <w:bCs/>
          <w:sz w:val="22"/>
          <w:szCs w:val="22"/>
        </w:rPr>
        <w:t xml:space="preserve">definidos en los incisos d) y e) del artículo 1 de la Resolución de Superintendencia </w:t>
      </w:r>
      <w:proofErr w:type="spellStart"/>
      <w:r w:rsidRPr="00FE3B0F">
        <w:rPr>
          <w:rFonts w:ascii="Arial" w:hAnsi="Arial" w:cs="Arial"/>
          <w:bCs/>
          <w:sz w:val="22"/>
          <w:szCs w:val="22"/>
        </w:rPr>
        <w:t>N.°</w:t>
      </w:r>
      <w:proofErr w:type="spellEnd"/>
      <w:r w:rsidRPr="00FE3B0F">
        <w:rPr>
          <w:rFonts w:ascii="Arial" w:hAnsi="Arial" w:cs="Arial"/>
          <w:bCs/>
          <w:sz w:val="22"/>
          <w:szCs w:val="22"/>
        </w:rPr>
        <w:t xml:space="preserve"> 109-2000/SUNAT.</w:t>
      </w:r>
    </w:p>
    <w:p w14:paraId="639021D8" w14:textId="77777777" w:rsidR="00AC60CD" w:rsidRPr="00FE3B0F" w:rsidRDefault="00AC60CD" w:rsidP="00AC60CD">
      <w:pPr>
        <w:ind w:left="392"/>
        <w:jc w:val="both"/>
        <w:rPr>
          <w:rFonts w:ascii="Arial" w:hAnsi="Arial" w:cs="Arial"/>
          <w:sz w:val="22"/>
          <w:szCs w:val="22"/>
        </w:rPr>
      </w:pPr>
    </w:p>
    <w:p w14:paraId="2B6F547B" w14:textId="77777777" w:rsidR="00AC60CD" w:rsidRPr="00FE3B0F" w:rsidRDefault="00AC60CD" w:rsidP="00AC60CD">
      <w:pPr>
        <w:ind w:left="426" w:hanging="426"/>
        <w:jc w:val="both"/>
        <w:rPr>
          <w:rFonts w:ascii="Arial" w:hAnsi="Arial" w:cs="Arial"/>
          <w:strike/>
          <w:sz w:val="22"/>
          <w:szCs w:val="22"/>
          <w:lang w:val="es-PE" w:eastAsia="es-PE"/>
        </w:rPr>
      </w:pPr>
      <w:r w:rsidRPr="00FE3B0F">
        <w:rPr>
          <w:rFonts w:ascii="Arial" w:hAnsi="Arial" w:cs="Arial"/>
          <w:sz w:val="22"/>
          <w:szCs w:val="22"/>
        </w:rPr>
        <w:t xml:space="preserve">b) </w:t>
      </w:r>
      <w:r w:rsidRPr="00FE3B0F">
        <w:rPr>
          <w:rFonts w:ascii="Arial" w:hAnsi="Arial" w:cs="Arial"/>
          <w:sz w:val="22"/>
          <w:szCs w:val="22"/>
        </w:rPr>
        <w:tab/>
        <w:t xml:space="preserve">Ubicar el Formulario Virtual </w:t>
      </w:r>
      <w:proofErr w:type="spellStart"/>
      <w:r w:rsidRPr="00FE3B0F">
        <w:rPr>
          <w:rFonts w:ascii="Arial" w:hAnsi="Arial" w:cs="Arial"/>
          <w:sz w:val="22"/>
          <w:szCs w:val="22"/>
        </w:rPr>
        <w:t>N.°</w:t>
      </w:r>
      <w:proofErr w:type="spellEnd"/>
      <w:r w:rsidRPr="00FE3B0F">
        <w:rPr>
          <w:rFonts w:ascii="Arial" w:hAnsi="Arial" w:cs="Arial"/>
          <w:sz w:val="22"/>
          <w:szCs w:val="22"/>
        </w:rPr>
        <w:t xml:space="preserve"> 0605, indicar el período tributario correspondiente e importar el archivo plano elaborado teniendo en cuenta las siguientes consideraciones técnicas:</w:t>
      </w:r>
    </w:p>
    <w:p w14:paraId="6908B392" w14:textId="77777777" w:rsidR="00AC60CD" w:rsidRPr="00FE3B0F" w:rsidRDefault="00AC60CD" w:rsidP="00AC60CD">
      <w:pPr>
        <w:pStyle w:val="Prrafodelista"/>
        <w:rPr>
          <w:rFonts w:ascii="Arial" w:hAnsi="Arial" w:cs="Arial"/>
          <w:sz w:val="22"/>
          <w:szCs w:val="22"/>
        </w:rPr>
      </w:pPr>
    </w:p>
    <w:p w14:paraId="0DDDCD6C" w14:textId="77777777" w:rsidR="00AC60CD" w:rsidRPr="00FE3B0F" w:rsidRDefault="00AC60CD" w:rsidP="00AC60CD">
      <w:pPr>
        <w:ind w:left="851" w:hanging="425"/>
        <w:jc w:val="both"/>
        <w:rPr>
          <w:rFonts w:ascii="Arial" w:hAnsi="Arial" w:cs="Arial"/>
          <w:sz w:val="22"/>
          <w:szCs w:val="22"/>
        </w:rPr>
      </w:pPr>
      <w:r w:rsidRPr="00FE3B0F">
        <w:rPr>
          <w:rFonts w:ascii="Arial" w:hAnsi="Arial" w:cs="Arial"/>
          <w:sz w:val="22"/>
          <w:szCs w:val="22"/>
        </w:rPr>
        <w:t xml:space="preserve">i) </w:t>
      </w:r>
      <w:r w:rsidRPr="00FE3B0F">
        <w:rPr>
          <w:rFonts w:ascii="Arial" w:hAnsi="Arial" w:cs="Arial"/>
          <w:sz w:val="22"/>
          <w:szCs w:val="22"/>
        </w:rPr>
        <w:tab/>
        <w:t>El archivo plano se genera de acuerdo con la estructura e instrucciones señaladas en el anexo de la presente resolución de superintendencia.</w:t>
      </w:r>
    </w:p>
    <w:p w14:paraId="111E527F" w14:textId="77777777" w:rsidR="00AC60CD" w:rsidRPr="00FE3B0F" w:rsidRDefault="00AC60CD" w:rsidP="00AC60CD">
      <w:pPr>
        <w:ind w:left="434" w:hanging="420"/>
        <w:jc w:val="both"/>
        <w:rPr>
          <w:rFonts w:ascii="Arial" w:hAnsi="Arial" w:cs="Arial"/>
          <w:sz w:val="22"/>
          <w:szCs w:val="22"/>
          <w:lang w:val="es-PE" w:eastAsia="es-PE"/>
        </w:rPr>
      </w:pPr>
    </w:p>
    <w:p w14:paraId="534F96B2" w14:textId="77777777" w:rsidR="00AC60CD" w:rsidRPr="00FE3B0F" w:rsidRDefault="00AC60CD" w:rsidP="00AC60CD">
      <w:pPr>
        <w:ind w:left="851" w:hanging="425"/>
        <w:jc w:val="both"/>
        <w:rPr>
          <w:rFonts w:ascii="Arial" w:hAnsi="Arial" w:cs="Arial"/>
          <w:sz w:val="22"/>
          <w:szCs w:val="22"/>
          <w:lang w:val="es-PE" w:eastAsia="es-PE"/>
        </w:rPr>
      </w:pPr>
      <w:proofErr w:type="spellStart"/>
      <w:r w:rsidRPr="00FE3B0F">
        <w:rPr>
          <w:rFonts w:ascii="Arial" w:hAnsi="Arial" w:cs="Arial"/>
          <w:sz w:val="22"/>
          <w:szCs w:val="22"/>
          <w:lang w:val="es-PE" w:eastAsia="es-PE"/>
        </w:rPr>
        <w:t>ii</w:t>
      </w:r>
      <w:proofErr w:type="spellEnd"/>
      <w:r w:rsidRPr="00FE3B0F">
        <w:rPr>
          <w:rFonts w:ascii="Arial" w:hAnsi="Arial" w:cs="Arial"/>
          <w:sz w:val="22"/>
          <w:szCs w:val="22"/>
          <w:lang w:val="es-PE" w:eastAsia="es-PE"/>
        </w:rPr>
        <w:t xml:space="preserve">) </w:t>
      </w:r>
      <w:r w:rsidRPr="00FE3B0F">
        <w:rPr>
          <w:rFonts w:ascii="Arial" w:hAnsi="Arial" w:cs="Arial"/>
          <w:sz w:val="22"/>
          <w:szCs w:val="22"/>
          <w:lang w:val="es-PE" w:eastAsia="es-PE"/>
        </w:rPr>
        <w:tab/>
        <w:t xml:space="preserve">Los datos en el archivo plano deben estar delimitados por el carácter de separación (pipe) </w:t>
      </w:r>
      <w:proofErr w:type="gramStart"/>
      <w:r w:rsidRPr="00FE3B0F">
        <w:rPr>
          <w:rFonts w:ascii="Arial" w:hAnsi="Arial" w:cs="Arial"/>
          <w:sz w:val="22"/>
          <w:szCs w:val="22"/>
          <w:lang w:val="es-PE" w:eastAsia="es-PE"/>
        </w:rPr>
        <w:t>“ |</w:t>
      </w:r>
      <w:proofErr w:type="gramEnd"/>
      <w:r w:rsidRPr="00FE3B0F">
        <w:rPr>
          <w:rFonts w:ascii="Arial" w:hAnsi="Arial" w:cs="Arial"/>
          <w:sz w:val="22"/>
          <w:szCs w:val="22"/>
          <w:lang w:val="es-PE" w:eastAsia="es-PE"/>
        </w:rPr>
        <w:t xml:space="preserve"> ".</w:t>
      </w:r>
    </w:p>
    <w:p w14:paraId="2F550C39" w14:textId="77777777" w:rsidR="00AC60CD" w:rsidRPr="00FE3B0F" w:rsidRDefault="00AC60CD" w:rsidP="00AC60CD">
      <w:pPr>
        <w:tabs>
          <w:tab w:val="left" w:pos="-851"/>
        </w:tabs>
        <w:ind w:left="851" w:right="49" w:hanging="425"/>
        <w:jc w:val="both"/>
        <w:rPr>
          <w:rFonts w:ascii="Arial" w:hAnsi="Arial" w:cs="Arial"/>
          <w:sz w:val="22"/>
          <w:szCs w:val="22"/>
          <w:lang w:val="es-PE" w:eastAsia="es-PE"/>
        </w:rPr>
      </w:pPr>
    </w:p>
    <w:p w14:paraId="6CC2AD36" w14:textId="77777777" w:rsidR="00AC60CD" w:rsidRPr="00FE3B0F" w:rsidRDefault="00AC60CD" w:rsidP="00AC60CD">
      <w:pPr>
        <w:tabs>
          <w:tab w:val="left" w:pos="-851"/>
        </w:tabs>
        <w:ind w:left="851" w:right="49" w:hanging="425"/>
        <w:jc w:val="both"/>
        <w:rPr>
          <w:rFonts w:ascii="Arial" w:hAnsi="Arial" w:cs="Arial"/>
          <w:sz w:val="22"/>
          <w:szCs w:val="22"/>
          <w:lang w:val="es-PE" w:eastAsia="es-PE"/>
        </w:rPr>
      </w:pPr>
      <w:proofErr w:type="spellStart"/>
      <w:r w:rsidRPr="00FE3B0F">
        <w:rPr>
          <w:rFonts w:ascii="Arial" w:hAnsi="Arial" w:cs="Arial"/>
          <w:sz w:val="22"/>
          <w:szCs w:val="22"/>
          <w:lang w:val="es-PE" w:eastAsia="es-PE"/>
        </w:rPr>
        <w:t>iii</w:t>
      </w:r>
      <w:proofErr w:type="spellEnd"/>
      <w:r w:rsidRPr="00FE3B0F">
        <w:rPr>
          <w:rFonts w:ascii="Arial" w:hAnsi="Arial" w:cs="Arial"/>
          <w:sz w:val="22"/>
          <w:szCs w:val="22"/>
          <w:lang w:val="es-PE" w:eastAsia="es-PE"/>
        </w:rPr>
        <w:t xml:space="preserve">) </w:t>
      </w:r>
      <w:r w:rsidRPr="00FE3B0F">
        <w:rPr>
          <w:rFonts w:ascii="Arial" w:hAnsi="Arial" w:cs="Arial"/>
          <w:sz w:val="22"/>
          <w:szCs w:val="22"/>
          <w:lang w:val="es-PE" w:eastAsia="es-PE"/>
        </w:rPr>
        <w:tab/>
        <w:t>El archivo plano debe tener el nombre “0605NULSSP.TXT” y, para su importación, debe estar comprimido en formato ZIP y tener el nombre “0605RRRRRRRRRRRAAAAMM.ZIP”, en donde RRRRRRRRRRR es el RUC de la AFP, AAAA es el año a cuatro dígitos correspondiente al período de la declaración y MM, es el mes a dos dígitos correspondiente al período de la declaración.</w:t>
      </w:r>
    </w:p>
    <w:p w14:paraId="037BEDE7" w14:textId="77777777" w:rsidR="00AC60CD" w:rsidRPr="00FE3B0F" w:rsidRDefault="00AC60CD" w:rsidP="00AC60CD">
      <w:pPr>
        <w:ind w:left="434" w:hanging="420"/>
        <w:jc w:val="both"/>
        <w:rPr>
          <w:rFonts w:ascii="Arial" w:hAnsi="Arial" w:cs="Arial"/>
          <w:sz w:val="22"/>
          <w:szCs w:val="22"/>
          <w:lang w:eastAsia="es-PE"/>
        </w:rPr>
      </w:pPr>
    </w:p>
    <w:p w14:paraId="44625F01" w14:textId="6FF45061" w:rsidR="00AC60CD" w:rsidRPr="00FE3B0F" w:rsidRDefault="00AC60CD" w:rsidP="00AC60CD">
      <w:pPr>
        <w:ind w:firstLine="14"/>
        <w:jc w:val="both"/>
        <w:rPr>
          <w:rFonts w:ascii="Arial" w:hAnsi="Arial" w:cs="Arial"/>
          <w:sz w:val="22"/>
          <w:szCs w:val="22"/>
          <w:lang w:val="es-PE" w:eastAsia="es-PE"/>
        </w:rPr>
      </w:pPr>
      <w:r w:rsidRPr="00FE3B0F">
        <w:rPr>
          <w:rFonts w:ascii="Arial" w:hAnsi="Arial" w:cs="Arial"/>
          <w:sz w:val="22"/>
          <w:szCs w:val="22"/>
          <w:lang w:val="es-PE" w:eastAsia="es-PE"/>
        </w:rPr>
        <w:t xml:space="preserve">3.2. Para cancelar el importe a pagar determinado en el Formulario Virtual </w:t>
      </w:r>
      <w:proofErr w:type="spellStart"/>
      <w:r w:rsidRPr="00FE3B0F">
        <w:rPr>
          <w:rFonts w:ascii="Arial" w:hAnsi="Arial" w:cs="Arial"/>
          <w:sz w:val="22"/>
          <w:szCs w:val="22"/>
          <w:lang w:val="es-PE" w:eastAsia="es-PE"/>
        </w:rPr>
        <w:t>N.°</w:t>
      </w:r>
      <w:proofErr w:type="spellEnd"/>
      <w:r w:rsidRPr="00FE3B0F">
        <w:rPr>
          <w:rFonts w:ascii="Arial" w:hAnsi="Arial" w:cs="Arial"/>
          <w:sz w:val="22"/>
          <w:szCs w:val="22"/>
          <w:lang w:val="es-PE" w:eastAsia="es-PE"/>
        </w:rPr>
        <w:t xml:space="preserve"> 0605 a través del servicio Mis declaraciones y pagos, se puede optar por alguna de las siguientes modalidades:</w:t>
      </w:r>
    </w:p>
    <w:p w14:paraId="0CE38A06" w14:textId="77777777" w:rsidR="00AC60CD" w:rsidRPr="00FE3B0F" w:rsidRDefault="00AC60CD" w:rsidP="00AC60CD">
      <w:pPr>
        <w:ind w:left="434" w:hanging="420"/>
        <w:jc w:val="both"/>
        <w:rPr>
          <w:rFonts w:ascii="Arial" w:hAnsi="Arial" w:cs="Arial"/>
          <w:sz w:val="22"/>
          <w:szCs w:val="22"/>
        </w:rPr>
      </w:pPr>
    </w:p>
    <w:p w14:paraId="1032C7CC" w14:textId="325B7055" w:rsidR="00AC60CD" w:rsidRPr="00FE3B0F" w:rsidRDefault="00AC60CD" w:rsidP="00AC60CD">
      <w:pPr>
        <w:numPr>
          <w:ilvl w:val="0"/>
          <w:numId w:val="1"/>
        </w:numPr>
        <w:contextualSpacing/>
        <w:jc w:val="both"/>
        <w:rPr>
          <w:rFonts w:ascii="Arial" w:hAnsi="Arial" w:cs="Arial"/>
          <w:sz w:val="22"/>
          <w:szCs w:val="22"/>
        </w:rPr>
      </w:pPr>
      <w:r w:rsidRPr="00FE3B0F">
        <w:rPr>
          <w:rFonts w:ascii="Arial" w:hAnsi="Arial" w:cs="Arial"/>
          <w:sz w:val="22"/>
          <w:szCs w:val="22"/>
        </w:rPr>
        <w:t xml:space="preserve">Pago mediante débito en cuenta: En esta modalidad, la AFP ordena el débito en cuenta del importe a pagar al banco que seleccione de la relación de bancos que figuren en SUNAT Virtual como habilitados para dicha modalidad y con el cual ha </w:t>
      </w:r>
      <w:r w:rsidRPr="00FE3B0F">
        <w:rPr>
          <w:rFonts w:ascii="Arial" w:hAnsi="Arial" w:cs="Arial"/>
          <w:sz w:val="22"/>
          <w:szCs w:val="22"/>
        </w:rPr>
        <w:lastRenderedPageBreak/>
        <w:t>celebrado previamente un convenio de afiliación al servicio de pago con cargo en cuenta</w:t>
      </w:r>
      <w:r w:rsidR="00E95C3B" w:rsidRPr="00FE3B0F">
        <w:rPr>
          <w:rFonts w:ascii="Arial" w:hAnsi="Arial" w:cs="Arial"/>
          <w:sz w:val="22"/>
          <w:szCs w:val="22"/>
        </w:rPr>
        <w:t>.</w:t>
      </w:r>
    </w:p>
    <w:p w14:paraId="6B88E6BA" w14:textId="77777777" w:rsidR="00AC60CD" w:rsidRPr="00FE3B0F" w:rsidRDefault="00AC60CD" w:rsidP="00AC60CD">
      <w:pPr>
        <w:ind w:left="360"/>
        <w:jc w:val="both"/>
        <w:rPr>
          <w:rFonts w:ascii="Arial" w:hAnsi="Arial" w:cs="Arial"/>
          <w:sz w:val="22"/>
          <w:szCs w:val="22"/>
        </w:rPr>
      </w:pPr>
    </w:p>
    <w:p w14:paraId="7E0864A1" w14:textId="77777777" w:rsidR="00AC60CD" w:rsidRPr="00FE3B0F" w:rsidRDefault="00AC60CD" w:rsidP="00AC60CD">
      <w:pPr>
        <w:numPr>
          <w:ilvl w:val="0"/>
          <w:numId w:val="1"/>
        </w:numPr>
        <w:ind w:left="426" w:right="-57" w:hanging="426"/>
        <w:jc w:val="both"/>
        <w:rPr>
          <w:rFonts w:ascii="Arial" w:hAnsi="Arial" w:cs="Arial"/>
          <w:sz w:val="22"/>
          <w:szCs w:val="22"/>
        </w:rPr>
      </w:pPr>
      <w:r w:rsidRPr="00FE3B0F">
        <w:rPr>
          <w:rFonts w:ascii="Arial" w:hAnsi="Arial" w:cs="Arial"/>
          <w:sz w:val="22"/>
          <w:szCs w:val="22"/>
        </w:rPr>
        <w:t>Pago mediante tarjeta de crédito o débito: En esta modalidad se ordena el cargo en una tarjeta de crédito o débito del monto a pagar al operador de la tarjeta de crédito o débito que se seleccione de la relación que figure en SUNAT Virtual como habilitados para dicha modalidad y con el cual existe previamente una afiliación al servicio de pagos por Internet.</w:t>
      </w:r>
    </w:p>
    <w:p w14:paraId="23096675" w14:textId="77777777" w:rsidR="00AC60CD" w:rsidRPr="00FE3B0F" w:rsidRDefault="00AC60CD" w:rsidP="00AC60CD">
      <w:pPr>
        <w:ind w:right="-57"/>
        <w:jc w:val="both"/>
        <w:rPr>
          <w:rFonts w:ascii="Arial" w:hAnsi="Arial" w:cs="Arial"/>
          <w:sz w:val="22"/>
          <w:szCs w:val="22"/>
        </w:rPr>
      </w:pPr>
    </w:p>
    <w:p w14:paraId="3AAC549F" w14:textId="77777777" w:rsidR="00AC60CD" w:rsidRPr="00FE3B0F" w:rsidRDefault="00AC60CD" w:rsidP="00AC60CD">
      <w:pPr>
        <w:ind w:right="-57"/>
        <w:jc w:val="both"/>
        <w:rPr>
          <w:rFonts w:ascii="Arial" w:hAnsi="Arial" w:cs="Arial"/>
          <w:sz w:val="22"/>
          <w:szCs w:val="22"/>
        </w:rPr>
      </w:pPr>
      <w:r w:rsidRPr="00FE3B0F">
        <w:rPr>
          <w:rFonts w:ascii="Arial" w:hAnsi="Arial" w:cs="Arial"/>
          <w:sz w:val="22"/>
          <w:szCs w:val="22"/>
        </w:rPr>
        <w:t>En ambos casos, la AFP debe cancelar el íntegro del importe a pagar a través de una única transacción bancaria.</w:t>
      </w:r>
    </w:p>
    <w:p w14:paraId="0037217F" w14:textId="77777777" w:rsidR="00AC60CD" w:rsidRPr="00FE3B0F" w:rsidRDefault="00AC60CD" w:rsidP="00AC60CD">
      <w:pPr>
        <w:ind w:right="-57"/>
        <w:jc w:val="both"/>
        <w:rPr>
          <w:rFonts w:ascii="Arial" w:hAnsi="Arial" w:cs="Arial"/>
          <w:sz w:val="22"/>
          <w:szCs w:val="22"/>
        </w:rPr>
      </w:pPr>
    </w:p>
    <w:p w14:paraId="5E0CAE6C" w14:textId="7E6CCACF" w:rsidR="00AC60CD" w:rsidRPr="00FE3B0F" w:rsidRDefault="00AC60CD" w:rsidP="00AC60CD">
      <w:pPr>
        <w:ind w:right="-57"/>
        <w:jc w:val="both"/>
        <w:rPr>
          <w:rFonts w:ascii="Arial" w:hAnsi="Arial" w:cs="Arial"/>
          <w:sz w:val="22"/>
          <w:szCs w:val="22"/>
        </w:rPr>
      </w:pPr>
      <w:r w:rsidRPr="00FE3B0F">
        <w:rPr>
          <w:rFonts w:ascii="Arial" w:hAnsi="Arial" w:cs="Arial"/>
          <w:sz w:val="22"/>
          <w:szCs w:val="22"/>
        </w:rPr>
        <w:t xml:space="preserve">3.3. Adicionalmente a lo señalado en el párrafo 3.2, la AFP puede cancelar el importe a pagar en los bancos habilitados utilizando el número de pago SUNAT (NPS) a que se refiere el inciso e) del artículo 1 de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038-2010/SUNAT, para lo cual debe seguir el procedimiento establecido en el artículo 8 de dicha resolución, así como las indicaciones del servicio.</w:t>
      </w:r>
    </w:p>
    <w:p w14:paraId="278C424C" w14:textId="77777777" w:rsidR="00AC60CD" w:rsidRPr="00FE3B0F" w:rsidRDefault="00AC60CD" w:rsidP="00AC60CD">
      <w:pPr>
        <w:ind w:right="-57"/>
        <w:jc w:val="both"/>
        <w:rPr>
          <w:rFonts w:ascii="Arial" w:hAnsi="Arial" w:cs="Arial"/>
          <w:sz w:val="22"/>
          <w:szCs w:val="22"/>
        </w:rPr>
      </w:pPr>
    </w:p>
    <w:p w14:paraId="4AD83666" w14:textId="77777777" w:rsidR="00AC60CD" w:rsidRPr="00FE3B0F" w:rsidRDefault="00AC60CD" w:rsidP="00AC60CD">
      <w:pPr>
        <w:ind w:right="-57"/>
        <w:contextualSpacing/>
        <w:jc w:val="both"/>
        <w:rPr>
          <w:rFonts w:ascii="Arial" w:hAnsi="Arial" w:cs="Arial"/>
          <w:sz w:val="22"/>
          <w:szCs w:val="22"/>
        </w:rPr>
      </w:pPr>
      <w:r w:rsidRPr="00FE3B0F">
        <w:rPr>
          <w:rFonts w:ascii="Arial" w:hAnsi="Arial" w:cs="Arial"/>
          <w:sz w:val="22"/>
          <w:szCs w:val="22"/>
        </w:rPr>
        <w:t xml:space="preserve">3.4. Con posterioridad a la presentación de la declaración, la AFP puede realizar el pago a través del Sistema Pago Fácil regulado por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125-2003/SUNAT, de SUNAT Virtual o en los bancos habilitados utilizando el NPS.”</w:t>
      </w:r>
    </w:p>
    <w:p w14:paraId="63ABCA42" w14:textId="77777777" w:rsidR="00AC60CD" w:rsidRPr="00FE3B0F" w:rsidRDefault="00AC60CD" w:rsidP="00AC60CD">
      <w:pPr>
        <w:jc w:val="both"/>
        <w:rPr>
          <w:rFonts w:ascii="Arial" w:hAnsi="Arial" w:cs="Arial"/>
          <w:bCs/>
          <w:sz w:val="22"/>
          <w:szCs w:val="22"/>
          <w:lang w:eastAsia="es-PE"/>
        </w:rPr>
      </w:pPr>
    </w:p>
    <w:p w14:paraId="507B32B2" w14:textId="77777777" w:rsidR="00AC60CD" w:rsidRPr="00FE3B0F" w:rsidRDefault="00AC60CD" w:rsidP="00AC60CD">
      <w:pPr>
        <w:rPr>
          <w:rFonts w:ascii="Arial" w:hAnsi="Arial" w:cs="Arial"/>
          <w:bCs/>
          <w:sz w:val="22"/>
          <w:szCs w:val="22"/>
          <w:lang w:eastAsia="es-PE"/>
        </w:rPr>
      </w:pPr>
      <w:r w:rsidRPr="00FE3B0F">
        <w:rPr>
          <w:rFonts w:ascii="Arial" w:hAnsi="Arial" w:cs="Arial"/>
          <w:sz w:val="22"/>
          <w:szCs w:val="22"/>
          <w:lang w:eastAsia="es-PE"/>
        </w:rPr>
        <w:t>“Artículo 4.-</w:t>
      </w:r>
      <w:r w:rsidRPr="00FE3B0F">
        <w:rPr>
          <w:rFonts w:ascii="Arial" w:hAnsi="Arial" w:cs="Arial"/>
          <w:bCs/>
          <w:sz w:val="22"/>
          <w:szCs w:val="22"/>
          <w:lang w:eastAsia="es-PE"/>
        </w:rPr>
        <w:t xml:space="preserve"> CONSTANCIA DE PRESENTACIÓN Y PAGO</w:t>
      </w:r>
    </w:p>
    <w:p w14:paraId="2154C602" w14:textId="77777777" w:rsidR="00AC60CD" w:rsidRPr="00FE3B0F" w:rsidRDefault="00AC60CD" w:rsidP="00AC60CD">
      <w:pPr>
        <w:rPr>
          <w:rFonts w:ascii="Arial" w:hAnsi="Arial" w:cs="Arial"/>
          <w:bCs/>
          <w:sz w:val="22"/>
          <w:szCs w:val="22"/>
          <w:lang w:eastAsia="es-PE"/>
        </w:rPr>
      </w:pPr>
    </w:p>
    <w:p w14:paraId="4C3D116B" w14:textId="735D0455" w:rsidR="00AC60CD" w:rsidRPr="00FE3B0F" w:rsidRDefault="00AC60CD" w:rsidP="00AC60CD">
      <w:pPr>
        <w:jc w:val="both"/>
        <w:rPr>
          <w:rFonts w:ascii="Arial" w:hAnsi="Arial" w:cs="Arial"/>
          <w:sz w:val="22"/>
          <w:szCs w:val="22"/>
        </w:rPr>
      </w:pPr>
      <w:r w:rsidRPr="00FE3B0F">
        <w:rPr>
          <w:rFonts w:ascii="Arial" w:hAnsi="Arial" w:cs="Arial"/>
          <w:sz w:val="22"/>
          <w:szCs w:val="22"/>
        </w:rPr>
        <w:t xml:space="preserve">La constancia de presentación de la declaración mediante el Formulario Virtual </w:t>
      </w:r>
      <w:proofErr w:type="spellStart"/>
      <w:r w:rsidRPr="00FE3B0F">
        <w:rPr>
          <w:rFonts w:ascii="Arial" w:hAnsi="Arial" w:cs="Arial"/>
          <w:sz w:val="22"/>
          <w:szCs w:val="22"/>
        </w:rPr>
        <w:t>N.°</w:t>
      </w:r>
      <w:proofErr w:type="spellEnd"/>
      <w:r w:rsidRPr="00FE3B0F">
        <w:rPr>
          <w:rFonts w:ascii="Arial" w:hAnsi="Arial" w:cs="Arial"/>
          <w:sz w:val="22"/>
          <w:szCs w:val="22"/>
        </w:rPr>
        <w:t xml:space="preserve"> 605 es el único comprobante de la operación realizada por la AFP, la cual puede ser impresa, guardada y/o enviada al correo electrónico que </w:t>
      </w:r>
      <w:r w:rsidR="008E13FF">
        <w:rPr>
          <w:rFonts w:ascii="Arial" w:hAnsi="Arial" w:cs="Arial"/>
          <w:sz w:val="22"/>
          <w:szCs w:val="22"/>
        </w:rPr>
        <w:t xml:space="preserve">esta </w:t>
      </w:r>
      <w:r w:rsidRPr="00FE3B0F">
        <w:rPr>
          <w:rFonts w:ascii="Arial" w:hAnsi="Arial" w:cs="Arial"/>
          <w:sz w:val="22"/>
          <w:szCs w:val="22"/>
        </w:rPr>
        <w:t xml:space="preserve">señale. </w:t>
      </w:r>
    </w:p>
    <w:p w14:paraId="5DD215C7" w14:textId="77777777" w:rsidR="00AC60CD" w:rsidRPr="00FE3B0F" w:rsidRDefault="00AC60CD" w:rsidP="00AC60CD">
      <w:pPr>
        <w:jc w:val="both"/>
        <w:rPr>
          <w:rFonts w:ascii="Arial" w:hAnsi="Arial" w:cs="Arial"/>
          <w:sz w:val="22"/>
          <w:szCs w:val="22"/>
        </w:rPr>
      </w:pPr>
    </w:p>
    <w:p w14:paraId="5F9A6050" w14:textId="7B7D828C" w:rsidR="00AC60CD" w:rsidRPr="00FE3B0F" w:rsidRDefault="00AC60CD" w:rsidP="00AC60CD">
      <w:pPr>
        <w:jc w:val="both"/>
        <w:rPr>
          <w:rFonts w:ascii="Arial" w:hAnsi="Arial" w:cs="Arial"/>
          <w:sz w:val="22"/>
          <w:szCs w:val="22"/>
        </w:rPr>
      </w:pPr>
      <w:r w:rsidRPr="00FE3B0F">
        <w:rPr>
          <w:rFonts w:ascii="Arial" w:hAnsi="Arial" w:cs="Arial"/>
          <w:sz w:val="22"/>
          <w:szCs w:val="22"/>
        </w:rPr>
        <w:t xml:space="preserve">Cuando el pago se realice mediante débito en cuenta o tarjeta de crédito o débito, de no mediar causal de rechazo, se genera la constancia del pago realizado, la cual puede ser impresa, guardada y/o enviada al correo electrónico que </w:t>
      </w:r>
      <w:r w:rsidR="008364B4">
        <w:rPr>
          <w:rFonts w:ascii="Arial" w:hAnsi="Arial" w:cs="Arial"/>
          <w:sz w:val="22"/>
          <w:szCs w:val="22"/>
        </w:rPr>
        <w:t xml:space="preserve">la AFP </w:t>
      </w:r>
      <w:r w:rsidRPr="00FE3B0F">
        <w:rPr>
          <w:rFonts w:ascii="Arial" w:hAnsi="Arial" w:cs="Arial"/>
          <w:sz w:val="22"/>
          <w:szCs w:val="22"/>
        </w:rPr>
        <w:t>señale.”</w:t>
      </w:r>
    </w:p>
    <w:p w14:paraId="406DC1EB" w14:textId="77777777" w:rsidR="00AC60CD" w:rsidRPr="00FE3B0F" w:rsidRDefault="00AC60CD" w:rsidP="00AC60CD">
      <w:pPr>
        <w:jc w:val="both"/>
        <w:rPr>
          <w:rFonts w:ascii="Arial" w:hAnsi="Arial" w:cs="Arial"/>
          <w:sz w:val="22"/>
          <w:szCs w:val="22"/>
        </w:rPr>
      </w:pPr>
    </w:p>
    <w:p w14:paraId="4DB51A94" w14:textId="77777777" w:rsidR="00AC60CD" w:rsidRPr="00FE3B0F" w:rsidRDefault="00AC60CD" w:rsidP="00AC60CD">
      <w:pPr>
        <w:jc w:val="both"/>
        <w:rPr>
          <w:rFonts w:ascii="Arial" w:hAnsi="Arial" w:cs="Arial"/>
          <w:bCs/>
          <w:sz w:val="22"/>
          <w:szCs w:val="22"/>
          <w:lang w:eastAsia="es-PE"/>
        </w:rPr>
      </w:pPr>
      <w:r w:rsidRPr="00FE3B0F">
        <w:rPr>
          <w:rFonts w:ascii="Arial" w:hAnsi="Arial" w:cs="Arial"/>
          <w:sz w:val="22"/>
          <w:szCs w:val="22"/>
          <w:lang w:eastAsia="es-PE"/>
        </w:rPr>
        <w:t xml:space="preserve">“Artículo 5.- </w:t>
      </w:r>
      <w:r w:rsidRPr="00FE3B0F">
        <w:rPr>
          <w:rFonts w:ascii="Arial" w:hAnsi="Arial" w:cs="Arial"/>
          <w:bCs/>
          <w:sz w:val="22"/>
          <w:szCs w:val="22"/>
          <w:lang w:eastAsia="es-PE"/>
        </w:rPr>
        <w:t xml:space="preserve">CAUSALES DE RECHAZO DEL FORMULARIO VIRTUAL </w:t>
      </w:r>
      <w:proofErr w:type="spellStart"/>
      <w:r w:rsidRPr="00FE3B0F">
        <w:rPr>
          <w:rFonts w:ascii="Arial" w:hAnsi="Arial" w:cs="Arial"/>
          <w:bCs/>
          <w:sz w:val="22"/>
          <w:szCs w:val="22"/>
          <w:lang w:eastAsia="es-PE"/>
        </w:rPr>
        <w:t>N.°</w:t>
      </w:r>
      <w:proofErr w:type="spellEnd"/>
      <w:r w:rsidRPr="00FE3B0F">
        <w:rPr>
          <w:rFonts w:ascii="Arial" w:hAnsi="Arial" w:cs="Arial"/>
          <w:bCs/>
          <w:sz w:val="22"/>
          <w:szCs w:val="22"/>
          <w:lang w:eastAsia="es-PE"/>
        </w:rPr>
        <w:t xml:space="preserve"> 0605</w:t>
      </w:r>
    </w:p>
    <w:p w14:paraId="37C9812C" w14:textId="77777777" w:rsidR="00AC60CD" w:rsidRPr="00FE3B0F" w:rsidRDefault="00AC60CD" w:rsidP="00AC60CD">
      <w:pPr>
        <w:jc w:val="both"/>
        <w:rPr>
          <w:rFonts w:ascii="Arial" w:hAnsi="Arial" w:cs="Arial"/>
          <w:bCs/>
          <w:sz w:val="22"/>
          <w:szCs w:val="22"/>
          <w:lang w:eastAsia="es-PE"/>
        </w:rPr>
      </w:pPr>
    </w:p>
    <w:p w14:paraId="486D53EB" w14:textId="6F5ACA33" w:rsidR="00AC60CD" w:rsidRPr="00FE3B0F" w:rsidRDefault="00AC60CD" w:rsidP="00AC60CD">
      <w:pPr>
        <w:jc w:val="both"/>
        <w:rPr>
          <w:rFonts w:ascii="Arial" w:hAnsi="Arial" w:cs="Arial"/>
          <w:sz w:val="22"/>
          <w:szCs w:val="22"/>
        </w:rPr>
      </w:pPr>
      <w:r w:rsidRPr="00FE3B0F">
        <w:rPr>
          <w:rFonts w:ascii="Arial" w:hAnsi="Arial" w:cs="Arial"/>
          <w:sz w:val="22"/>
          <w:szCs w:val="22"/>
        </w:rPr>
        <w:t xml:space="preserve">Las causales de rechazo del Formulario Virtual </w:t>
      </w:r>
      <w:proofErr w:type="spellStart"/>
      <w:r w:rsidRPr="00FE3B0F">
        <w:rPr>
          <w:rFonts w:ascii="Arial" w:hAnsi="Arial" w:cs="Arial"/>
          <w:sz w:val="22"/>
          <w:szCs w:val="22"/>
        </w:rPr>
        <w:t>N.°</w:t>
      </w:r>
      <w:proofErr w:type="spellEnd"/>
      <w:r w:rsidRPr="00FE3B0F">
        <w:rPr>
          <w:rFonts w:ascii="Arial" w:hAnsi="Arial" w:cs="Arial"/>
          <w:sz w:val="22"/>
          <w:szCs w:val="22"/>
        </w:rPr>
        <w:t xml:space="preserve"> 0605, tratándose de declaraciones con importe a pagar, </w:t>
      </w:r>
      <w:r w:rsidR="006A6AA8" w:rsidRPr="00FE3B0F">
        <w:rPr>
          <w:rFonts w:ascii="Arial" w:hAnsi="Arial" w:cs="Arial"/>
          <w:sz w:val="22"/>
          <w:szCs w:val="22"/>
        </w:rPr>
        <w:t xml:space="preserve">que determinan que este se considere como no presentado, </w:t>
      </w:r>
      <w:r w:rsidRPr="00FE3B0F">
        <w:rPr>
          <w:rFonts w:ascii="Arial" w:hAnsi="Arial" w:cs="Arial"/>
          <w:sz w:val="22"/>
          <w:szCs w:val="22"/>
        </w:rPr>
        <w:t>son las siguientes:</w:t>
      </w:r>
    </w:p>
    <w:p w14:paraId="25393D88" w14:textId="77777777" w:rsidR="00AC60CD" w:rsidRPr="00FE3B0F" w:rsidRDefault="00AC60CD" w:rsidP="00AC60CD">
      <w:pPr>
        <w:jc w:val="both"/>
        <w:rPr>
          <w:rFonts w:ascii="Arial" w:hAnsi="Arial" w:cs="Arial"/>
          <w:sz w:val="22"/>
          <w:szCs w:val="22"/>
        </w:rPr>
      </w:pPr>
    </w:p>
    <w:p w14:paraId="1FFA581C" w14:textId="77777777" w:rsidR="00AC60CD" w:rsidRPr="00FE3B0F" w:rsidRDefault="00AC60CD" w:rsidP="00AC60CD">
      <w:pPr>
        <w:contextualSpacing/>
        <w:jc w:val="both"/>
        <w:rPr>
          <w:rFonts w:ascii="Arial" w:hAnsi="Arial" w:cs="Arial"/>
          <w:sz w:val="22"/>
          <w:szCs w:val="22"/>
        </w:rPr>
      </w:pPr>
      <w:r w:rsidRPr="00FE3B0F">
        <w:rPr>
          <w:rFonts w:ascii="Arial" w:hAnsi="Arial" w:cs="Arial"/>
          <w:sz w:val="22"/>
          <w:szCs w:val="22"/>
        </w:rPr>
        <w:t>a) Tratándose del pago mediante débito en cuenta:</w:t>
      </w:r>
    </w:p>
    <w:p w14:paraId="6212EB82" w14:textId="77777777" w:rsidR="00AC60CD" w:rsidRPr="00FE3B0F" w:rsidRDefault="00AC60CD" w:rsidP="00AC60CD">
      <w:pPr>
        <w:ind w:left="1647"/>
        <w:contextualSpacing/>
        <w:jc w:val="both"/>
        <w:rPr>
          <w:rFonts w:ascii="Arial" w:hAnsi="Arial" w:cs="Arial"/>
          <w:sz w:val="22"/>
          <w:szCs w:val="22"/>
        </w:rPr>
      </w:pPr>
    </w:p>
    <w:p w14:paraId="0AE1C30E" w14:textId="77777777" w:rsidR="00AC60CD" w:rsidRPr="00FE3B0F" w:rsidRDefault="00AC60CD" w:rsidP="00AC60CD">
      <w:pPr>
        <w:numPr>
          <w:ilvl w:val="0"/>
          <w:numId w:val="2"/>
        </w:numPr>
        <w:ind w:left="567"/>
        <w:jc w:val="both"/>
        <w:rPr>
          <w:rFonts w:ascii="Arial" w:hAnsi="Arial" w:cs="Arial"/>
          <w:sz w:val="22"/>
          <w:szCs w:val="22"/>
        </w:rPr>
      </w:pPr>
      <w:r w:rsidRPr="00FE3B0F">
        <w:rPr>
          <w:rFonts w:ascii="Arial" w:hAnsi="Arial" w:cs="Arial"/>
          <w:sz w:val="22"/>
          <w:szCs w:val="22"/>
        </w:rPr>
        <w:t>Que el pago se realice a través de una cuenta no afiliada;</w:t>
      </w:r>
    </w:p>
    <w:p w14:paraId="1204A7FC" w14:textId="77777777" w:rsidR="00AC60CD" w:rsidRPr="00FE3B0F" w:rsidRDefault="00AC60CD" w:rsidP="00AC60CD">
      <w:pPr>
        <w:numPr>
          <w:ilvl w:val="0"/>
          <w:numId w:val="2"/>
        </w:numPr>
        <w:ind w:left="567"/>
        <w:jc w:val="both"/>
        <w:rPr>
          <w:rFonts w:ascii="Arial" w:hAnsi="Arial" w:cs="Arial"/>
          <w:sz w:val="22"/>
          <w:szCs w:val="22"/>
        </w:rPr>
      </w:pPr>
      <w:r w:rsidRPr="00FE3B0F">
        <w:rPr>
          <w:rFonts w:ascii="Arial" w:hAnsi="Arial" w:cs="Arial"/>
          <w:sz w:val="22"/>
          <w:szCs w:val="22"/>
        </w:rPr>
        <w:t>Que la cuenta no posea los fondos suficientes para cancelar el importe a pagar;</w:t>
      </w:r>
    </w:p>
    <w:p w14:paraId="57AD355A" w14:textId="77777777" w:rsidR="00AC60CD" w:rsidRPr="00FE3B0F" w:rsidRDefault="00AC60CD" w:rsidP="00AC60CD">
      <w:pPr>
        <w:numPr>
          <w:ilvl w:val="0"/>
          <w:numId w:val="2"/>
        </w:numPr>
        <w:ind w:left="567"/>
        <w:jc w:val="both"/>
        <w:rPr>
          <w:rFonts w:ascii="Arial" w:hAnsi="Arial" w:cs="Arial"/>
          <w:sz w:val="22"/>
          <w:szCs w:val="22"/>
        </w:rPr>
      </w:pPr>
      <w:r w:rsidRPr="00FE3B0F">
        <w:rPr>
          <w:rFonts w:ascii="Arial" w:hAnsi="Arial" w:cs="Arial"/>
          <w:sz w:val="22"/>
          <w:szCs w:val="22"/>
        </w:rPr>
        <w:t>Que no se pueda establecer comunicación con el servicio de pago del banco, o</w:t>
      </w:r>
    </w:p>
    <w:p w14:paraId="2AE4B07D" w14:textId="77777777" w:rsidR="00AC60CD" w:rsidRPr="00FE3B0F" w:rsidRDefault="00AC60CD" w:rsidP="00AC60CD">
      <w:pPr>
        <w:numPr>
          <w:ilvl w:val="0"/>
          <w:numId w:val="2"/>
        </w:numPr>
        <w:ind w:left="567"/>
        <w:jc w:val="both"/>
        <w:rPr>
          <w:rFonts w:ascii="Arial" w:hAnsi="Arial" w:cs="Arial"/>
          <w:sz w:val="22"/>
          <w:szCs w:val="22"/>
        </w:rPr>
      </w:pPr>
      <w:r w:rsidRPr="00FE3B0F">
        <w:rPr>
          <w:rFonts w:ascii="Arial" w:hAnsi="Arial" w:cs="Arial"/>
          <w:sz w:val="22"/>
          <w:szCs w:val="22"/>
        </w:rPr>
        <w:lastRenderedPageBreak/>
        <w:t>Que el pago no se realice por un corte en el sistema.</w:t>
      </w:r>
    </w:p>
    <w:p w14:paraId="22536961" w14:textId="77777777" w:rsidR="00AC60CD" w:rsidRPr="00FE3B0F" w:rsidRDefault="00AC60CD" w:rsidP="00AC60CD">
      <w:pPr>
        <w:contextualSpacing/>
        <w:jc w:val="both"/>
        <w:rPr>
          <w:rFonts w:ascii="Arial" w:hAnsi="Arial" w:cs="Arial"/>
          <w:sz w:val="22"/>
          <w:szCs w:val="22"/>
        </w:rPr>
      </w:pPr>
    </w:p>
    <w:p w14:paraId="74FE6A07" w14:textId="77777777" w:rsidR="00AC60CD" w:rsidRPr="00FE3B0F" w:rsidRDefault="00AC60CD" w:rsidP="00AC60CD">
      <w:pPr>
        <w:contextualSpacing/>
        <w:jc w:val="both"/>
        <w:rPr>
          <w:rFonts w:ascii="Arial" w:hAnsi="Arial" w:cs="Arial"/>
          <w:sz w:val="22"/>
          <w:szCs w:val="22"/>
        </w:rPr>
      </w:pPr>
      <w:r w:rsidRPr="00FE3B0F">
        <w:rPr>
          <w:rFonts w:ascii="Arial" w:hAnsi="Arial" w:cs="Arial"/>
          <w:sz w:val="22"/>
          <w:szCs w:val="22"/>
        </w:rPr>
        <w:t>b) Tratándose del pago mediante tarjeta de crédito o débito:</w:t>
      </w:r>
    </w:p>
    <w:p w14:paraId="5F368CCC" w14:textId="77777777" w:rsidR="00AC60CD" w:rsidRPr="00FE3B0F" w:rsidRDefault="00AC60CD" w:rsidP="00AC60CD">
      <w:pPr>
        <w:contextualSpacing/>
        <w:jc w:val="both"/>
        <w:rPr>
          <w:rFonts w:ascii="Arial" w:hAnsi="Arial" w:cs="Arial"/>
          <w:sz w:val="22"/>
          <w:szCs w:val="22"/>
        </w:rPr>
      </w:pPr>
    </w:p>
    <w:p w14:paraId="4AC44A7F" w14:textId="77777777" w:rsidR="00AC60CD" w:rsidRPr="00FE3B0F" w:rsidRDefault="00AC60CD" w:rsidP="00AC60CD">
      <w:pPr>
        <w:numPr>
          <w:ilvl w:val="0"/>
          <w:numId w:val="3"/>
        </w:numPr>
        <w:ind w:left="567"/>
        <w:jc w:val="both"/>
        <w:rPr>
          <w:rFonts w:ascii="Arial" w:hAnsi="Arial" w:cs="Arial"/>
          <w:sz w:val="22"/>
          <w:szCs w:val="22"/>
        </w:rPr>
      </w:pPr>
      <w:r w:rsidRPr="00FE3B0F">
        <w:rPr>
          <w:rFonts w:ascii="Arial" w:hAnsi="Arial" w:cs="Arial"/>
          <w:sz w:val="22"/>
          <w:szCs w:val="22"/>
        </w:rPr>
        <w:t xml:space="preserve">Que no se utilice una tarjeta de crédito o débito afiliada al servicio de pagos por Internet; </w:t>
      </w:r>
    </w:p>
    <w:p w14:paraId="676AC28D" w14:textId="77777777" w:rsidR="00AC60CD" w:rsidRPr="00FE3B0F" w:rsidRDefault="00AC60CD" w:rsidP="00AC60CD">
      <w:pPr>
        <w:numPr>
          <w:ilvl w:val="0"/>
          <w:numId w:val="3"/>
        </w:numPr>
        <w:ind w:left="567"/>
        <w:jc w:val="both"/>
        <w:rPr>
          <w:rFonts w:ascii="Arial" w:hAnsi="Arial" w:cs="Arial"/>
          <w:sz w:val="22"/>
          <w:szCs w:val="22"/>
        </w:rPr>
      </w:pPr>
      <w:r w:rsidRPr="00FE3B0F">
        <w:rPr>
          <w:rFonts w:ascii="Arial" w:hAnsi="Arial" w:cs="Arial"/>
          <w:sz w:val="22"/>
          <w:szCs w:val="22"/>
        </w:rPr>
        <w:t xml:space="preserve">Que la operación no sea aprobada por el operador de la tarjeta de crédito o débito correspondiente; </w:t>
      </w:r>
    </w:p>
    <w:p w14:paraId="05B681F4" w14:textId="77777777" w:rsidR="00AC60CD" w:rsidRPr="00FE3B0F" w:rsidRDefault="00AC60CD" w:rsidP="00AC60CD">
      <w:pPr>
        <w:numPr>
          <w:ilvl w:val="0"/>
          <w:numId w:val="3"/>
        </w:numPr>
        <w:ind w:left="567"/>
        <w:jc w:val="both"/>
        <w:rPr>
          <w:rFonts w:ascii="Arial" w:hAnsi="Arial" w:cs="Arial"/>
          <w:sz w:val="22"/>
          <w:szCs w:val="22"/>
        </w:rPr>
      </w:pPr>
      <w:r w:rsidRPr="00FE3B0F">
        <w:rPr>
          <w:rFonts w:ascii="Arial" w:hAnsi="Arial" w:cs="Arial"/>
          <w:sz w:val="22"/>
          <w:szCs w:val="22"/>
        </w:rPr>
        <w:t xml:space="preserve">Que no se pueda establecer comunicación con el servicio de pago del operador de la tarjeta de crédito o débito, o </w:t>
      </w:r>
    </w:p>
    <w:p w14:paraId="45A4223E" w14:textId="77777777" w:rsidR="00AC60CD" w:rsidRPr="00FE3B0F" w:rsidRDefault="00AC60CD" w:rsidP="00AC60CD">
      <w:pPr>
        <w:numPr>
          <w:ilvl w:val="0"/>
          <w:numId w:val="3"/>
        </w:numPr>
        <w:ind w:left="567"/>
        <w:jc w:val="both"/>
        <w:rPr>
          <w:rFonts w:ascii="Arial" w:hAnsi="Arial" w:cs="Arial"/>
          <w:sz w:val="22"/>
          <w:szCs w:val="22"/>
        </w:rPr>
      </w:pPr>
      <w:r w:rsidRPr="00FE3B0F">
        <w:rPr>
          <w:rFonts w:ascii="Arial" w:hAnsi="Arial" w:cs="Arial"/>
          <w:sz w:val="22"/>
          <w:szCs w:val="22"/>
        </w:rPr>
        <w:t>Que el pago no se realice por un corte en el sistema.</w:t>
      </w:r>
    </w:p>
    <w:p w14:paraId="44C26BA1" w14:textId="77777777" w:rsidR="00AC60CD" w:rsidRPr="00FE3B0F" w:rsidRDefault="00AC60CD" w:rsidP="00AC60CD">
      <w:pPr>
        <w:ind w:left="284" w:hanging="284"/>
        <w:contextualSpacing/>
        <w:jc w:val="both"/>
        <w:rPr>
          <w:rFonts w:ascii="Arial" w:hAnsi="Arial" w:cs="Arial"/>
          <w:sz w:val="22"/>
          <w:szCs w:val="22"/>
        </w:rPr>
      </w:pPr>
    </w:p>
    <w:p w14:paraId="71A7E7C9" w14:textId="77777777" w:rsidR="00AC60CD" w:rsidRPr="00FE3B0F" w:rsidRDefault="00AC60CD" w:rsidP="00AC60CD">
      <w:pPr>
        <w:ind w:left="284" w:hanging="284"/>
        <w:contextualSpacing/>
        <w:jc w:val="both"/>
        <w:rPr>
          <w:rFonts w:ascii="Arial" w:hAnsi="Arial" w:cs="Arial"/>
          <w:sz w:val="22"/>
          <w:szCs w:val="22"/>
        </w:rPr>
      </w:pPr>
      <w:r w:rsidRPr="00FE3B0F">
        <w:rPr>
          <w:rFonts w:ascii="Arial" w:hAnsi="Arial" w:cs="Arial"/>
          <w:sz w:val="22"/>
          <w:szCs w:val="22"/>
        </w:rPr>
        <w:t>c) Tratándose del pago en los bancos habilitados utilizando el NPS, cuando este no se genere por un corte en el sistema.”</w:t>
      </w:r>
    </w:p>
    <w:p w14:paraId="5174043A" w14:textId="77777777" w:rsidR="00AC60CD" w:rsidRPr="00FE3B0F" w:rsidRDefault="00AC60CD" w:rsidP="00AC60CD">
      <w:pPr>
        <w:jc w:val="both"/>
        <w:rPr>
          <w:rFonts w:ascii="Arial" w:hAnsi="Arial" w:cs="Arial"/>
          <w:b/>
          <w:sz w:val="22"/>
          <w:szCs w:val="22"/>
          <w:lang w:eastAsia="es-PE"/>
        </w:rPr>
      </w:pPr>
    </w:p>
    <w:p w14:paraId="6AD308CC" w14:textId="77777777" w:rsidR="00AC60CD" w:rsidRPr="00FE3B0F" w:rsidRDefault="00AC60CD" w:rsidP="00AC60CD">
      <w:pPr>
        <w:jc w:val="both"/>
        <w:rPr>
          <w:rFonts w:ascii="Arial" w:hAnsi="Arial" w:cs="Arial"/>
          <w:b/>
          <w:sz w:val="22"/>
          <w:szCs w:val="22"/>
          <w:lang w:eastAsia="es-PE"/>
        </w:rPr>
      </w:pPr>
      <w:r w:rsidRPr="00FE3B0F">
        <w:rPr>
          <w:rFonts w:ascii="Arial" w:hAnsi="Arial" w:cs="Arial"/>
          <w:b/>
          <w:sz w:val="22"/>
          <w:szCs w:val="22"/>
          <w:lang w:eastAsia="es-PE"/>
        </w:rPr>
        <w:t>Artículo 3. Incorporaciones en la resolución</w:t>
      </w:r>
    </w:p>
    <w:p w14:paraId="3D05713F" w14:textId="77777777" w:rsidR="00AC60CD" w:rsidRPr="00FE3B0F" w:rsidRDefault="00AC60CD" w:rsidP="00AC60CD">
      <w:pPr>
        <w:jc w:val="both"/>
        <w:rPr>
          <w:rFonts w:ascii="Arial" w:hAnsi="Arial" w:cs="Arial"/>
          <w:sz w:val="22"/>
          <w:szCs w:val="22"/>
          <w:lang w:eastAsia="es-PE"/>
        </w:rPr>
      </w:pPr>
    </w:p>
    <w:p w14:paraId="14D65089" w14:textId="040C2EDA" w:rsidR="00AC60CD" w:rsidRPr="00FE3B0F" w:rsidRDefault="00AC60CD" w:rsidP="00AC60CD">
      <w:pPr>
        <w:jc w:val="both"/>
        <w:rPr>
          <w:rFonts w:ascii="Arial" w:hAnsi="Arial" w:cs="Arial"/>
          <w:sz w:val="22"/>
          <w:szCs w:val="22"/>
          <w:lang w:eastAsia="es-PE"/>
        </w:rPr>
      </w:pPr>
      <w:r w:rsidRPr="00FE3B0F">
        <w:rPr>
          <w:rFonts w:ascii="Arial" w:hAnsi="Arial" w:cs="Arial"/>
          <w:sz w:val="22"/>
          <w:szCs w:val="22"/>
          <w:lang w:eastAsia="es-PE"/>
        </w:rPr>
        <w:t>Incorpórese los incisos k), l) y m) en el artículo 1 de la resolución</w:t>
      </w:r>
      <w:r w:rsidR="00E95C3B" w:rsidRPr="00FE3B0F">
        <w:rPr>
          <w:rFonts w:ascii="Arial" w:hAnsi="Arial" w:cs="Arial"/>
          <w:sz w:val="22"/>
          <w:szCs w:val="22"/>
          <w:lang w:eastAsia="es-PE"/>
        </w:rPr>
        <w:t>, con los siguientes textos</w:t>
      </w:r>
      <w:r w:rsidRPr="00FE3B0F">
        <w:rPr>
          <w:rFonts w:ascii="Arial" w:hAnsi="Arial" w:cs="Arial"/>
          <w:sz w:val="22"/>
          <w:szCs w:val="22"/>
          <w:lang w:eastAsia="es-PE"/>
        </w:rPr>
        <w:t>:</w:t>
      </w:r>
    </w:p>
    <w:p w14:paraId="7CDC58A7" w14:textId="77777777" w:rsidR="00AC60CD" w:rsidRPr="00FE3B0F" w:rsidRDefault="00AC60CD" w:rsidP="00AC60CD">
      <w:pPr>
        <w:jc w:val="both"/>
        <w:rPr>
          <w:rFonts w:ascii="Arial" w:hAnsi="Arial" w:cs="Arial"/>
          <w:sz w:val="22"/>
          <w:szCs w:val="22"/>
          <w:lang w:eastAsia="es-PE"/>
        </w:rPr>
      </w:pPr>
    </w:p>
    <w:p w14:paraId="2C420A69" w14:textId="77777777" w:rsidR="00AC60CD" w:rsidRPr="00FE3B0F" w:rsidRDefault="00AC60CD" w:rsidP="00AC60CD">
      <w:pPr>
        <w:jc w:val="both"/>
        <w:rPr>
          <w:rFonts w:ascii="Arial" w:hAnsi="Arial" w:cs="Arial"/>
          <w:sz w:val="22"/>
          <w:szCs w:val="22"/>
          <w:lang w:eastAsia="es-PE"/>
        </w:rPr>
      </w:pPr>
      <w:r w:rsidRPr="00FE3B0F">
        <w:rPr>
          <w:rFonts w:ascii="Arial" w:hAnsi="Arial" w:cs="Arial"/>
          <w:sz w:val="22"/>
          <w:szCs w:val="22"/>
          <w:lang w:eastAsia="es-PE"/>
        </w:rPr>
        <w:t>“Artículo 1.- DEFINICIONES</w:t>
      </w:r>
    </w:p>
    <w:p w14:paraId="7C962ED7" w14:textId="77777777" w:rsidR="00AC60CD" w:rsidRPr="00FE3B0F" w:rsidRDefault="00AC60CD" w:rsidP="00AC60CD">
      <w:pPr>
        <w:jc w:val="both"/>
        <w:rPr>
          <w:rFonts w:ascii="Arial" w:hAnsi="Arial" w:cs="Arial"/>
          <w:sz w:val="22"/>
          <w:szCs w:val="22"/>
          <w:lang w:eastAsia="es-PE"/>
        </w:rPr>
      </w:pPr>
    </w:p>
    <w:p w14:paraId="288FE000" w14:textId="77777777" w:rsidR="00AC60CD" w:rsidRPr="00FE3B0F" w:rsidRDefault="00AC60CD" w:rsidP="00AC60CD">
      <w:pPr>
        <w:ind w:left="708" w:hanging="708"/>
        <w:jc w:val="both"/>
        <w:rPr>
          <w:rFonts w:ascii="Arial" w:hAnsi="Arial" w:cs="Arial"/>
          <w:sz w:val="22"/>
          <w:szCs w:val="22"/>
          <w:lang w:eastAsia="es-PE"/>
        </w:rPr>
      </w:pPr>
      <w:r w:rsidRPr="00FE3B0F">
        <w:rPr>
          <w:rFonts w:ascii="Arial" w:hAnsi="Arial" w:cs="Arial"/>
          <w:sz w:val="22"/>
          <w:szCs w:val="22"/>
          <w:lang w:eastAsia="es-PE"/>
        </w:rPr>
        <w:t>(…)</w:t>
      </w:r>
    </w:p>
    <w:tbl>
      <w:tblPr>
        <w:tblW w:w="0" w:type="auto"/>
        <w:tblInd w:w="426" w:type="dxa"/>
        <w:tblLook w:val="04A0" w:firstRow="1" w:lastRow="0" w:firstColumn="1" w:lastColumn="0" w:noHBand="0" w:noVBand="1"/>
      </w:tblPr>
      <w:tblGrid>
        <w:gridCol w:w="473"/>
        <w:gridCol w:w="2823"/>
        <w:gridCol w:w="283"/>
        <w:gridCol w:w="4499"/>
      </w:tblGrid>
      <w:tr w:rsidR="00AC60CD" w:rsidRPr="00FE3B0F" w14:paraId="5DF37103" w14:textId="77777777" w:rsidTr="00E95C3B">
        <w:tc>
          <w:tcPr>
            <w:tcW w:w="473" w:type="dxa"/>
            <w:shd w:val="clear" w:color="auto" w:fill="auto"/>
          </w:tcPr>
          <w:p w14:paraId="7C938862" w14:textId="77777777" w:rsidR="00AC60CD" w:rsidRPr="00FE3B0F" w:rsidRDefault="00AC60CD" w:rsidP="002301BA">
            <w:pPr>
              <w:jc w:val="both"/>
              <w:rPr>
                <w:rFonts w:ascii="Arial" w:hAnsi="Arial" w:cs="Arial"/>
                <w:bCs/>
                <w:sz w:val="22"/>
                <w:szCs w:val="22"/>
                <w:lang w:eastAsia="es-PE"/>
              </w:rPr>
            </w:pPr>
          </w:p>
        </w:tc>
        <w:tc>
          <w:tcPr>
            <w:tcW w:w="2823" w:type="dxa"/>
            <w:shd w:val="clear" w:color="auto" w:fill="auto"/>
          </w:tcPr>
          <w:p w14:paraId="42E4254B" w14:textId="77777777" w:rsidR="00AC60CD" w:rsidRPr="00FE3B0F" w:rsidRDefault="00AC60CD" w:rsidP="002301BA">
            <w:pPr>
              <w:jc w:val="both"/>
              <w:rPr>
                <w:rFonts w:ascii="Arial" w:hAnsi="Arial" w:cs="Arial"/>
                <w:sz w:val="22"/>
                <w:szCs w:val="22"/>
                <w:lang w:eastAsia="es-PE"/>
              </w:rPr>
            </w:pPr>
          </w:p>
        </w:tc>
        <w:tc>
          <w:tcPr>
            <w:tcW w:w="283" w:type="dxa"/>
            <w:shd w:val="clear" w:color="auto" w:fill="auto"/>
          </w:tcPr>
          <w:p w14:paraId="4577744E" w14:textId="77777777" w:rsidR="00AC60CD" w:rsidRPr="00FE3B0F" w:rsidRDefault="00AC60CD" w:rsidP="002301BA">
            <w:pPr>
              <w:jc w:val="both"/>
              <w:rPr>
                <w:rFonts w:ascii="Arial" w:hAnsi="Arial" w:cs="Arial"/>
                <w:bCs/>
                <w:sz w:val="22"/>
                <w:szCs w:val="22"/>
                <w:lang w:eastAsia="es-PE"/>
              </w:rPr>
            </w:pPr>
          </w:p>
        </w:tc>
        <w:tc>
          <w:tcPr>
            <w:tcW w:w="4499" w:type="dxa"/>
            <w:shd w:val="clear" w:color="auto" w:fill="auto"/>
          </w:tcPr>
          <w:p w14:paraId="12B5A7CF" w14:textId="77777777" w:rsidR="00AC60CD" w:rsidRPr="00FE3B0F" w:rsidRDefault="00AC60CD" w:rsidP="002301BA">
            <w:pPr>
              <w:jc w:val="both"/>
              <w:rPr>
                <w:rFonts w:ascii="Arial" w:hAnsi="Arial" w:cs="Arial"/>
                <w:sz w:val="22"/>
                <w:szCs w:val="22"/>
              </w:rPr>
            </w:pPr>
          </w:p>
        </w:tc>
      </w:tr>
      <w:tr w:rsidR="00AC60CD" w:rsidRPr="00FE3B0F" w14:paraId="088046E4" w14:textId="77777777" w:rsidTr="00E95C3B">
        <w:tc>
          <w:tcPr>
            <w:tcW w:w="473" w:type="dxa"/>
            <w:shd w:val="clear" w:color="auto" w:fill="auto"/>
          </w:tcPr>
          <w:p w14:paraId="52E2EFA2" w14:textId="77777777" w:rsidR="00AC60CD" w:rsidRPr="00FE3B0F" w:rsidRDefault="00AC60CD" w:rsidP="002301BA">
            <w:pPr>
              <w:jc w:val="both"/>
              <w:rPr>
                <w:rFonts w:ascii="Arial" w:hAnsi="Arial" w:cs="Arial"/>
                <w:bCs/>
                <w:sz w:val="22"/>
                <w:szCs w:val="22"/>
                <w:lang w:eastAsia="es-PE"/>
              </w:rPr>
            </w:pPr>
          </w:p>
        </w:tc>
        <w:tc>
          <w:tcPr>
            <w:tcW w:w="2823" w:type="dxa"/>
            <w:shd w:val="clear" w:color="auto" w:fill="auto"/>
          </w:tcPr>
          <w:p w14:paraId="670FF9E8" w14:textId="77777777" w:rsidR="00AC60CD" w:rsidRPr="00FE3B0F" w:rsidRDefault="00AC60CD" w:rsidP="002301BA">
            <w:pPr>
              <w:jc w:val="both"/>
              <w:rPr>
                <w:rFonts w:ascii="Arial" w:hAnsi="Arial" w:cs="Arial"/>
                <w:sz w:val="22"/>
                <w:szCs w:val="22"/>
                <w:lang w:eastAsia="es-PE"/>
              </w:rPr>
            </w:pPr>
          </w:p>
        </w:tc>
        <w:tc>
          <w:tcPr>
            <w:tcW w:w="283" w:type="dxa"/>
            <w:shd w:val="clear" w:color="auto" w:fill="auto"/>
          </w:tcPr>
          <w:p w14:paraId="6AF3343C" w14:textId="77777777" w:rsidR="00AC60CD" w:rsidRPr="00FE3B0F" w:rsidRDefault="00AC60CD" w:rsidP="002301BA">
            <w:pPr>
              <w:jc w:val="both"/>
              <w:rPr>
                <w:rFonts w:ascii="Arial" w:hAnsi="Arial" w:cs="Arial"/>
                <w:bCs/>
                <w:sz w:val="22"/>
                <w:szCs w:val="22"/>
                <w:lang w:eastAsia="es-PE"/>
              </w:rPr>
            </w:pPr>
          </w:p>
        </w:tc>
        <w:tc>
          <w:tcPr>
            <w:tcW w:w="4499" w:type="dxa"/>
            <w:shd w:val="clear" w:color="auto" w:fill="auto"/>
          </w:tcPr>
          <w:p w14:paraId="0F27E4C6" w14:textId="77777777" w:rsidR="00AC60CD" w:rsidRPr="00FE3B0F" w:rsidRDefault="00AC60CD" w:rsidP="002301BA">
            <w:pPr>
              <w:jc w:val="both"/>
              <w:rPr>
                <w:rFonts w:ascii="Arial" w:hAnsi="Arial" w:cs="Arial"/>
                <w:sz w:val="22"/>
                <w:szCs w:val="22"/>
                <w:shd w:val="clear" w:color="auto" w:fill="FFFFFF"/>
              </w:rPr>
            </w:pPr>
          </w:p>
        </w:tc>
      </w:tr>
      <w:tr w:rsidR="00AC60CD" w:rsidRPr="00FE3B0F" w14:paraId="4037B590" w14:textId="77777777" w:rsidTr="00E95C3B">
        <w:tc>
          <w:tcPr>
            <w:tcW w:w="473" w:type="dxa"/>
            <w:shd w:val="clear" w:color="auto" w:fill="auto"/>
          </w:tcPr>
          <w:p w14:paraId="3C2C4CD4"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k)</w:t>
            </w:r>
          </w:p>
        </w:tc>
        <w:tc>
          <w:tcPr>
            <w:tcW w:w="2823" w:type="dxa"/>
            <w:shd w:val="clear" w:color="auto" w:fill="auto"/>
          </w:tcPr>
          <w:p w14:paraId="0A8C3D1B" w14:textId="77777777" w:rsidR="00AC60CD" w:rsidRPr="00FE3B0F" w:rsidRDefault="00AC60CD" w:rsidP="002301BA">
            <w:pPr>
              <w:jc w:val="both"/>
              <w:rPr>
                <w:rFonts w:ascii="Arial" w:hAnsi="Arial" w:cs="Arial"/>
                <w:sz w:val="22"/>
                <w:szCs w:val="22"/>
                <w:lang w:eastAsia="es-PE"/>
              </w:rPr>
            </w:pPr>
            <w:r w:rsidRPr="00FE3B0F">
              <w:rPr>
                <w:rFonts w:ascii="Arial" w:hAnsi="Arial" w:cs="Arial"/>
                <w:sz w:val="22"/>
                <w:szCs w:val="22"/>
                <w:lang w:eastAsia="es-PE"/>
              </w:rPr>
              <w:t>Servicio Mis declaraciones y pagos</w:t>
            </w:r>
          </w:p>
          <w:p w14:paraId="4110F15A" w14:textId="77777777" w:rsidR="00AC60CD" w:rsidRPr="00FE3B0F" w:rsidRDefault="00AC60CD" w:rsidP="002301BA">
            <w:pPr>
              <w:jc w:val="both"/>
              <w:rPr>
                <w:rFonts w:ascii="Arial" w:hAnsi="Arial" w:cs="Arial"/>
                <w:sz w:val="22"/>
                <w:szCs w:val="22"/>
                <w:lang w:eastAsia="es-PE"/>
              </w:rPr>
            </w:pPr>
          </w:p>
        </w:tc>
        <w:tc>
          <w:tcPr>
            <w:tcW w:w="283" w:type="dxa"/>
            <w:shd w:val="clear" w:color="auto" w:fill="auto"/>
          </w:tcPr>
          <w:p w14:paraId="4207DA8B"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w:t>
            </w:r>
          </w:p>
        </w:tc>
        <w:tc>
          <w:tcPr>
            <w:tcW w:w="4499" w:type="dxa"/>
            <w:shd w:val="clear" w:color="auto" w:fill="auto"/>
          </w:tcPr>
          <w:p w14:paraId="4257DFF6"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 xml:space="preserve">Al creado mediante la Resolución de Superintendencia </w:t>
            </w:r>
            <w:proofErr w:type="spellStart"/>
            <w:r w:rsidRPr="00FE3B0F">
              <w:rPr>
                <w:rFonts w:ascii="Arial" w:hAnsi="Arial" w:cs="Arial"/>
                <w:bCs/>
                <w:sz w:val="22"/>
                <w:szCs w:val="22"/>
                <w:lang w:eastAsia="es-PE"/>
              </w:rPr>
              <w:t>N.°</w:t>
            </w:r>
            <w:proofErr w:type="spellEnd"/>
            <w:r w:rsidRPr="00FE3B0F">
              <w:rPr>
                <w:rFonts w:ascii="Arial" w:hAnsi="Arial" w:cs="Arial"/>
                <w:bCs/>
                <w:sz w:val="22"/>
                <w:szCs w:val="22"/>
                <w:lang w:eastAsia="es-PE"/>
              </w:rPr>
              <w:t xml:space="preserve"> 335-2017/SUNAT.</w:t>
            </w:r>
          </w:p>
        </w:tc>
      </w:tr>
      <w:tr w:rsidR="00AC60CD" w:rsidRPr="00FE3B0F" w14:paraId="0D476B33" w14:textId="77777777" w:rsidTr="00E95C3B">
        <w:tc>
          <w:tcPr>
            <w:tcW w:w="473" w:type="dxa"/>
            <w:shd w:val="clear" w:color="auto" w:fill="auto"/>
          </w:tcPr>
          <w:p w14:paraId="6311BDD8" w14:textId="77777777" w:rsidR="00AC60CD" w:rsidRPr="00FE3B0F" w:rsidRDefault="00AC60CD" w:rsidP="002301BA">
            <w:pPr>
              <w:jc w:val="both"/>
              <w:rPr>
                <w:rFonts w:ascii="Arial" w:hAnsi="Arial" w:cs="Arial"/>
                <w:bCs/>
                <w:sz w:val="22"/>
                <w:szCs w:val="22"/>
                <w:lang w:eastAsia="es-PE"/>
              </w:rPr>
            </w:pPr>
          </w:p>
        </w:tc>
        <w:tc>
          <w:tcPr>
            <w:tcW w:w="2823" w:type="dxa"/>
            <w:shd w:val="clear" w:color="auto" w:fill="auto"/>
          </w:tcPr>
          <w:p w14:paraId="3AACED86" w14:textId="77777777" w:rsidR="00AC60CD" w:rsidRPr="00FE3B0F" w:rsidRDefault="00AC60CD" w:rsidP="002301BA">
            <w:pPr>
              <w:jc w:val="both"/>
              <w:rPr>
                <w:rFonts w:ascii="Arial" w:hAnsi="Arial" w:cs="Arial"/>
                <w:sz w:val="22"/>
                <w:szCs w:val="22"/>
                <w:lang w:eastAsia="es-PE"/>
              </w:rPr>
            </w:pPr>
          </w:p>
        </w:tc>
        <w:tc>
          <w:tcPr>
            <w:tcW w:w="283" w:type="dxa"/>
            <w:shd w:val="clear" w:color="auto" w:fill="auto"/>
          </w:tcPr>
          <w:p w14:paraId="1720F04B" w14:textId="77777777" w:rsidR="00AC60CD" w:rsidRPr="00FE3B0F" w:rsidRDefault="00AC60CD" w:rsidP="002301BA">
            <w:pPr>
              <w:jc w:val="both"/>
              <w:rPr>
                <w:rFonts w:ascii="Arial" w:hAnsi="Arial" w:cs="Arial"/>
                <w:bCs/>
                <w:sz w:val="22"/>
                <w:szCs w:val="22"/>
                <w:lang w:eastAsia="es-PE"/>
              </w:rPr>
            </w:pPr>
          </w:p>
        </w:tc>
        <w:tc>
          <w:tcPr>
            <w:tcW w:w="4499" w:type="dxa"/>
            <w:shd w:val="clear" w:color="auto" w:fill="auto"/>
          </w:tcPr>
          <w:p w14:paraId="65AF3314" w14:textId="77777777" w:rsidR="00AC60CD" w:rsidRPr="00FE3B0F" w:rsidRDefault="00AC60CD" w:rsidP="002301BA">
            <w:pPr>
              <w:jc w:val="both"/>
              <w:rPr>
                <w:rFonts w:ascii="Arial" w:hAnsi="Arial" w:cs="Arial"/>
                <w:bCs/>
                <w:sz w:val="22"/>
                <w:szCs w:val="22"/>
                <w:lang w:eastAsia="es-PE"/>
              </w:rPr>
            </w:pPr>
          </w:p>
        </w:tc>
      </w:tr>
      <w:tr w:rsidR="00AC60CD" w:rsidRPr="00FE3B0F" w14:paraId="0FE771BF" w14:textId="77777777" w:rsidTr="00E95C3B">
        <w:tc>
          <w:tcPr>
            <w:tcW w:w="473" w:type="dxa"/>
            <w:shd w:val="clear" w:color="auto" w:fill="auto"/>
          </w:tcPr>
          <w:p w14:paraId="07E82A58"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l)</w:t>
            </w:r>
          </w:p>
        </w:tc>
        <w:tc>
          <w:tcPr>
            <w:tcW w:w="2823" w:type="dxa"/>
            <w:shd w:val="clear" w:color="auto" w:fill="auto"/>
          </w:tcPr>
          <w:p w14:paraId="70AD28E3" w14:textId="77777777" w:rsidR="00AC60CD" w:rsidRPr="00FE3B0F" w:rsidRDefault="00AC60CD" w:rsidP="002301BA">
            <w:pPr>
              <w:jc w:val="both"/>
              <w:rPr>
                <w:rFonts w:ascii="Arial" w:hAnsi="Arial" w:cs="Arial"/>
                <w:sz w:val="22"/>
                <w:szCs w:val="22"/>
                <w:lang w:eastAsia="es-PE"/>
              </w:rPr>
            </w:pPr>
            <w:r w:rsidRPr="00FE3B0F">
              <w:rPr>
                <w:rFonts w:ascii="Arial" w:hAnsi="Arial" w:cs="Arial"/>
                <w:sz w:val="22"/>
                <w:szCs w:val="22"/>
                <w:lang w:eastAsia="es-PE"/>
              </w:rPr>
              <w:t>SUNAT Operaciones en Línea</w:t>
            </w:r>
          </w:p>
        </w:tc>
        <w:tc>
          <w:tcPr>
            <w:tcW w:w="283" w:type="dxa"/>
            <w:shd w:val="clear" w:color="auto" w:fill="auto"/>
          </w:tcPr>
          <w:p w14:paraId="3E069223"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w:t>
            </w:r>
          </w:p>
        </w:tc>
        <w:tc>
          <w:tcPr>
            <w:tcW w:w="4499" w:type="dxa"/>
            <w:shd w:val="clear" w:color="auto" w:fill="auto"/>
          </w:tcPr>
          <w:p w14:paraId="1D21245B" w14:textId="77777777" w:rsidR="00AC60CD" w:rsidRPr="00FE3B0F" w:rsidRDefault="00AC60CD" w:rsidP="002301BA">
            <w:pPr>
              <w:jc w:val="both"/>
              <w:rPr>
                <w:rFonts w:ascii="Arial" w:hAnsi="Arial" w:cs="Arial"/>
                <w:sz w:val="22"/>
                <w:szCs w:val="22"/>
              </w:rPr>
            </w:pPr>
            <w:r w:rsidRPr="00FE3B0F">
              <w:rPr>
                <w:rFonts w:ascii="Arial" w:hAnsi="Arial" w:cs="Arial"/>
                <w:sz w:val="22"/>
                <w:szCs w:val="22"/>
              </w:rPr>
              <w:t xml:space="preserve">Al sistema informático regulado por la Resolución de Superintendencia </w:t>
            </w:r>
            <w:proofErr w:type="spellStart"/>
            <w:r w:rsidRPr="00FE3B0F">
              <w:rPr>
                <w:rFonts w:ascii="Arial" w:hAnsi="Arial" w:cs="Arial"/>
                <w:sz w:val="22"/>
                <w:szCs w:val="22"/>
              </w:rPr>
              <w:t>N.°</w:t>
            </w:r>
            <w:proofErr w:type="spellEnd"/>
            <w:r w:rsidRPr="00FE3B0F">
              <w:rPr>
                <w:rFonts w:ascii="Arial" w:hAnsi="Arial" w:cs="Arial"/>
                <w:sz w:val="22"/>
                <w:szCs w:val="22"/>
              </w:rPr>
              <w:t xml:space="preserve"> 109-2000/SUNAT que permite realizar operaciones en forma telemática entre el usuario y la SUNAT.</w:t>
            </w:r>
          </w:p>
          <w:p w14:paraId="1B7C7028" w14:textId="77777777" w:rsidR="00AC60CD" w:rsidRPr="00FE3B0F" w:rsidRDefault="00AC60CD" w:rsidP="002301BA">
            <w:pPr>
              <w:jc w:val="both"/>
              <w:rPr>
                <w:rFonts w:ascii="Arial" w:hAnsi="Arial" w:cs="Arial"/>
                <w:bCs/>
                <w:sz w:val="22"/>
                <w:szCs w:val="22"/>
                <w:lang w:eastAsia="es-PE"/>
              </w:rPr>
            </w:pPr>
          </w:p>
        </w:tc>
      </w:tr>
      <w:tr w:rsidR="00AC60CD" w:rsidRPr="00FE3B0F" w14:paraId="331FBAC0" w14:textId="77777777" w:rsidTr="00E95C3B">
        <w:trPr>
          <w:trHeight w:val="75"/>
        </w:trPr>
        <w:tc>
          <w:tcPr>
            <w:tcW w:w="473" w:type="dxa"/>
            <w:shd w:val="clear" w:color="auto" w:fill="auto"/>
          </w:tcPr>
          <w:p w14:paraId="3D035D3E" w14:textId="77777777" w:rsidR="00AC60CD" w:rsidRPr="00FE3B0F" w:rsidRDefault="00AC60CD" w:rsidP="002301BA">
            <w:pPr>
              <w:jc w:val="both"/>
              <w:rPr>
                <w:rFonts w:ascii="Arial" w:hAnsi="Arial" w:cs="Arial"/>
                <w:bCs/>
                <w:sz w:val="22"/>
                <w:szCs w:val="22"/>
                <w:lang w:eastAsia="es-PE"/>
              </w:rPr>
            </w:pPr>
            <w:r w:rsidRPr="00FE3B0F">
              <w:rPr>
                <w:rFonts w:ascii="Arial" w:hAnsi="Arial" w:cs="Arial"/>
                <w:bCs/>
                <w:sz w:val="22"/>
                <w:szCs w:val="22"/>
                <w:lang w:eastAsia="es-PE"/>
              </w:rPr>
              <w:t>m)</w:t>
            </w:r>
          </w:p>
        </w:tc>
        <w:tc>
          <w:tcPr>
            <w:tcW w:w="2823" w:type="dxa"/>
            <w:shd w:val="clear" w:color="auto" w:fill="auto"/>
          </w:tcPr>
          <w:p w14:paraId="451CD77C" w14:textId="77777777" w:rsidR="00AC60CD" w:rsidRPr="00FE3B0F" w:rsidRDefault="00AC60CD" w:rsidP="002301BA">
            <w:pPr>
              <w:jc w:val="both"/>
              <w:rPr>
                <w:rFonts w:ascii="Arial" w:hAnsi="Arial" w:cs="Arial"/>
                <w:strike/>
                <w:sz w:val="22"/>
                <w:szCs w:val="22"/>
                <w:lang w:eastAsia="es-PE"/>
              </w:rPr>
            </w:pPr>
            <w:r w:rsidRPr="00FE3B0F">
              <w:rPr>
                <w:rFonts w:ascii="Arial" w:hAnsi="Arial" w:cs="Arial"/>
                <w:sz w:val="22"/>
                <w:szCs w:val="22"/>
                <w:lang w:eastAsia="es-PE"/>
              </w:rPr>
              <w:t xml:space="preserve">SUNAT Virtual  </w:t>
            </w:r>
          </w:p>
        </w:tc>
        <w:tc>
          <w:tcPr>
            <w:tcW w:w="283" w:type="dxa"/>
            <w:shd w:val="clear" w:color="auto" w:fill="auto"/>
          </w:tcPr>
          <w:p w14:paraId="7E838037" w14:textId="77777777" w:rsidR="00AC60CD" w:rsidRPr="00FE3B0F" w:rsidRDefault="00AC60CD" w:rsidP="002301BA">
            <w:pPr>
              <w:jc w:val="both"/>
              <w:rPr>
                <w:rFonts w:ascii="Arial" w:hAnsi="Arial" w:cs="Arial"/>
                <w:bCs/>
                <w:strike/>
                <w:sz w:val="22"/>
                <w:szCs w:val="22"/>
                <w:lang w:eastAsia="es-PE"/>
              </w:rPr>
            </w:pPr>
            <w:r w:rsidRPr="00FE3B0F">
              <w:rPr>
                <w:rFonts w:ascii="Arial" w:hAnsi="Arial" w:cs="Arial"/>
                <w:bCs/>
                <w:sz w:val="22"/>
                <w:szCs w:val="22"/>
                <w:lang w:eastAsia="es-PE"/>
              </w:rPr>
              <w:t>:</w:t>
            </w:r>
          </w:p>
        </w:tc>
        <w:tc>
          <w:tcPr>
            <w:tcW w:w="4499" w:type="dxa"/>
            <w:shd w:val="clear" w:color="auto" w:fill="auto"/>
          </w:tcPr>
          <w:p w14:paraId="15DACBD3" w14:textId="77777777" w:rsidR="00AC60CD" w:rsidRPr="00FE3B0F" w:rsidRDefault="00AC60CD" w:rsidP="002301BA">
            <w:pPr>
              <w:jc w:val="both"/>
              <w:rPr>
                <w:rStyle w:val="Hipervnculo"/>
                <w:color w:val="auto"/>
                <w:sz w:val="22"/>
                <w:szCs w:val="22"/>
              </w:rPr>
            </w:pPr>
            <w:r w:rsidRPr="00FE3B0F">
              <w:rPr>
                <w:rFonts w:ascii="Arial" w:hAnsi="Arial" w:cs="Arial"/>
                <w:sz w:val="22"/>
                <w:szCs w:val="22"/>
              </w:rPr>
              <w:t>Al portal de la SUNAT en la Internet, cuya dirección es http://www.sunat.gob.pe.”</w:t>
            </w:r>
          </w:p>
          <w:p w14:paraId="05CA0B4A" w14:textId="77777777" w:rsidR="00AC60CD" w:rsidRPr="00FE3B0F" w:rsidRDefault="00AC60CD" w:rsidP="002301BA">
            <w:pPr>
              <w:jc w:val="both"/>
              <w:rPr>
                <w:rFonts w:ascii="Arial" w:hAnsi="Arial" w:cs="Arial"/>
                <w:strike/>
                <w:sz w:val="22"/>
                <w:szCs w:val="22"/>
              </w:rPr>
            </w:pPr>
          </w:p>
        </w:tc>
      </w:tr>
    </w:tbl>
    <w:p w14:paraId="634C194F" w14:textId="77777777" w:rsidR="00AC60CD" w:rsidRPr="00FE3B0F" w:rsidRDefault="00AC60CD" w:rsidP="00AC60CD">
      <w:pPr>
        <w:jc w:val="both"/>
        <w:rPr>
          <w:rFonts w:ascii="Arial" w:hAnsi="Arial" w:cs="Arial"/>
          <w:b/>
          <w:sz w:val="22"/>
          <w:szCs w:val="22"/>
          <w:lang w:eastAsia="es-PE"/>
        </w:rPr>
      </w:pPr>
      <w:r w:rsidRPr="00FE3B0F">
        <w:rPr>
          <w:rFonts w:ascii="Arial" w:hAnsi="Arial" w:cs="Arial"/>
          <w:b/>
          <w:sz w:val="22"/>
          <w:szCs w:val="22"/>
          <w:lang w:eastAsia="es-PE"/>
        </w:rPr>
        <w:t>Artículo 4. Sustitución del anexo</w:t>
      </w:r>
    </w:p>
    <w:p w14:paraId="7973E96D" w14:textId="77777777" w:rsidR="00AC60CD" w:rsidRPr="00FE3B0F" w:rsidRDefault="00AC60CD" w:rsidP="00AC60CD">
      <w:pPr>
        <w:jc w:val="both"/>
        <w:rPr>
          <w:rFonts w:ascii="Arial" w:hAnsi="Arial" w:cs="Arial"/>
          <w:b/>
          <w:sz w:val="22"/>
          <w:szCs w:val="22"/>
          <w:lang w:eastAsia="es-PE"/>
        </w:rPr>
      </w:pPr>
    </w:p>
    <w:p w14:paraId="6ECEF2DB" w14:textId="77777777" w:rsidR="00AC60CD" w:rsidRPr="00FE3B0F" w:rsidRDefault="00AC60CD" w:rsidP="00AC60CD">
      <w:pPr>
        <w:jc w:val="both"/>
        <w:rPr>
          <w:rFonts w:ascii="Arial" w:hAnsi="Arial" w:cs="Arial"/>
          <w:sz w:val="22"/>
          <w:szCs w:val="22"/>
          <w:lang w:eastAsia="es-PE"/>
        </w:rPr>
      </w:pPr>
      <w:r w:rsidRPr="00FE3B0F">
        <w:rPr>
          <w:rFonts w:ascii="Arial" w:hAnsi="Arial" w:cs="Arial"/>
          <w:sz w:val="22"/>
          <w:szCs w:val="22"/>
          <w:lang w:eastAsia="es-PE"/>
        </w:rPr>
        <w:t>Sustitúyase el anexo de la resolución, de acuerdo con el anexo de la presente resolución.</w:t>
      </w:r>
    </w:p>
    <w:p w14:paraId="1447A9EE" w14:textId="77777777" w:rsidR="00AC60CD" w:rsidRPr="00FE3B0F" w:rsidRDefault="00AC60CD" w:rsidP="00AC60CD">
      <w:pPr>
        <w:jc w:val="both"/>
        <w:rPr>
          <w:rFonts w:ascii="Arial" w:hAnsi="Arial" w:cs="Arial"/>
          <w:bCs/>
          <w:sz w:val="22"/>
          <w:szCs w:val="22"/>
          <w:lang w:eastAsia="es-PE"/>
        </w:rPr>
      </w:pPr>
    </w:p>
    <w:p w14:paraId="1C4ED85E" w14:textId="77777777" w:rsidR="00AC60CD" w:rsidRPr="00FE3B0F" w:rsidRDefault="00AC60CD" w:rsidP="00AC60CD">
      <w:pPr>
        <w:contextualSpacing/>
        <w:jc w:val="center"/>
        <w:rPr>
          <w:rFonts w:ascii="Arial" w:eastAsia="Calibri" w:hAnsi="Arial" w:cs="Arial"/>
          <w:b/>
          <w:bCs/>
          <w:sz w:val="22"/>
          <w:szCs w:val="22"/>
          <w:lang w:eastAsia="es-PE"/>
        </w:rPr>
      </w:pPr>
      <w:r w:rsidRPr="00FE3B0F">
        <w:rPr>
          <w:rFonts w:ascii="Arial" w:eastAsia="Calibri" w:hAnsi="Arial" w:cs="Arial"/>
          <w:b/>
          <w:bCs/>
          <w:sz w:val="22"/>
          <w:szCs w:val="22"/>
          <w:lang w:eastAsia="es-PE"/>
        </w:rPr>
        <w:lastRenderedPageBreak/>
        <w:t>DISPOSICIÓN COMPLEMENTARIA FINAL</w:t>
      </w:r>
    </w:p>
    <w:p w14:paraId="17CF5DE0" w14:textId="77777777" w:rsidR="00AC60CD" w:rsidRPr="00FE3B0F" w:rsidRDefault="00AC60CD" w:rsidP="00AC60CD">
      <w:pPr>
        <w:jc w:val="both"/>
        <w:rPr>
          <w:rFonts w:ascii="Arial" w:eastAsia="Calibri" w:hAnsi="Arial" w:cs="Arial"/>
          <w:bCs/>
          <w:sz w:val="22"/>
          <w:szCs w:val="22"/>
          <w:lang w:eastAsia="es-PE"/>
        </w:rPr>
      </w:pPr>
    </w:p>
    <w:p w14:paraId="0951180B" w14:textId="77777777" w:rsidR="00AC60CD" w:rsidRPr="00FE3B0F" w:rsidRDefault="00AC60CD" w:rsidP="00AC60CD">
      <w:pPr>
        <w:jc w:val="both"/>
        <w:rPr>
          <w:rFonts w:ascii="Arial" w:eastAsia="Calibri" w:hAnsi="Arial" w:cs="Arial"/>
          <w:b/>
          <w:bCs/>
          <w:sz w:val="22"/>
          <w:szCs w:val="22"/>
          <w:lang w:eastAsia="es-PE"/>
        </w:rPr>
      </w:pPr>
      <w:r w:rsidRPr="00FE3B0F">
        <w:rPr>
          <w:rFonts w:ascii="Arial" w:hAnsi="Arial" w:cs="Arial"/>
          <w:b/>
          <w:bCs/>
          <w:sz w:val="22"/>
          <w:szCs w:val="22"/>
          <w:shd w:val="clear" w:color="auto" w:fill="FFFFFF"/>
        </w:rPr>
        <w:t>Única. VIGENCIA</w:t>
      </w:r>
      <w:r w:rsidRPr="00FE3B0F">
        <w:rPr>
          <w:rFonts w:ascii="Arial" w:eastAsia="Calibri" w:hAnsi="Arial" w:cs="Arial"/>
          <w:b/>
          <w:bCs/>
          <w:sz w:val="22"/>
          <w:szCs w:val="22"/>
          <w:lang w:eastAsia="es-PE"/>
        </w:rPr>
        <w:t xml:space="preserve"> </w:t>
      </w:r>
    </w:p>
    <w:p w14:paraId="07142448" w14:textId="77777777" w:rsidR="00AC60CD" w:rsidRPr="00FE3B0F" w:rsidRDefault="00AC60CD" w:rsidP="00AC60CD">
      <w:pPr>
        <w:jc w:val="both"/>
        <w:rPr>
          <w:rFonts w:ascii="Arial" w:hAnsi="Arial" w:cs="Arial"/>
          <w:bCs/>
          <w:sz w:val="22"/>
          <w:szCs w:val="22"/>
          <w:lang w:val="es-PE"/>
        </w:rPr>
      </w:pPr>
    </w:p>
    <w:p w14:paraId="2AC0A02B" w14:textId="77777777" w:rsidR="00AC60CD" w:rsidRPr="00FE3B0F" w:rsidRDefault="00AC60CD" w:rsidP="00AC60CD">
      <w:pPr>
        <w:jc w:val="both"/>
        <w:rPr>
          <w:rFonts w:ascii="Arial" w:hAnsi="Arial" w:cs="Arial"/>
          <w:bCs/>
          <w:sz w:val="22"/>
          <w:szCs w:val="22"/>
          <w:lang w:val="es-PE"/>
        </w:rPr>
      </w:pPr>
      <w:r w:rsidRPr="00FE3B0F">
        <w:rPr>
          <w:rFonts w:ascii="Arial" w:hAnsi="Arial" w:cs="Arial"/>
          <w:bCs/>
          <w:sz w:val="22"/>
          <w:szCs w:val="22"/>
          <w:lang w:val="es-PE"/>
        </w:rPr>
        <w:t xml:space="preserve">La presente resolución </w:t>
      </w:r>
      <w:proofErr w:type="gramStart"/>
      <w:r w:rsidRPr="00FE3B0F">
        <w:rPr>
          <w:rFonts w:ascii="Arial" w:hAnsi="Arial" w:cs="Arial"/>
          <w:bCs/>
          <w:sz w:val="22"/>
          <w:szCs w:val="22"/>
          <w:lang w:val="es-PE"/>
        </w:rPr>
        <w:t>entra en vigencia</w:t>
      </w:r>
      <w:proofErr w:type="gramEnd"/>
      <w:r w:rsidRPr="00FE3B0F">
        <w:rPr>
          <w:rFonts w:ascii="Arial" w:hAnsi="Arial" w:cs="Arial"/>
          <w:bCs/>
          <w:sz w:val="22"/>
          <w:szCs w:val="22"/>
          <w:lang w:val="es-PE"/>
        </w:rPr>
        <w:t xml:space="preserve"> a partir del día siguiente de su publicación en el Diario Oficial “El Peruano”.</w:t>
      </w:r>
    </w:p>
    <w:p w14:paraId="3ACD6C6F" w14:textId="77777777" w:rsidR="00AC60CD" w:rsidRPr="00FE3B0F" w:rsidRDefault="00AC60CD" w:rsidP="00AC60CD">
      <w:pPr>
        <w:jc w:val="both"/>
        <w:rPr>
          <w:rFonts w:ascii="Arial" w:hAnsi="Arial" w:cs="Arial"/>
          <w:bCs/>
          <w:sz w:val="22"/>
          <w:szCs w:val="22"/>
          <w:lang w:val="es-PE"/>
        </w:rPr>
      </w:pPr>
    </w:p>
    <w:p w14:paraId="75C5BDDB" w14:textId="77777777" w:rsidR="00AC60CD" w:rsidRPr="00593820" w:rsidRDefault="00AC60CD" w:rsidP="00AC60CD">
      <w:pPr>
        <w:jc w:val="both"/>
        <w:rPr>
          <w:rFonts w:ascii="Arial" w:hAnsi="Arial" w:cs="Arial"/>
          <w:bCs/>
          <w:sz w:val="22"/>
          <w:szCs w:val="22"/>
          <w:lang w:val="es-PE"/>
        </w:rPr>
      </w:pPr>
      <w:r w:rsidRPr="00FE3B0F">
        <w:rPr>
          <w:rFonts w:ascii="Arial" w:hAnsi="Arial" w:cs="Arial"/>
          <w:bCs/>
          <w:sz w:val="22"/>
          <w:szCs w:val="22"/>
          <w:lang w:val="es-PE"/>
        </w:rPr>
        <w:t>Regístrese, comuníquese y publíquese.</w:t>
      </w:r>
    </w:p>
    <w:bookmarkEnd w:id="0"/>
    <w:p w14:paraId="3E116B1A" w14:textId="77777777" w:rsidR="00D90AEF" w:rsidRDefault="00647FEA"/>
    <w:sectPr w:rsidR="00D90AEF" w:rsidSect="00AC60CD">
      <w:pgSz w:w="11906" w:h="16838"/>
      <w:pgMar w:top="4536"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66C65"/>
    <w:multiLevelType w:val="hybridMultilevel"/>
    <w:tmpl w:val="C204B064"/>
    <w:lvl w:ilvl="0" w:tplc="280A0017">
      <w:start w:val="1"/>
      <w:numFmt w:val="lowerLetter"/>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 w15:restartNumberingAfterBreak="0">
    <w:nsid w:val="06F346A9"/>
    <w:multiLevelType w:val="hybridMultilevel"/>
    <w:tmpl w:val="ECA87ED4"/>
    <w:lvl w:ilvl="0" w:tplc="98E64C0E">
      <w:start w:val="1"/>
      <w:numFmt w:val="lowerRoman"/>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2" w15:restartNumberingAfterBreak="0">
    <w:nsid w:val="070E6473"/>
    <w:multiLevelType w:val="hybridMultilevel"/>
    <w:tmpl w:val="E812AC3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2995361"/>
    <w:multiLevelType w:val="hybridMultilevel"/>
    <w:tmpl w:val="3C5C044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4B30257"/>
    <w:multiLevelType w:val="hybridMultilevel"/>
    <w:tmpl w:val="C442A542"/>
    <w:lvl w:ilvl="0" w:tplc="FF8E6EB0">
      <w:start w:val="1"/>
      <w:numFmt w:val="bullet"/>
      <w:lvlText w:val="-"/>
      <w:lvlJc w:val="left"/>
      <w:pPr>
        <w:ind w:left="720" w:hanging="360"/>
      </w:pPr>
      <w:rPr>
        <w:rFonts w:ascii="Times New Roman" w:eastAsia="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6563491B"/>
    <w:multiLevelType w:val="hybridMultilevel"/>
    <w:tmpl w:val="E4BA7AC6"/>
    <w:lvl w:ilvl="0" w:tplc="280A0017">
      <w:start w:val="1"/>
      <w:numFmt w:val="lowerLetter"/>
      <w:lvlText w:val="%1)"/>
      <w:lvlJc w:val="left"/>
      <w:pPr>
        <w:ind w:left="360" w:hanging="360"/>
      </w:pPr>
      <w:rPr>
        <w:rFonts w:hint="default"/>
      </w:rPr>
    </w:lvl>
    <w:lvl w:ilvl="1" w:tplc="3AEE0564">
      <w:start w:val="1"/>
      <w:numFmt w:val="decimal"/>
      <w:lvlText w:val="%2)"/>
      <w:lvlJc w:val="left"/>
      <w:pPr>
        <w:ind w:left="1080" w:hanging="360"/>
      </w:pPr>
      <w:rPr>
        <w:rFonts w:hint="default"/>
      </w:rPr>
    </w:lvl>
    <w:lvl w:ilvl="2" w:tplc="6ECE44D4">
      <w:numFmt w:val="bullet"/>
      <w:lvlText w:val="-"/>
      <w:lvlJc w:val="left"/>
      <w:pPr>
        <w:ind w:left="1980" w:hanging="360"/>
      </w:pPr>
      <w:rPr>
        <w:rFonts w:ascii="Arial" w:eastAsiaTheme="minorHAnsi" w:hAnsi="Arial" w:cs="Arial" w:hint="default"/>
      </w:r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15:restartNumberingAfterBreak="0">
    <w:nsid w:val="78F36569"/>
    <w:multiLevelType w:val="hybridMultilevel"/>
    <w:tmpl w:val="4DCE3E10"/>
    <w:lvl w:ilvl="0" w:tplc="98E64C0E">
      <w:start w:val="1"/>
      <w:numFmt w:val="lowerRoman"/>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0CD"/>
    <w:rsid w:val="00090615"/>
    <w:rsid w:val="000B49BB"/>
    <w:rsid w:val="0021768C"/>
    <w:rsid w:val="00256C51"/>
    <w:rsid w:val="002C33CD"/>
    <w:rsid w:val="002E67C0"/>
    <w:rsid w:val="003B7774"/>
    <w:rsid w:val="003E6445"/>
    <w:rsid w:val="00473E25"/>
    <w:rsid w:val="005B3130"/>
    <w:rsid w:val="006020C4"/>
    <w:rsid w:val="00647FEA"/>
    <w:rsid w:val="006A6AA8"/>
    <w:rsid w:val="007E047C"/>
    <w:rsid w:val="008364B4"/>
    <w:rsid w:val="008A5AD5"/>
    <w:rsid w:val="008E13FF"/>
    <w:rsid w:val="008E261B"/>
    <w:rsid w:val="00AC60CD"/>
    <w:rsid w:val="00DD52F6"/>
    <w:rsid w:val="00E95C3B"/>
    <w:rsid w:val="00F93D0B"/>
    <w:rsid w:val="00FE3B0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B6C5C"/>
  <w15:chartTrackingRefBased/>
  <w15:docId w15:val="{8691A30B-8738-4EB3-9B4B-63E21D2D2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0CD"/>
    <w:pPr>
      <w:spacing w:after="0" w:line="240" w:lineRule="auto"/>
    </w:pPr>
    <w:rPr>
      <w:rFonts w:ascii="Times New Roman" w:eastAsia="Times New Roman" w:hAnsi="Times New Roman" w:cs="Times New Roman"/>
      <w:sz w:val="24"/>
      <w:szCs w:val="24"/>
      <w:lang w:val="es-ES" w:eastAsia="es-ES"/>
    </w:rPr>
  </w:style>
  <w:style w:type="paragraph" w:styleId="Ttulo5">
    <w:name w:val="heading 5"/>
    <w:basedOn w:val="Normal"/>
    <w:next w:val="Normal"/>
    <w:link w:val="Ttulo5Car"/>
    <w:qFormat/>
    <w:rsid w:val="00AC60CD"/>
    <w:pPr>
      <w:keepNext/>
      <w:jc w:val="center"/>
      <w:outlineLvl w:val="4"/>
    </w:pPr>
    <w:rPr>
      <w:rFonts w:ascii="Arial" w:hAnsi="Arial" w:cs="Arial"/>
      <w:b/>
      <w:bCs/>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basedOn w:val="Fuentedeprrafopredeter"/>
    <w:link w:val="Ttulo5"/>
    <w:rsid w:val="00AC60CD"/>
    <w:rPr>
      <w:rFonts w:ascii="Arial" w:eastAsia="Times New Roman" w:hAnsi="Arial" w:cs="Arial"/>
      <w:b/>
      <w:bCs/>
      <w:szCs w:val="24"/>
      <w:lang w:val="es-ES" w:eastAsia="es-ES"/>
    </w:rPr>
  </w:style>
  <w:style w:type="paragraph" w:styleId="Textoindependiente">
    <w:name w:val="Body Text"/>
    <w:basedOn w:val="Normal"/>
    <w:link w:val="TextoindependienteCar"/>
    <w:semiHidden/>
    <w:rsid w:val="00AC60CD"/>
    <w:pPr>
      <w:jc w:val="center"/>
    </w:pPr>
    <w:rPr>
      <w:rFonts w:ascii="Arial" w:hAnsi="Arial" w:cs="Arial"/>
      <w:b/>
      <w:color w:val="000000"/>
      <w:sz w:val="22"/>
      <w:szCs w:val="20"/>
    </w:rPr>
  </w:style>
  <w:style w:type="character" w:customStyle="1" w:styleId="TextoindependienteCar">
    <w:name w:val="Texto independiente Car"/>
    <w:basedOn w:val="Fuentedeprrafopredeter"/>
    <w:link w:val="Textoindependiente"/>
    <w:semiHidden/>
    <w:rsid w:val="00AC60CD"/>
    <w:rPr>
      <w:rFonts w:ascii="Arial" w:eastAsia="Times New Roman" w:hAnsi="Arial" w:cs="Arial"/>
      <w:b/>
      <w:color w:val="000000"/>
      <w:szCs w:val="20"/>
      <w:lang w:val="es-ES" w:eastAsia="es-ES"/>
    </w:rPr>
  </w:style>
  <w:style w:type="character" w:styleId="Hipervnculo">
    <w:name w:val="Hyperlink"/>
    <w:uiPriority w:val="99"/>
    <w:rsid w:val="00AC60CD"/>
    <w:rPr>
      <w:color w:val="0000FF"/>
      <w:u w:val="single"/>
    </w:rPr>
  </w:style>
  <w:style w:type="character" w:styleId="Refdecomentario">
    <w:name w:val="annotation reference"/>
    <w:semiHidden/>
    <w:rsid w:val="00AC60CD"/>
    <w:rPr>
      <w:sz w:val="16"/>
      <w:szCs w:val="16"/>
    </w:rPr>
  </w:style>
  <w:style w:type="paragraph" w:styleId="Textocomentario">
    <w:name w:val="annotation text"/>
    <w:basedOn w:val="Normal"/>
    <w:link w:val="TextocomentarioCar"/>
    <w:semiHidden/>
    <w:rsid w:val="00AC60CD"/>
    <w:rPr>
      <w:sz w:val="20"/>
      <w:szCs w:val="20"/>
    </w:rPr>
  </w:style>
  <w:style w:type="character" w:customStyle="1" w:styleId="TextocomentarioCar">
    <w:name w:val="Texto comentario Car"/>
    <w:basedOn w:val="Fuentedeprrafopredeter"/>
    <w:link w:val="Textocomentario"/>
    <w:semiHidden/>
    <w:rsid w:val="00AC60CD"/>
    <w:rPr>
      <w:rFonts w:ascii="Times New Roman" w:eastAsia="Times New Roman" w:hAnsi="Times New Roman" w:cs="Times New Roman"/>
      <w:sz w:val="20"/>
      <w:szCs w:val="20"/>
      <w:lang w:val="es-ES" w:eastAsia="es-ES"/>
    </w:rPr>
  </w:style>
  <w:style w:type="paragraph" w:styleId="Sangra2detindependiente">
    <w:name w:val="Body Text Indent 2"/>
    <w:basedOn w:val="Normal"/>
    <w:link w:val="Sangra2detindependienteCar"/>
    <w:semiHidden/>
    <w:rsid w:val="00AC60CD"/>
    <w:pPr>
      <w:ind w:firstLine="540"/>
      <w:jc w:val="both"/>
    </w:pPr>
    <w:rPr>
      <w:rFonts w:ascii="Arial" w:hAnsi="Arial" w:cs="Arial"/>
      <w:sz w:val="22"/>
    </w:rPr>
  </w:style>
  <w:style w:type="character" w:customStyle="1" w:styleId="Sangra2detindependienteCar">
    <w:name w:val="Sangría 2 de t. independiente Car"/>
    <w:basedOn w:val="Fuentedeprrafopredeter"/>
    <w:link w:val="Sangra2detindependiente"/>
    <w:semiHidden/>
    <w:rsid w:val="00AC60CD"/>
    <w:rPr>
      <w:rFonts w:ascii="Arial" w:eastAsia="Times New Roman" w:hAnsi="Arial" w:cs="Arial"/>
      <w:szCs w:val="24"/>
      <w:lang w:val="es-ES" w:eastAsia="es-ES"/>
    </w:rPr>
  </w:style>
  <w:style w:type="paragraph" w:styleId="NormalWeb">
    <w:name w:val="Normal (Web)"/>
    <w:basedOn w:val="Normal"/>
    <w:uiPriority w:val="99"/>
    <w:rsid w:val="00AC60CD"/>
    <w:pPr>
      <w:spacing w:before="100" w:beforeAutospacing="1" w:after="100" w:afterAutospacing="1"/>
    </w:pPr>
    <w:rPr>
      <w:rFonts w:ascii="Arial Unicode MS" w:eastAsia="Arial Unicode MS" w:hAnsi="Arial Unicode MS" w:cs="Arial Unicode MS"/>
    </w:rPr>
  </w:style>
  <w:style w:type="paragraph" w:styleId="Prrafodelista">
    <w:name w:val="List Paragraph"/>
    <w:aliases w:val="Titulo de Fígura,TITULO A,Titulo parrafo,3,Iz - Párrafo de lista,Sivsa Parrafo"/>
    <w:basedOn w:val="Normal"/>
    <w:link w:val="PrrafodelistaCar"/>
    <w:uiPriority w:val="34"/>
    <w:qFormat/>
    <w:rsid w:val="00AC60CD"/>
    <w:pPr>
      <w:ind w:left="708"/>
    </w:pPr>
  </w:style>
  <w:style w:type="character" w:customStyle="1" w:styleId="PrrafodelistaCar">
    <w:name w:val="Párrafo de lista Car"/>
    <w:aliases w:val="Titulo de Fígura Car,TITULO A Car,Titulo parrafo Car,3 Car,Iz - Párrafo de lista Car,Sivsa Parrafo Car"/>
    <w:link w:val="Prrafodelista"/>
    <w:uiPriority w:val="34"/>
    <w:rsid w:val="00AC60CD"/>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AC60C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60CD"/>
    <w:rPr>
      <w:rFonts w:ascii="Segoe UI" w:eastAsia="Times New Roman" w:hAnsi="Segoe UI" w:cs="Segoe UI"/>
      <w:sz w:val="18"/>
      <w:szCs w:val="18"/>
      <w:lang w:val="es-ES" w:eastAsia="es-ES"/>
    </w:rPr>
  </w:style>
  <w:style w:type="paragraph" w:styleId="Asuntodelcomentario">
    <w:name w:val="annotation subject"/>
    <w:basedOn w:val="Textocomentario"/>
    <w:next w:val="Textocomentario"/>
    <w:link w:val="AsuntodelcomentarioCar"/>
    <w:uiPriority w:val="99"/>
    <w:semiHidden/>
    <w:unhideWhenUsed/>
    <w:rsid w:val="008E261B"/>
    <w:rPr>
      <w:b/>
      <w:bCs/>
    </w:rPr>
  </w:style>
  <w:style w:type="character" w:customStyle="1" w:styleId="AsuntodelcomentarioCar">
    <w:name w:val="Asunto del comentario Car"/>
    <w:basedOn w:val="TextocomentarioCar"/>
    <w:link w:val="Asuntodelcomentario"/>
    <w:uiPriority w:val="99"/>
    <w:semiHidden/>
    <w:rsid w:val="008E261B"/>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6934</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SUNAT</dc:creator>
  <cp:keywords/>
  <dc:description/>
  <cp:lastModifiedBy>Soto Zevallos Luis Enrique</cp:lastModifiedBy>
  <cp:revision>2</cp:revision>
  <dcterms:created xsi:type="dcterms:W3CDTF">2022-02-23T00:30:00Z</dcterms:created>
  <dcterms:modified xsi:type="dcterms:W3CDTF">2022-02-23T00:30:00Z</dcterms:modified>
</cp:coreProperties>
</file>