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3D4DD" w14:textId="0D47CD5E" w:rsidR="00C06F6D" w:rsidRPr="0099058D" w:rsidRDefault="00C06F6D" w:rsidP="00F66665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99058D">
        <w:rPr>
          <w:rFonts w:ascii="Arial" w:hAnsi="Arial" w:cs="Arial"/>
          <w:b/>
        </w:rPr>
        <w:t>N.°</w:t>
      </w:r>
      <w:proofErr w:type="spellEnd"/>
      <w:r w:rsidRPr="0099058D">
        <w:rPr>
          <w:rFonts w:ascii="Arial" w:hAnsi="Arial" w:cs="Arial"/>
          <w:b/>
        </w:rPr>
        <w:t xml:space="preserve">    </w:t>
      </w:r>
      <w:r w:rsidR="00996696" w:rsidRPr="0099058D">
        <w:rPr>
          <w:rFonts w:ascii="Arial" w:hAnsi="Arial" w:cs="Arial"/>
          <w:b/>
        </w:rPr>
        <w:t xml:space="preserve">  </w:t>
      </w:r>
      <w:r w:rsidRPr="0099058D">
        <w:rPr>
          <w:rFonts w:ascii="Arial" w:hAnsi="Arial" w:cs="Arial"/>
          <w:b/>
        </w:rPr>
        <w:t xml:space="preserve">   -20</w:t>
      </w:r>
      <w:r w:rsidR="00CD4FC7" w:rsidRPr="0099058D">
        <w:rPr>
          <w:rFonts w:ascii="Arial" w:hAnsi="Arial" w:cs="Arial"/>
          <w:b/>
        </w:rPr>
        <w:t>2</w:t>
      </w:r>
      <w:r w:rsidR="00DC4E0C" w:rsidRPr="0099058D">
        <w:rPr>
          <w:rFonts w:ascii="Arial" w:hAnsi="Arial" w:cs="Arial"/>
          <w:b/>
        </w:rPr>
        <w:t>2</w:t>
      </w:r>
      <w:r w:rsidRPr="0099058D">
        <w:rPr>
          <w:rFonts w:ascii="Arial" w:hAnsi="Arial" w:cs="Arial"/>
          <w:b/>
        </w:rPr>
        <w:t>/SUNAT</w:t>
      </w:r>
    </w:p>
    <w:p w14:paraId="689A020B" w14:textId="77777777" w:rsidR="00336A33" w:rsidRPr="0099058D" w:rsidRDefault="00336A33" w:rsidP="00F66665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7606BE43" w14:textId="04F01B98" w:rsidR="00DC4E0C" w:rsidRPr="0099058D" w:rsidRDefault="00117DDB" w:rsidP="00F6666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PROYECTO DE </w:t>
      </w:r>
      <w:r w:rsidR="00E76F42" w:rsidRPr="000463A0">
        <w:rPr>
          <w:rFonts w:ascii="Arial" w:hAnsi="Arial" w:cs="Arial"/>
          <w:b/>
        </w:rPr>
        <w:t xml:space="preserve">RESOLUCIÓN DE SUPERINTENDENCIA QUE </w:t>
      </w:r>
      <w:r w:rsidR="00B0660F" w:rsidRPr="000463A0">
        <w:rPr>
          <w:rFonts w:ascii="Arial" w:hAnsi="Arial" w:cs="Arial"/>
          <w:b/>
        </w:rPr>
        <w:t xml:space="preserve">ESTABLECE </w:t>
      </w:r>
      <w:r w:rsidR="003A74D8" w:rsidRPr="000463A0">
        <w:rPr>
          <w:rFonts w:ascii="Arial" w:hAnsi="Arial" w:cs="Arial"/>
          <w:b/>
        </w:rPr>
        <w:t xml:space="preserve">LOS </w:t>
      </w:r>
      <w:r w:rsidR="003D6917" w:rsidRPr="000463A0">
        <w:rPr>
          <w:rFonts w:ascii="Arial" w:hAnsi="Arial" w:cs="Arial"/>
          <w:b/>
        </w:rPr>
        <w:t xml:space="preserve">SUJETOS QUE DEBEN </w:t>
      </w:r>
      <w:r w:rsidR="007A5641" w:rsidRPr="000463A0">
        <w:rPr>
          <w:rFonts w:ascii="Arial" w:hAnsi="Arial" w:cs="Arial"/>
          <w:b/>
        </w:rPr>
        <w:t xml:space="preserve">PRESENTAR LA DECLARACIÓN DEL BENEFICIARIO FINAL EN </w:t>
      </w:r>
      <w:r w:rsidR="00FA3852" w:rsidRPr="000463A0">
        <w:rPr>
          <w:rFonts w:ascii="Arial" w:hAnsi="Arial" w:cs="Arial"/>
          <w:b/>
        </w:rPr>
        <w:t>LOS</w:t>
      </w:r>
      <w:r w:rsidR="007A5641" w:rsidRPr="000463A0">
        <w:rPr>
          <w:rFonts w:ascii="Arial" w:hAnsi="Arial" w:cs="Arial"/>
          <w:b/>
        </w:rPr>
        <w:t xml:space="preserve"> AÑO</w:t>
      </w:r>
      <w:r w:rsidR="00FA3852" w:rsidRPr="000463A0">
        <w:rPr>
          <w:rFonts w:ascii="Arial" w:hAnsi="Arial" w:cs="Arial"/>
          <w:b/>
        </w:rPr>
        <w:t>S</w:t>
      </w:r>
      <w:r w:rsidR="007A5641" w:rsidRPr="000463A0">
        <w:rPr>
          <w:rFonts w:ascii="Arial" w:hAnsi="Arial" w:cs="Arial"/>
          <w:b/>
        </w:rPr>
        <w:t xml:space="preserve"> 202</w:t>
      </w:r>
      <w:r w:rsidR="00DC4E0C" w:rsidRPr="000463A0">
        <w:rPr>
          <w:rFonts w:ascii="Arial" w:hAnsi="Arial" w:cs="Arial"/>
          <w:b/>
        </w:rPr>
        <w:t>2</w:t>
      </w:r>
      <w:r w:rsidR="001E61CC" w:rsidRPr="000463A0">
        <w:rPr>
          <w:rFonts w:ascii="Arial" w:hAnsi="Arial" w:cs="Arial"/>
          <w:b/>
        </w:rPr>
        <w:t xml:space="preserve"> O </w:t>
      </w:r>
      <w:r w:rsidR="00DC4E0C" w:rsidRPr="000463A0">
        <w:rPr>
          <w:rFonts w:ascii="Arial" w:hAnsi="Arial" w:cs="Arial"/>
          <w:b/>
        </w:rPr>
        <w:t>2023</w:t>
      </w:r>
    </w:p>
    <w:p w14:paraId="46D80772" w14:textId="77777777" w:rsidR="00DC4E0C" w:rsidRPr="0099058D" w:rsidRDefault="00DC4E0C" w:rsidP="00F66665">
      <w:pPr>
        <w:spacing w:after="0" w:line="240" w:lineRule="auto"/>
        <w:jc w:val="center"/>
        <w:rPr>
          <w:rFonts w:ascii="Arial" w:hAnsi="Arial" w:cs="Arial"/>
          <w:b/>
        </w:rPr>
      </w:pPr>
    </w:p>
    <w:p w14:paraId="0114E83F" w14:textId="77777777" w:rsidR="00C06F6D" w:rsidRPr="0099058D" w:rsidRDefault="00C06F6D" w:rsidP="00F66665">
      <w:pPr>
        <w:spacing w:after="0" w:line="240" w:lineRule="auto"/>
        <w:jc w:val="both"/>
        <w:rPr>
          <w:rFonts w:ascii="Arial" w:hAnsi="Arial" w:cs="Arial"/>
        </w:rPr>
      </w:pPr>
      <w:r w:rsidRPr="0099058D">
        <w:rPr>
          <w:rFonts w:ascii="Arial" w:hAnsi="Arial" w:cs="Arial"/>
        </w:rPr>
        <w:t>Lima,</w:t>
      </w:r>
    </w:p>
    <w:p w14:paraId="1A1E7AFA" w14:textId="77777777" w:rsidR="00C06F6D" w:rsidRPr="0099058D" w:rsidRDefault="00C06F6D" w:rsidP="00F66665">
      <w:pPr>
        <w:spacing w:after="0" w:line="240" w:lineRule="auto"/>
        <w:jc w:val="both"/>
        <w:rPr>
          <w:rFonts w:ascii="Arial" w:hAnsi="Arial" w:cs="Arial"/>
        </w:rPr>
      </w:pPr>
    </w:p>
    <w:p w14:paraId="1E60843E" w14:textId="77777777" w:rsidR="00C06F6D" w:rsidRPr="0099058D" w:rsidRDefault="00C06F6D" w:rsidP="00F66665">
      <w:pPr>
        <w:spacing w:after="0" w:line="240" w:lineRule="auto"/>
        <w:jc w:val="both"/>
        <w:rPr>
          <w:rFonts w:ascii="Arial" w:hAnsi="Arial" w:cs="Arial"/>
          <w:b/>
        </w:rPr>
      </w:pPr>
      <w:r w:rsidRPr="0099058D">
        <w:rPr>
          <w:rFonts w:ascii="Arial" w:hAnsi="Arial" w:cs="Arial"/>
          <w:b/>
        </w:rPr>
        <w:t>CONSIDERANDO:</w:t>
      </w:r>
    </w:p>
    <w:p w14:paraId="6FECD848" w14:textId="77777777" w:rsidR="007A5641" w:rsidRPr="0099058D" w:rsidRDefault="007A5641" w:rsidP="00F66665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349F7285" w14:textId="43103EBE" w:rsidR="00E04FD3" w:rsidRPr="0099058D" w:rsidRDefault="007A5641" w:rsidP="00984BC2">
      <w:pPr>
        <w:spacing w:after="0" w:line="240" w:lineRule="auto"/>
        <w:jc w:val="both"/>
        <w:rPr>
          <w:rFonts w:ascii="Arial" w:eastAsia="Times New Roman" w:hAnsi="Arial" w:cs="Arial"/>
          <w:strike/>
          <w:lang w:eastAsia="es-PE"/>
        </w:rPr>
      </w:pPr>
      <w:r w:rsidRPr="0099058D">
        <w:rPr>
          <w:rFonts w:ascii="Arial" w:eastAsia="Times New Roman" w:hAnsi="Arial" w:cs="Arial"/>
          <w:lang w:eastAsia="es-PE"/>
        </w:rPr>
        <w:t xml:space="preserve">Que mediante el Decreto Legislativo </w:t>
      </w:r>
      <w:proofErr w:type="spellStart"/>
      <w:r w:rsidRPr="0099058D">
        <w:rPr>
          <w:rFonts w:ascii="Arial" w:eastAsia="Times New Roman" w:hAnsi="Arial" w:cs="Arial"/>
          <w:lang w:eastAsia="es-PE"/>
        </w:rPr>
        <w:t>N.°</w:t>
      </w:r>
      <w:proofErr w:type="spellEnd"/>
      <w:r w:rsidRPr="0099058D">
        <w:rPr>
          <w:rFonts w:ascii="Arial" w:eastAsia="Times New Roman" w:hAnsi="Arial" w:cs="Arial"/>
          <w:lang w:eastAsia="es-PE"/>
        </w:rPr>
        <w:t xml:space="preserve"> 1372 se regula la obligación de las personas jurídicas y/o entes jurídicos de informar la identificación de los beneficiarios </w:t>
      </w:r>
      <w:r w:rsidR="005F528C" w:rsidRPr="0099058D">
        <w:rPr>
          <w:rFonts w:ascii="Arial" w:eastAsia="Times New Roman" w:hAnsi="Arial" w:cs="Arial"/>
          <w:lang w:eastAsia="es-PE"/>
        </w:rPr>
        <w:t xml:space="preserve">finales </w:t>
      </w:r>
      <w:r w:rsidR="009A1E50" w:rsidRPr="0099058D">
        <w:rPr>
          <w:rFonts w:ascii="Arial" w:eastAsia="Times New Roman" w:hAnsi="Arial" w:cs="Arial"/>
          <w:lang w:eastAsia="es-PE"/>
        </w:rPr>
        <w:t>disponiéndose</w:t>
      </w:r>
      <w:r w:rsidRPr="0099058D">
        <w:rPr>
          <w:rFonts w:ascii="Arial" w:eastAsia="Times New Roman" w:hAnsi="Arial" w:cs="Arial"/>
          <w:lang w:eastAsia="es-PE"/>
        </w:rPr>
        <w:t>, entre otros, que los obligados deben presentar a la SUNAT una declaración jurada informativa de acuerdo con las normas reglamentarias y en la forma, plazo y condiciones que esta establezca mediante resolución de superintendenci</w:t>
      </w:r>
      <w:r w:rsidR="005F528C" w:rsidRPr="0099058D">
        <w:rPr>
          <w:rFonts w:ascii="Arial" w:eastAsia="Times New Roman" w:hAnsi="Arial" w:cs="Arial"/>
          <w:lang w:eastAsia="es-PE"/>
        </w:rPr>
        <w:t>a</w:t>
      </w:r>
      <w:r w:rsidR="00E745BF" w:rsidRPr="0099058D">
        <w:rPr>
          <w:rFonts w:ascii="Arial" w:eastAsia="Times New Roman" w:hAnsi="Arial" w:cs="Arial"/>
          <w:lang w:eastAsia="es-PE"/>
        </w:rPr>
        <w:t>;</w:t>
      </w:r>
      <w:r w:rsidR="005F528C" w:rsidRPr="0099058D">
        <w:rPr>
          <w:rFonts w:ascii="Arial" w:eastAsia="Times New Roman" w:hAnsi="Arial" w:cs="Arial"/>
          <w:lang w:eastAsia="es-PE"/>
        </w:rPr>
        <w:t xml:space="preserve"> </w:t>
      </w:r>
    </w:p>
    <w:p w14:paraId="2A1D146C" w14:textId="03403BA7" w:rsidR="005F528C" w:rsidRPr="0099058D" w:rsidRDefault="00E04FD3" w:rsidP="00F12A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 w:eastAsia="es-PE"/>
        </w:rPr>
      </w:pPr>
      <w:r w:rsidRPr="0099058D">
        <w:rPr>
          <w:rFonts w:ascii="Arial" w:eastAsia="Times New Roman" w:hAnsi="Arial" w:cs="Arial"/>
          <w:lang w:eastAsia="es-PE"/>
        </w:rPr>
        <w:t>Que</w:t>
      </w:r>
      <w:r w:rsidR="000A4099" w:rsidRPr="0099058D">
        <w:rPr>
          <w:rFonts w:ascii="Arial" w:eastAsia="Times New Roman" w:hAnsi="Arial" w:cs="Arial"/>
          <w:lang w:eastAsia="es-PE"/>
        </w:rPr>
        <w:t xml:space="preserve"> </w:t>
      </w:r>
      <w:r w:rsidR="00C453E9" w:rsidRPr="0099058D">
        <w:rPr>
          <w:rFonts w:ascii="Arial" w:eastAsia="Times New Roman" w:hAnsi="Arial" w:cs="Arial"/>
          <w:lang w:eastAsia="es-PE"/>
        </w:rPr>
        <w:t>e</w:t>
      </w:r>
      <w:r w:rsidR="002A73F7" w:rsidRPr="0099058D">
        <w:rPr>
          <w:rFonts w:ascii="Arial" w:eastAsia="Times New Roman" w:hAnsi="Arial" w:cs="Arial"/>
          <w:lang w:eastAsia="es-PE"/>
        </w:rPr>
        <w:t>n los artículos 4 y 9</w:t>
      </w:r>
      <w:r w:rsidR="00C453E9" w:rsidRPr="0099058D">
        <w:rPr>
          <w:rFonts w:ascii="Arial" w:eastAsia="Times New Roman" w:hAnsi="Arial" w:cs="Arial"/>
          <w:lang w:eastAsia="es-PE"/>
        </w:rPr>
        <w:t xml:space="preserve"> </w:t>
      </w:r>
      <w:r w:rsidR="002A73F7" w:rsidRPr="0099058D">
        <w:rPr>
          <w:rFonts w:ascii="Arial" w:eastAsia="Times New Roman" w:hAnsi="Arial" w:cs="Arial"/>
          <w:lang w:eastAsia="es-PE"/>
        </w:rPr>
        <w:t xml:space="preserve">del </w:t>
      </w:r>
      <w:r w:rsidR="00C453E9" w:rsidRPr="0099058D">
        <w:rPr>
          <w:rFonts w:ascii="Arial" w:eastAsia="Times New Roman" w:hAnsi="Arial" w:cs="Arial"/>
          <w:lang w:eastAsia="es-PE"/>
        </w:rPr>
        <w:t xml:space="preserve">Reglamento del citado decreto legislativo, aprobado por </w:t>
      </w:r>
      <w:r w:rsidR="00B4296F" w:rsidRPr="0099058D">
        <w:rPr>
          <w:rFonts w:ascii="Arial" w:eastAsia="Times New Roman" w:hAnsi="Arial" w:cs="Arial"/>
          <w:lang w:eastAsia="es-PE"/>
        </w:rPr>
        <w:t xml:space="preserve">el Decreto Supremo </w:t>
      </w:r>
      <w:proofErr w:type="spellStart"/>
      <w:r w:rsidR="00B4296F" w:rsidRPr="0099058D">
        <w:rPr>
          <w:rFonts w:ascii="Arial" w:eastAsia="Times New Roman" w:hAnsi="Arial" w:cs="Arial"/>
          <w:lang w:eastAsia="es-PE"/>
        </w:rPr>
        <w:t>N.°</w:t>
      </w:r>
      <w:proofErr w:type="spellEnd"/>
      <w:r w:rsidR="00B4296F" w:rsidRPr="0099058D">
        <w:rPr>
          <w:rFonts w:ascii="Arial" w:eastAsia="Times New Roman" w:hAnsi="Arial" w:cs="Arial"/>
          <w:lang w:eastAsia="es-PE"/>
        </w:rPr>
        <w:t xml:space="preserve"> 003-2019-EF</w:t>
      </w:r>
      <w:r w:rsidR="009A1E50" w:rsidRPr="0099058D">
        <w:rPr>
          <w:rFonts w:ascii="Arial" w:eastAsia="Times New Roman" w:hAnsi="Arial" w:cs="Arial"/>
          <w:lang w:eastAsia="es-PE"/>
        </w:rPr>
        <w:t>,</w:t>
      </w:r>
      <w:r w:rsidR="002A73F7" w:rsidRPr="0099058D">
        <w:rPr>
          <w:rFonts w:ascii="Arial" w:eastAsia="Times New Roman" w:hAnsi="Arial" w:cs="Arial"/>
          <w:lang w:eastAsia="es-PE"/>
        </w:rPr>
        <w:t xml:space="preserve"> se </w:t>
      </w:r>
      <w:r w:rsidR="00E745BF" w:rsidRPr="0099058D">
        <w:rPr>
          <w:rFonts w:ascii="Arial" w:eastAsia="Times New Roman" w:hAnsi="Arial" w:cs="Arial"/>
          <w:lang w:eastAsia="es-PE"/>
        </w:rPr>
        <w:t xml:space="preserve">señalan </w:t>
      </w:r>
      <w:r w:rsidR="00BE5114" w:rsidRPr="0099058D">
        <w:rPr>
          <w:rFonts w:ascii="Arial" w:eastAsia="Times New Roman" w:hAnsi="Arial" w:cs="Arial"/>
          <w:lang w:eastAsia="es-PE"/>
        </w:rPr>
        <w:t>los datos que se debe</w:t>
      </w:r>
      <w:r w:rsidR="00F12AD4" w:rsidRPr="0099058D">
        <w:rPr>
          <w:rFonts w:ascii="Arial" w:eastAsia="Times New Roman" w:hAnsi="Arial" w:cs="Arial"/>
          <w:lang w:eastAsia="es-PE"/>
        </w:rPr>
        <w:t>n</w:t>
      </w:r>
      <w:r w:rsidR="00BE5114" w:rsidRPr="0099058D">
        <w:rPr>
          <w:rFonts w:ascii="Arial" w:eastAsia="Times New Roman" w:hAnsi="Arial" w:cs="Arial"/>
          <w:lang w:eastAsia="es-PE"/>
        </w:rPr>
        <w:t xml:space="preserve"> consignar en </w:t>
      </w:r>
      <w:r w:rsidR="00EE3630" w:rsidRPr="0099058D">
        <w:rPr>
          <w:rFonts w:ascii="Arial" w:eastAsia="Times New Roman" w:hAnsi="Arial" w:cs="Arial"/>
          <w:lang w:eastAsia="es-PE"/>
        </w:rPr>
        <w:t xml:space="preserve">la </w:t>
      </w:r>
      <w:r w:rsidR="002A73F7" w:rsidRPr="0099058D">
        <w:rPr>
          <w:rFonts w:ascii="Arial" w:eastAsia="Times New Roman" w:hAnsi="Arial" w:cs="Arial"/>
          <w:lang w:eastAsia="es-PE"/>
        </w:rPr>
        <w:t xml:space="preserve">referida </w:t>
      </w:r>
      <w:r w:rsidR="00EE3630" w:rsidRPr="0099058D">
        <w:rPr>
          <w:rFonts w:ascii="Arial" w:eastAsia="Times New Roman" w:hAnsi="Arial" w:cs="Arial"/>
          <w:lang w:eastAsia="es-PE"/>
        </w:rPr>
        <w:t>declaración</w:t>
      </w:r>
      <w:r w:rsidR="002A73F7" w:rsidRPr="0099058D">
        <w:rPr>
          <w:rFonts w:ascii="Arial" w:eastAsia="Times New Roman" w:hAnsi="Arial" w:cs="Arial"/>
          <w:lang w:eastAsia="es-PE"/>
        </w:rPr>
        <w:t>,</w:t>
      </w:r>
      <w:r w:rsidR="00EE3630" w:rsidRPr="0099058D">
        <w:rPr>
          <w:rFonts w:ascii="Arial" w:eastAsia="Times New Roman" w:hAnsi="Arial" w:cs="Arial"/>
          <w:lang w:eastAsia="es-PE"/>
        </w:rPr>
        <w:t xml:space="preserve"> </w:t>
      </w:r>
      <w:r w:rsidR="002A73F7" w:rsidRPr="0099058D">
        <w:rPr>
          <w:rFonts w:ascii="Arial" w:eastAsia="Times New Roman" w:hAnsi="Arial" w:cs="Arial"/>
          <w:lang w:eastAsia="es-PE"/>
        </w:rPr>
        <w:t>así como</w:t>
      </w:r>
      <w:r w:rsidR="00EE3630" w:rsidRPr="0099058D">
        <w:rPr>
          <w:rFonts w:ascii="Arial" w:eastAsia="Times New Roman" w:hAnsi="Arial" w:cs="Arial"/>
          <w:lang w:eastAsia="es-PE"/>
        </w:rPr>
        <w:t xml:space="preserve"> los supuestos y plazos </w:t>
      </w:r>
      <w:r w:rsidR="00610282" w:rsidRPr="0099058D">
        <w:rPr>
          <w:rFonts w:ascii="Arial" w:eastAsia="Times New Roman" w:hAnsi="Arial" w:cs="Arial"/>
          <w:lang w:eastAsia="es-PE"/>
        </w:rPr>
        <w:t xml:space="preserve">en que debe </w:t>
      </w:r>
      <w:r w:rsidR="002A73F7" w:rsidRPr="0099058D">
        <w:rPr>
          <w:rFonts w:ascii="Arial" w:eastAsia="Times New Roman" w:hAnsi="Arial" w:cs="Arial"/>
          <w:lang w:eastAsia="es-PE"/>
        </w:rPr>
        <w:t>actualiza</w:t>
      </w:r>
      <w:r w:rsidR="00BE5114" w:rsidRPr="0099058D">
        <w:rPr>
          <w:rFonts w:ascii="Arial" w:eastAsia="Times New Roman" w:hAnsi="Arial" w:cs="Arial"/>
          <w:lang w:eastAsia="es-PE"/>
        </w:rPr>
        <w:t>r</w:t>
      </w:r>
      <w:r w:rsidR="00610282" w:rsidRPr="0099058D">
        <w:rPr>
          <w:rFonts w:ascii="Arial" w:eastAsia="Times New Roman" w:hAnsi="Arial" w:cs="Arial"/>
          <w:lang w:eastAsia="es-PE"/>
        </w:rPr>
        <w:t>se</w:t>
      </w:r>
      <w:r w:rsidR="00BE5114" w:rsidRPr="0099058D">
        <w:rPr>
          <w:rFonts w:ascii="Arial" w:eastAsia="Times New Roman" w:hAnsi="Arial" w:cs="Arial"/>
          <w:lang w:eastAsia="es-PE"/>
        </w:rPr>
        <w:t xml:space="preserve"> la </w:t>
      </w:r>
      <w:r w:rsidR="00610282" w:rsidRPr="0099058D">
        <w:rPr>
          <w:rFonts w:ascii="Arial" w:eastAsia="Times New Roman" w:hAnsi="Arial" w:cs="Arial"/>
          <w:lang w:eastAsia="es-PE"/>
        </w:rPr>
        <w:t>información del beneficiario final</w:t>
      </w:r>
      <w:r w:rsidR="00C213B2" w:rsidRPr="0099058D">
        <w:rPr>
          <w:rFonts w:ascii="Arial" w:eastAsia="Times New Roman" w:hAnsi="Arial" w:cs="Arial"/>
          <w:lang w:eastAsia="es-PE"/>
        </w:rPr>
        <w:t xml:space="preserve"> declarada a la SUNAT</w:t>
      </w:r>
      <w:r w:rsidR="00EE3630" w:rsidRPr="0099058D">
        <w:rPr>
          <w:rFonts w:ascii="Arial" w:eastAsia="Times New Roman" w:hAnsi="Arial" w:cs="Arial"/>
          <w:lang w:eastAsia="es-PE"/>
        </w:rPr>
        <w:t xml:space="preserve">; </w:t>
      </w:r>
    </w:p>
    <w:p w14:paraId="794E0214" w14:textId="4444F6A5" w:rsidR="004D1BB8" w:rsidRPr="0099058D" w:rsidRDefault="00B4296F" w:rsidP="00F66665">
      <w:pPr>
        <w:pStyle w:val="Default"/>
        <w:jc w:val="both"/>
        <w:rPr>
          <w:rFonts w:eastAsia="Times New Roman"/>
          <w:color w:val="auto"/>
          <w:sz w:val="22"/>
          <w:szCs w:val="22"/>
          <w:lang w:eastAsia="es-PE"/>
        </w:rPr>
      </w:pPr>
      <w:r w:rsidRPr="0099058D">
        <w:rPr>
          <w:color w:val="auto"/>
          <w:sz w:val="22"/>
          <w:szCs w:val="22"/>
        </w:rPr>
        <w:t xml:space="preserve">Que a través de la Resolución de Superintendencia </w:t>
      </w:r>
      <w:proofErr w:type="spellStart"/>
      <w:r w:rsidRPr="0099058D">
        <w:rPr>
          <w:color w:val="auto"/>
          <w:sz w:val="22"/>
          <w:szCs w:val="22"/>
        </w:rPr>
        <w:t>N.°</w:t>
      </w:r>
      <w:proofErr w:type="spellEnd"/>
      <w:r w:rsidRPr="0099058D">
        <w:rPr>
          <w:color w:val="auto"/>
          <w:sz w:val="22"/>
          <w:szCs w:val="22"/>
        </w:rPr>
        <w:t xml:space="preserve"> 185-2019/SUNAT se establece la forma, plazo y condiciones para la presentación de la declaración del beneficiario final y se dicta</w:t>
      </w:r>
      <w:r w:rsidR="005D7E07" w:rsidRPr="0099058D">
        <w:rPr>
          <w:color w:val="auto"/>
          <w:sz w:val="22"/>
          <w:szCs w:val="22"/>
        </w:rPr>
        <w:t>n</w:t>
      </w:r>
      <w:r w:rsidRPr="0099058D">
        <w:rPr>
          <w:color w:val="auto"/>
          <w:sz w:val="22"/>
          <w:szCs w:val="22"/>
        </w:rPr>
        <w:t xml:space="preserve"> disposiciones para que los notarios verifiquen dicha presentación e informen a la SUNAT el incumplimiento de los sujetos obligados</w:t>
      </w:r>
      <w:r w:rsidR="004D1BB8" w:rsidRPr="0099058D">
        <w:rPr>
          <w:color w:val="auto"/>
          <w:sz w:val="22"/>
          <w:szCs w:val="22"/>
        </w:rPr>
        <w:t>,</w:t>
      </w:r>
      <w:r w:rsidR="003A7320" w:rsidRPr="0099058D">
        <w:rPr>
          <w:rFonts w:eastAsia="Times New Roman"/>
          <w:color w:val="auto"/>
          <w:sz w:val="22"/>
          <w:szCs w:val="22"/>
          <w:lang w:eastAsia="es-PE"/>
        </w:rPr>
        <w:t xml:space="preserve"> </w:t>
      </w:r>
      <w:r w:rsidR="000A4099" w:rsidRPr="0099058D">
        <w:rPr>
          <w:color w:val="auto"/>
          <w:sz w:val="22"/>
          <w:szCs w:val="22"/>
        </w:rPr>
        <w:t>indicándose</w:t>
      </w:r>
      <w:r w:rsidR="003C55C3" w:rsidRPr="0099058D">
        <w:rPr>
          <w:color w:val="auto"/>
          <w:sz w:val="22"/>
          <w:szCs w:val="22"/>
        </w:rPr>
        <w:t>, entre otros,</w:t>
      </w:r>
      <w:r w:rsidRPr="0099058D">
        <w:rPr>
          <w:color w:val="auto"/>
          <w:sz w:val="22"/>
          <w:szCs w:val="22"/>
        </w:rPr>
        <w:t xml:space="preserve"> que la presentación de la </w:t>
      </w:r>
      <w:r w:rsidR="008F5F1F" w:rsidRPr="0099058D">
        <w:rPr>
          <w:color w:val="auto"/>
          <w:sz w:val="22"/>
          <w:szCs w:val="22"/>
        </w:rPr>
        <w:t xml:space="preserve">referida </w:t>
      </w:r>
      <w:r w:rsidRPr="0099058D">
        <w:rPr>
          <w:color w:val="auto"/>
          <w:sz w:val="22"/>
          <w:szCs w:val="22"/>
        </w:rPr>
        <w:t xml:space="preserve">declaración </w:t>
      </w:r>
      <w:r w:rsidR="004D1BB8" w:rsidRPr="0099058D">
        <w:rPr>
          <w:color w:val="auto"/>
          <w:sz w:val="22"/>
          <w:szCs w:val="22"/>
        </w:rPr>
        <w:t>se realiza gradualmente</w:t>
      </w:r>
      <w:r w:rsidR="00984BC2" w:rsidRPr="0099058D">
        <w:rPr>
          <w:color w:val="auto"/>
          <w:sz w:val="22"/>
          <w:szCs w:val="22"/>
        </w:rPr>
        <w:t>,</w:t>
      </w:r>
      <w:r w:rsidR="000543B5" w:rsidRPr="0099058D">
        <w:rPr>
          <w:color w:val="auto"/>
          <w:sz w:val="22"/>
          <w:szCs w:val="22"/>
        </w:rPr>
        <w:t xml:space="preserve"> que las personas jurídicas que tenían </w:t>
      </w:r>
      <w:r w:rsidR="009635EF" w:rsidRPr="0099058D">
        <w:rPr>
          <w:color w:val="auto"/>
          <w:sz w:val="22"/>
          <w:szCs w:val="22"/>
        </w:rPr>
        <w:t xml:space="preserve">la calidad de principales contribuyentes </w:t>
      </w:r>
      <w:r w:rsidR="003A74D8" w:rsidRPr="0099058D">
        <w:rPr>
          <w:color w:val="auto"/>
          <w:sz w:val="22"/>
          <w:szCs w:val="22"/>
        </w:rPr>
        <w:t xml:space="preserve">al 30 de noviembre de 2019 </w:t>
      </w:r>
      <w:r w:rsidR="004D1BB8" w:rsidRPr="0099058D">
        <w:rPr>
          <w:color w:val="auto"/>
          <w:sz w:val="22"/>
          <w:szCs w:val="22"/>
        </w:rPr>
        <w:t xml:space="preserve">debían presentarla en el mes de diciembre de 2019 y </w:t>
      </w:r>
      <w:r w:rsidR="003A7320" w:rsidRPr="0099058D">
        <w:rPr>
          <w:color w:val="auto"/>
          <w:sz w:val="22"/>
          <w:szCs w:val="22"/>
        </w:rPr>
        <w:t xml:space="preserve">que </w:t>
      </w:r>
      <w:r w:rsidR="004D1BB8" w:rsidRPr="0099058D">
        <w:rPr>
          <w:color w:val="auto"/>
          <w:sz w:val="22"/>
          <w:szCs w:val="22"/>
        </w:rPr>
        <w:t xml:space="preserve">las demás personas jurídicas y los entes jurídicos </w:t>
      </w:r>
      <w:r w:rsidR="003A74D8" w:rsidRPr="0099058D">
        <w:rPr>
          <w:color w:val="auto"/>
          <w:sz w:val="22"/>
          <w:szCs w:val="22"/>
        </w:rPr>
        <w:t xml:space="preserve">la presentan en el plazo que la SUNAT </w:t>
      </w:r>
      <w:r w:rsidR="000A4099" w:rsidRPr="0099058D">
        <w:rPr>
          <w:color w:val="auto"/>
          <w:sz w:val="22"/>
          <w:szCs w:val="22"/>
        </w:rPr>
        <w:t xml:space="preserve">determine </w:t>
      </w:r>
      <w:r w:rsidR="003A74D8" w:rsidRPr="0099058D">
        <w:rPr>
          <w:color w:val="auto"/>
          <w:sz w:val="22"/>
          <w:szCs w:val="22"/>
        </w:rPr>
        <w:t>mediante resolución de superintendencia</w:t>
      </w:r>
      <w:r w:rsidR="003A74D8" w:rsidRPr="0099058D">
        <w:rPr>
          <w:rFonts w:eastAsia="Times New Roman"/>
          <w:color w:val="auto"/>
          <w:sz w:val="22"/>
          <w:szCs w:val="22"/>
          <w:lang w:eastAsia="es-PE"/>
        </w:rPr>
        <w:t>;</w:t>
      </w:r>
    </w:p>
    <w:p w14:paraId="077BF0CB" w14:textId="569DF9FC" w:rsidR="00124A9A" w:rsidRPr="0099058D" w:rsidRDefault="00B4296F" w:rsidP="00F66665">
      <w:pPr>
        <w:pStyle w:val="Default"/>
        <w:jc w:val="both"/>
        <w:rPr>
          <w:rFonts w:eastAsia="Times New Roman"/>
          <w:strike/>
          <w:color w:val="auto"/>
          <w:sz w:val="22"/>
          <w:szCs w:val="22"/>
          <w:lang w:eastAsia="es-PE"/>
        </w:rPr>
      </w:pPr>
      <w:r w:rsidRPr="0099058D">
        <w:rPr>
          <w:color w:val="auto"/>
          <w:sz w:val="22"/>
          <w:szCs w:val="22"/>
        </w:rPr>
        <w:t xml:space="preserve"> </w:t>
      </w:r>
    </w:p>
    <w:p w14:paraId="23C2156B" w14:textId="0AB6AEA3" w:rsidR="00F90416" w:rsidRPr="0099058D" w:rsidRDefault="0000113E" w:rsidP="00F66665">
      <w:pPr>
        <w:pStyle w:val="Default"/>
        <w:jc w:val="both"/>
        <w:rPr>
          <w:color w:val="auto"/>
          <w:sz w:val="22"/>
          <w:szCs w:val="22"/>
        </w:rPr>
      </w:pPr>
      <w:r w:rsidRPr="0099058D">
        <w:rPr>
          <w:color w:val="auto"/>
          <w:sz w:val="22"/>
          <w:szCs w:val="22"/>
        </w:rPr>
        <w:t xml:space="preserve">Que, </w:t>
      </w:r>
      <w:r w:rsidR="000543B5" w:rsidRPr="0099058D">
        <w:rPr>
          <w:color w:val="auto"/>
          <w:sz w:val="22"/>
          <w:szCs w:val="22"/>
        </w:rPr>
        <w:t>en tal sentido</w:t>
      </w:r>
      <w:r w:rsidR="00C213B2" w:rsidRPr="0099058D">
        <w:rPr>
          <w:color w:val="auto"/>
          <w:sz w:val="22"/>
          <w:szCs w:val="22"/>
        </w:rPr>
        <w:t>,</w:t>
      </w:r>
      <w:r w:rsidR="000543B5" w:rsidRPr="0099058D">
        <w:rPr>
          <w:color w:val="auto"/>
          <w:sz w:val="22"/>
          <w:szCs w:val="22"/>
        </w:rPr>
        <w:t xml:space="preserve"> </w:t>
      </w:r>
      <w:r w:rsidRPr="0099058D">
        <w:rPr>
          <w:color w:val="auto"/>
          <w:sz w:val="22"/>
          <w:szCs w:val="22"/>
        </w:rPr>
        <w:t xml:space="preserve">resulta </w:t>
      </w:r>
      <w:r w:rsidR="00F90416" w:rsidRPr="0099058D">
        <w:rPr>
          <w:color w:val="auto"/>
          <w:sz w:val="22"/>
          <w:szCs w:val="22"/>
        </w:rPr>
        <w:t xml:space="preserve">conveniente </w:t>
      </w:r>
      <w:r w:rsidR="000543B5" w:rsidRPr="0099058D">
        <w:rPr>
          <w:color w:val="auto"/>
          <w:sz w:val="22"/>
          <w:szCs w:val="22"/>
        </w:rPr>
        <w:t xml:space="preserve">establecer los sujetos obligados </w:t>
      </w:r>
      <w:r w:rsidR="003E4EFA" w:rsidRPr="0099058D">
        <w:rPr>
          <w:color w:val="auto"/>
          <w:sz w:val="22"/>
          <w:szCs w:val="22"/>
        </w:rPr>
        <w:t xml:space="preserve">a </w:t>
      </w:r>
      <w:r w:rsidR="000543B5" w:rsidRPr="0099058D">
        <w:rPr>
          <w:color w:val="auto"/>
          <w:sz w:val="22"/>
          <w:szCs w:val="22"/>
        </w:rPr>
        <w:t xml:space="preserve">presentar la declaración del beneficiario final en </w:t>
      </w:r>
      <w:r w:rsidR="00DC4E0C" w:rsidRPr="0099058D">
        <w:rPr>
          <w:color w:val="auto"/>
          <w:sz w:val="22"/>
          <w:szCs w:val="22"/>
        </w:rPr>
        <w:t xml:space="preserve">los </w:t>
      </w:r>
      <w:r w:rsidR="000543B5" w:rsidRPr="0099058D">
        <w:rPr>
          <w:color w:val="auto"/>
          <w:sz w:val="22"/>
          <w:szCs w:val="22"/>
        </w:rPr>
        <w:t>año</w:t>
      </w:r>
      <w:r w:rsidR="00DC4E0C" w:rsidRPr="0099058D">
        <w:rPr>
          <w:color w:val="auto"/>
          <w:sz w:val="22"/>
          <w:szCs w:val="22"/>
        </w:rPr>
        <w:t>s</w:t>
      </w:r>
      <w:r w:rsidR="000543B5" w:rsidRPr="0099058D">
        <w:rPr>
          <w:color w:val="auto"/>
          <w:sz w:val="22"/>
          <w:szCs w:val="22"/>
        </w:rPr>
        <w:t xml:space="preserve"> 202</w:t>
      </w:r>
      <w:r w:rsidR="00DC4E0C" w:rsidRPr="0099058D">
        <w:rPr>
          <w:color w:val="auto"/>
          <w:sz w:val="22"/>
          <w:szCs w:val="22"/>
        </w:rPr>
        <w:t xml:space="preserve">2 </w:t>
      </w:r>
      <w:r w:rsidR="004F7342" w:rsidRPr="0099058D">
        <w:rPr>
          <w:color w:val="auto"/>
          <w:sz w:val="22"/>
          <w:szCs w:val="22"/>
        </w:rPr>
        <w:t>o</w:t>
      </w:r>
      <w:r w:rsidR="00DC4E0C" w:rsidRPr="0099058D">
        <w:rPr>
          <w:color w:val="auto"/>
          <w:sz w:val="22"/>
          <w:szCs w:val="22"/>
        </w:rPr>
        <w:t xml:space="preserve"> 2023</w:t>
      </w:r>
      <w:r w:rsidR="00AE601B" w:rsidRPr="0099058D">
        <w:rPr>
          <w:color w:val="auto"/>
          <w:sz w:val="22"/>
          <w:szCs w:val="22"/>
        </w:rPr>
        <w:t xml:space="preserve">; </w:t>
      </w:r>
    </w:p>
    <w:p w14:paraId="5CF9C35E" w14:textId="77777777" w:rsidR="00AE601B" w:rsidRPr="0099058D" w:rsidRDefault="00AE601B" w:rsidP="00F66665">
      <w:pPr>
        <w:pStyle w:val="Default"/>
        <w:jc w:val="both"/>
        <w:rPr>
          <w:strike/>
          <w:color w:val="auto"/>
          <w:sz w:val="22"/>
          <w:szCs w:val="22"/>
        </w:rPr>
      </w:pPr>
    </w:p>
    <w:p w14:paraId="06B1664E" w14:textId="7D8573E0" w:rsidR="00AE601B" w:rsidRPr="0099058D" w:rsidRDefault="00AE601B" w:rsidP="00F66665">
      <w:pPr>
        <w:pStyle w:val="Default"/>
        <w:jc w:val="both"/>
        <w:rPr>
          <w:color w:val="auto"/>
          <w:sz w:val="22"/>
          <w:szCs w:val="22"/>
        </w:rPr>
      </w:pPr>
      <w:r w:rsidRPr="0099058D">
        <w:rPr>
          <w:color w:val="auto"/>
          <w:sz w:val="22"/>
          <w:szCs w:val="22"/>
        </w:rPr>
        <w:t xml:space="preserve">En uso de las facultades establecidas en </w:t>
      </w:r>
      <w:r w:rsidR="0099021D" w:rsidRPr="0099058D">
        <w:rPr>
          <w:color w:val="auto"/>
          <w:sz w:val="22"/>
          <w:szCs w:val="22"/>
        </w:rPr>
        <w:t>e</w:t>
      </w:r>
      <w:r w:rsidRPr="0099058D">
        <w:rPr>
          <w:color w:val="auto"/>
          <w:sz w:val="22"/>
          <w:szCs w:val="22"/>
        </w:rPr>
        <w:t xml:space="preserve">l artículo 3 del Decreto Legislativo </w:t>
      </w:r>
      <w:proofErr w:type="spellStart"/>
      <w:r w:rsidRPr="0099058D">
        <w:rPr>
          <w:color w:val="auto"/>
          <w:sz w:val="22"/>
          <w:szCs w:val="22"/>
        </w:rPr>
        <w:t>N</w:t>
      </w:r>
      <w:r w:rsidR="003A7320" w:rsidRPr="0099058D">
        <w:rPr>
          <w:color w:val="auto"/>
          <w:sz w:val="22"/>
          <w:szCs w:val="22"/>
        </w:rPr>
        <w:t>.°</w:t>
      </w:r>
      <w:proofErr w:type="spellEnd"/>
      <w:r w:rsidRPr="0099058D">
        <w:rPr>
          <w:color w:val="auto"/>
          <w:sz w:val="22"/>
          <w:szCs w:val="22"/>
        </w:rPr>
        <w:t xml:space="preserve"> 1372, que regula la obligación de las personas jurídicas y/o entes jurídicos de informar la identificación de sus beneficiarios finales; el párrafo 4.4 del artículo 4 del Reglamento del Decreto Legislativo </w:t>
      </w:r>
      <w:proofErr w:type="spellStart"/>
      <w:r w:rsidRPr="0099058D">
        <w:rPr>
          <w:color w:val="auto"/>
          <w:sz w:val="22"/>
          <w:szCs w:val="22"/>
        </w:rPr>
        <w:t>N</w:t>
      </w:r>
      <w:r w:rsidR="003A7320" w:rsidRPr="0099058D">
        <w:rPr>
          <w:color w:val="auto"/>
          <w:sz w:val="22"/>
          <w:szCs w:val="22"/>
        </w:rPr>
        <w:t>.°</w:t>
      </w:r>
      <w:proofErr w:type="spellEnd"/>
      <w:r w:rsidRPr="0099058D">
        <w:rPr>
          <w:color w:val="auto"/>
          <w:sz w:val="22"/>
          <w:szCs w:val="22"/>
        </w:rPr>
        <w:t xml:space="preserve"> 1372, aprobado por el Decreto Supremo </w:t>
      </w:r>
      <w:proofErr w:type="spellStart"/>
      <w:r w:rsidRPr="0099058D">
        <w:rPr>
          <w:color w:val="auto"/>
          <w:sz w:val="22"/>
          <w:szCs w:val="22"/>
        </w:rPr>
        <w:t>N</w:t>
      </w:r>
      <w:r w:rsidR="003A7320" w:rsidRPr="0099058D">
        <w:rPr>
          <w:color w:val="auto"/>
          <w:sz w:val="22"/>
          <w:szCs w:val="22"/>
        </w:rPr>
        <w:t>.°</w:t>
      </w:r>
      <w:proofErr w:type="spellEnd"/>
      <w:r w:rsidRPr="0099058D">
        <w:rPr>
          <w:color w:val="auto"/>
          <w:sz w:val="22"/>
          <w:szCs w:val="22"/>
        </w:rPr>
        <w:t xml:space="preserve"> 003-2019-EF; el numeral 15 del artículo 87 del Código Tributario, cuyo Texto Único Ordenado fue aprobado por el Decreto Supremo </w:t>
      </w:r>
      <w:proofErr w:type="spellStart"/>
      <w:r w:rsidRPr="0099058D">
        <w:rPr>
          <w:color w:val="auto"/>
          <w:sz w:val="22"/>
          <w:szCs w:val="22"/>
        </w:rPr>
        <w:t>N</w:t>
      </w:r>
      <w:r w:rsidR="003A7320" w:rsidRPr="0099058D">
        <w:rPr>
          <w:color w:val="auto"/>
          <w:sz w:val="22"/>
          <w:szCs w:val="22"/>
        </w:rPr>
        <w:t>.°</w:t>
      </w:r>
      <w:proofErr w:type="spellEnd"/>
      <w:r w:rsidRPr="0099058D">
        <w:rPr>
          <w:color w:val="auto"/>
          <w:sz w:val="22"/>
          <w:szCs w:val="22"/>
        </w:rPr>
        <w:t xml:space="preserve"> 133-2013-EF; el artículo 11 del Decreto Legislativo </w:t>
      </w:r>
      <w:proofErr w:type="spellStart"/>
      <w:r w:rsidRPr="0099058D">
        <w:rPr>
          <w:color w:val="auto"/>
          <w:sz w:val="22"/>
          <w:szCs w:val="22"/>
        </w:rPr>
        <w:t>N</w:t>
      </w:r>
      <w:r w:rsidR="003A7320" w:rsidRPr="0099058D">
        <w:rPr>
          <w:color w:val="auto"/>
          <w:sz w:val="22"/>
          <w:szCs w:val="22"/>
        </w:rPr>
        <w:t>.°</w:t>
      </w:r>
      <w:proofErr w:type="spellEnd"/>
      <w:r w:rsidRPr="0099058D">
        <w:rPr>
          <w:color w:val="auto"/>
          <w:sz w:val="22"/>
          <w:szCs w:val="22"/>
        </w:rPr>
        <w:t xml:space="preserve"> 501, Ley General de la SUNAT; el artículo 5 de la Ley </w:t>
      </w:r>
      <w:proofErr w:type="spellStart"/>
      <w:r w:rsidRPr="0099058D">
        <w:rPr>
          <w:color w:val="auto"/>
          <w:sz w:val="22"/>
          <w:szCs w:val="22"/>
        </w:rPr>
        <w:t>N</w:t>
      </w:r>
      <w:r w:rsidR="003A7320" w:rsidRPr="0099058D">
        <w:rPr>
          <w:color w:val="auto"/>
          <w:sz w:val="22"/>
          <w:szCs w:val="22"/>
        </w:rPr>
        <w:t>.°</w:t>
      </w:r>
      <w:proofErr w:type="spellEnd"/>
      <w:r w:rsidRPr="0099058D">
        <w:rPr>
          <w:color w:val="auto"/>
          <w:sz w:val="22"/>
          <w:szCs w:val="22"/>
        </w:rPr>
        <w:t xml:space="preserve"> 29816, Ley de </w:t>
      </w:r>
      <w:r w:rsidRPr="0099058D">
        <w:rPr>
          <w:color w:val="auto"/>
          <w:sz w:val="22"/>
          <w:szCs w:val="22"/>
        </w:rPr>
        <w:lastRenderedPageBreak/>
        <w:t xml:space="preserve">Fortalecimiento de la SUNAT, </w:t>
      </w:r>
      <w:r w:rsidR="00E1193E" w:rsidRPr="0099058D">
        <w:rPr>
          <w:color w:val="auto"/>
          <w:sz w:val="22"/>
          <w:szCs w:val="22"/>
        </w:rPr>
        <w:t xml:space="preserve">y el inciso k) del artículo 8 del Documento de Organización y Funciones Provisional de la SUNAT, aprobado por la Resolución de Superintendencia </w:t>
      </w:r>
      <w:proofErr w:type="spellStart"/>
      <w:r w:rsidR="00E1193E" w:rsidRPr="0099058D">
        <w:rPr>
          <w:color w:val="auto"/>
          <w:sz w:val="22"/>
          <w:szCs w:val="22"/>
        </w:rPr>
        <w:t>N.°</w:t>
      </w:r>
      <w:proofErr w:type="spellEnd"/>
      <w:r w:rsidR="00E1193E" w:rsidRPr="0099058D">
        <w:rPr>
          <w:color w:val="auto"/>
          <w:sz w:val="22"/>
          <w:szCs w:val="22"/>
        </w:rPr>
        <w:t xml:space="preserve"> 0000065-2021/SUNAT;</w:t>
      </w:r>
    </w:p>
    <w:p w14:paraId="5AADFD77" w14:textId="77777777" w:rsidR="00E1415B" w:rsidRPr="0099058D" w:rsidRDefault="00E1415B" w:rsidP="00F66665">
      <w:pPr>
        <w:pStyle w:val="Saludo"/>
        <w:jc w:val="both"/>
        <w:rPr>
          <w:rFonts w:ascii="Arial" w:hAnsi="Arial" w:cs="Arial"/>
          <w:b/>
          <w:sz w:val="22"/>
          <w:szCs w:val="22"/>
        </w:rPr>
      </w:pPr>
    </w:p>
    <w:p w14:paraId="3577E305" w14:textId="18A3B045" w:rsidR="00FB62DE" w:rsidRPr="0099058D" w:rsidRDefault="003A7320" w:rsidP="00F66665">
      <w:pPr>
        <w:pStyle w:val="Saludo"/>
        <w:jc w:val="both"/>
        <w:rPr>
          <w:rFonts w:ascii="Arial" w:hAnsi="Arial" w:cs="Arial"/>
          <w:b/>
          <w:sz w:val="22"/>
          <w:szCs w:val="22"/>
        </w:rPr>
      </w:pPr>
      <w:r w:rsidRPr="0099058D">
        <w:rPr>
          <w:rFonts w:ascii="Arial" w:hAnsi="Arial" w:cs="Arial"/>
          <w:b/>
          <w:sz w:val="22"/>
          <w:szCs w:val="22"/>
        </w:rPr>
        <w:t>S</w:t>
      </w:r>
      <w:r w:rsidR="00FB62DE" w:rsidRPr="0099058D">
        <w:rPr>
          <w:rFonts w:ascii="Arial" w:hAnsi="Arial" w:cs="Arial"/>
          <w:b/>
          <w:sz w:val="22"/>
          <w:szCs w:val="22"/>
        </w:rPr>
        <w:t>E RESUELVE:</w:t>
      </w:r>
    </w:p>
    <w:p w14:paraId="39B1093F" w14:textId="77777777" w:rsidR="003D6917" w:rsidRPr="0099058D" w:rsidRDefault="003D6917" w:rsidP="00F66665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02FC27D6" w14:textId="6C7E910B" w:rsidR="00B53036" w:rsidRPr="0099058D" w:rsidRDefault="007D45C6" w:rsidP="00F666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PE"/>
        </w:rPr>
      </w:pPr>
      <w:r w:rsidRPr="0099058D">
        <w:rPr>
          <w:rFonts w:ascii="Arial" w:hAnsi="Arial" w:cs="Arial"/>
          <w:b/>
          <w:lang w:eastAsia="es-ES"/>
        </w:rPr>
        <w:t>Artículo 1.</w:t>
      </w:r>
      <w:r w:rsidR="00E47359" w:rsidRPr="0099058D">
        <w:rPr>
          <w:rFonts w:ascii="Arial" w:hAnsi="Arial" w:cs="Arial"/>
          <w:b/>
          <w:lang w:eastAsia="es-ES"/>
        </w:rPr>
        <w:t xml:space="preserve"> </w:t>
      </w:r>
      <w:r w:rsidR="003A245D" w:rsidRPr="0099058D">
        <w:rPr>
          <w:rFonts w:ascii="Arial" w:eastAsia="Times New Roman" w:hAnsi="Arial" w:cs="Arial"/>
          <w:b/>
          <w:bCs/>
          <w:lang w:eastAsia="es-PE"/>
        </w:rPr>
        <w:t> </w:t>
      </w:r>
      <w:r w:rsidR="00B53036" w:rsidRPr="0099058D">
        <w:rPr>
          <w:rFonts w:ascii="Arial" w:eastAsia="Times New Roman" w:hAnsi="Arial" w:cs="Arial"/>
          <w:b/>
          <w:bCs/>
          <w:lang w:eastAsia="es-PE"/>
        </w:rPr>
        <w:t>Definiciones</w:t>
      </w:r>
    </w:p>
    <w:p w14:paraId="5F9630EF" w14:textId="77777777" w:rsidR="009A1E50" w:rsidRPr="0099058D" w:rsidRDefault="009A1E50" w:rsidP="00F66665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6464C704" w14:textId="651E89B7" w:rsidR="001270B9" w:rsidRPr="0099058D" w:rsidRDefault="001270B9" w:rsidP="00F66665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99058D">
        <w:rPr>
          <w:rFonts w:ascii="Arial" w:eastAsia="Times New Roman" w:hAnsi="Arial" w:cs="Arial"/>
          <w:lang w:eastAsia="es-PE"/>
        </w:rPr>
        <w:t>Para efecto de la presente resolución se entiende por:</w:t>
      </w:r>
    </w:p>
    <w:p w14:paraId="4E8FEDC7" w14:textId="77777777" w:rsidR="00F66665" w:rsidRPr="0099058D" w:rsidRDefault="00F66665" w:rsidP="00F66665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tbl>
      <w:tblPr>
        <w:tblStyle w:val="Tablaconc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5"/>
        <w:gridCol w:w="242"/>
        <w:gridCol w:w="5842"/>
      </w:tblGrid>
      <w:tr w:rsidR="0099058D" w:rsidRPr="0099058D" w14:paraId="291ABD70" w14:textId="77777777" w:rsidTr="00AE7888">
        <w:tc>
          <w:tcPr>
            <w:tcW w:w="426" w:type="dxa"/>
          </w:tcPr>
          <w:p w14:paraId="2E4D13F3" w14:textId="122F6DA9" w:rsidR="00996197" w:rsidRPr="0099058D" w:rsidRDefault="00C0369D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a)</w:t>
            </w:r>
          </w:p>
        </w:tc>
        <w:tc>
          <w:tcPr>
            <w:tcW w:w="1995" w:type="dxa"/>
          </w:tcPr>
          <w:p w14:paraId="5E031157" w14:textId="572B0027" w:rsidR="00996197" w:rsidRPr="0099058D" w:rsidRDefault="00996197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Beneficiario final</w:t>
            </w:r>
          </w:p>
        </w:tc>
        <w:tc>
          <w:tcPr>
            <w:tcW w:w="242" w:type="dxa"/>
          </w:tcPr>
          <w:p w14:paraId="36BD1C0F" w14:textId="02A1B926" w:rsidR="00996197" w:rsidRPr="0099058D" w:rsidRDefault="00F66665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:</w:t>
            </w:r>
          </w:p>
        </w:tc>
        <w:tc>
          <w:tcPr>
            <w:tcW w:w="5842" w:type="dxa"/>
          </w:tcPr>
          <w:p w14:paraId="4292286B" w14:textId="77777777" w:rsidR="00996197" w:rsidRPr="0099058D" w:rsidRDefault="00996197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A la persona natural que efectiva y finalmente posee o controla personas jurídicas o entes jurídicos, a que se refiere el literal a) del párrafo 2.1 del artículo 2 del reglamento.</w:t>
            </w:r>
          </w:p>
          <w:p w14:paraId="0FEA430B" w14:textId="05D7CAF7" w:rsidR="00F66665" w:rsidRPr="0099058D" w:rsidRDefault="00F66665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99058D" w:rsidRPr="0099058D" w14:paraId="195BAE01" w14:textId="77777777" w:rsidTr="00AE7888">
        <w:tc>
          <w:tcPr>
            <w:tcW w:w="426" w:type="dxa"/>
          </w:tcPr>
          <w:p w14:paraId="611F64CA" w14:textId="6D3999B9" w:rsidR="001270B9" w:rsidRPr="0099058D" w:rsidRDefault="00C0369D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b)</w:t>
            </w:r>
          </w:p>
        </w:tc>
        <w:tc>
          <w:tcPr>
            <w:tcW w:w="1995" w:type="dxa"/>
          </w:tcPr>
          <w:p w14:paraId="0C6A8EA6" w14:textId="65536EEE" w:rsidR="001270B9" w:rsidRPr="0099058D" w:rsidRDefault="001270B9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Declaración</w:t>
            </w:r>
          </w:p>
        </w:tc>
        <w:tc>
          <w:tcPr>
            <w:tcW w:w="242" w:type="dxa"/>
          </w:tcPr>
          <w:p w14:paraId="6EEF340B" w14:textId="4CD37A73" w:rsidR="001270B9" w:rsidRPr="0099058D" w:rsidRDefault="001270B9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:</w:t>
            </w:r>
          </w:p>
        </w:tc>
        <w:tc>
          <w:tcPr>
            <w:tcW w:w="5842" w:type="dxa"/>
          </w:tcPr>
          <w:p w14:paraId="48AC9BD3" w14:textId="77777777" w:rsidR="001270B9" w:rsidRPr="0099058D" w:rsidRDefault="001270B9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A la declaración jurada informativa del beneficiario final a que se refiere el literal c) del párrafo 2.1 del artículo 2 del reglamento.</w:t>
            </w:r>
          </w:p>
          <w:p w14:paraId="69AC7D9C" w14:textId="27BE4011" w:rsidR="00F66665" w:rsidRPr="0099058D" w:rsidRDefault="00F66665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99058D" w:rsidRPr="0099058D" w14:paraId="621D0C38" w14:textId="77777777" w:rsidTr="00AE7888">
        <w:tc>
          <w:tcPr>
            <w:tcW w:w="426" w:type="dxa"/>
          </w:tcPr>
          <w:p w14:paraId="6659C4F8" w14:textId="77777777" w:rsidR="001969ED" w:rsidRPr="0099058D" w:rsidRDefault="001969ED" w:rsidP="001969ED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c)</w:t>
            </w:r>
          </w:p>
          <w:p w14:paraId="05802BDD" w14:textId="77777777" w:rsidR="001969ED" w:rsidRPr="0099058D" w:rsidRDefault="001969ED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1995" w:type="dxa"/>
          </w:tcPr>
          <w:p w14:paraId="302111CA" w14:textId="77777777" w:rsidR="001969ED" w:rsidRPr="0099058D" w:rsidRDefault="001969ED" w:rsidP="001969ED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Ente Jurídico</w:t>
            </w:r>
          </w:p>
          <w:p w14:paraId="211F60CE" w14:textId="77777777" w:rsidR="001969ED" w:rsidRPr="0099058D" w:rsidRDefault="001969ED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42" w:type="dxa"/>
          </w:tcPr>
          <w:p w14:paraId="4BD1760F" w14:textId="7EA12E33" w:rsidR="001969ED" w:rsidRPr="0099058D" w:rsidRDefault="001969ED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:</w:t>
            </w:r>
          </w:p>
        </w:tc>
        <w:tc>
          <w:tcPr>
            <w:tcW w:w="5842" w:type="dxa"/>
          </w:tcPr>
          <w:p w14:paraId="45E49B7A" w14:textId="01C9F70E" w:rsidR="001969ED" w:rsidRPr="0099058D" w:rsidRDefault="001969ED" w:rsidP="001969ED">
            <w:pPr>
              <w:jc w:val="both"/>
              <w:rPr>
                <w:rFonts w:ascii="Arial" w:hAnsi="Arial" w:cs="Arial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A uno de los obligados a presentar la declaración de beneficiario final definidos en el literal d) del párrafo 3.</w:t>
            </w:r>
            <w:r w:rsidR="0028030E" w:rsidRPr="0099058D">
              <w:rPr>
                <w:rFonts w:ascii="Arial" w:eastAsia="Times New Roman" w:hAnsi="Arial" w:cs="Arial"/>
                <w:lang w:eastAsia="es-PE"/>
              </w:rPr>
              <w:t xml:space="preserve">1 </w:t>
            </w:r>
            <w:r w:rsidRPr="0099058D">
              <w:rPr>
                <w:rFonts w:ascii="Arial" w:eastAsia="Times New Roman" w:hAnsi="Arial" w:cs="Arial"/>
                <w:lang w:eastAsia="es-PE"/>
              </w:rPr>
              <w:t xml:space="preserve">del artículo 3 del Decreto Legislativo </w:t>
            </w:r>
            <w:proofErr w:type="spellStart"/>
            <w:r w:rsidR="00BB611E" w:rsidRPr="0099058D">
              <w:rPr>
                <w:rFonts w:ascii="Arial" w:eastAsia="Times New Roman" w:hAnsi="Arial" w:cs="Arial"/>
                <w:lang w:eastAsia="es-PE"/>
              </w:rPr>
              <w:t>N.°</w:t>
            </w:r>
            <w:proofErr w:type="spellEnd"/>
            <w:r w:rsidR="00BB611E" w:rsidRPr="0099058D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Pr="0099058D">
              <w:rPr>
                <w:rFonts w:ascii="Arial" w:eastAsia="Times New Roman" w:hAnsi="Arial" w:cs="Arial"/>
                <w:lang w:eastAsia="es-PE"/>
              </w:rPr>
              <w:t>1372</w:t>
            </w:r>
            <w:r w:rsidR="008955D5" w:rsidRPr="00F90650">
              <w:rPr>
                <w:rFonts w:ascii="Arial" w:eastAsia="Times New Roman" w:hAnsi="Arial" w:cs="Arial"/>
                <w:lang w:eastAsia="es-PE"/>
              </w:rPr>
              <w:t>,</w:t>
            </w:r>
            <w:r w:rsidRPr="0099058D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Pr="0099058D">
              <w:rPr>
                <w:rFonts w:ascii="Arial" w:hAnsi="Arial" w:cs="Arial"/>
              </w:rPr>
              <w:t xml:space="preserve">que regula la obligación de las personas jurídicas y/o entes jurídicos de informar la identificación de los beneficiarios finales. </w:t>
            </w:r>
          </w:p>
          <w:p w14:paraId="3DAAF245" w14:textId="32E26014" w:rsidR="001969ED" w:rsidRPr="0099058D" w:rsidRDefault="001969ED" w:rsidP="001969ED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99058D" w:rsidRPr="0099058D" w14:paraId="4E4B72AA" w14:textId="77777777" w:rsidTr="00AE7888">
        <w:tc>
          <w:tcPr>
            <w:tcW w:w="426" w:type="dxa"/>
          </w:tcPr>
          <w:p w14:paraId="63A92A2D" w14:textId="501CC142" w:rsidR="005A0F91" w:rsidRPr="0099058D" w:rsidRDefault="005A0F91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d)</w:t>
            </w:r>
          </w:p>
        </w:tc>
        <w:tc>
          <w:tcPr>
            <w:tcW w:w="1995" w:type="dxa"/>
          </w:tcPr>
          <w:p w14:paraId="569EDE60" w14:textId="77777777" w:rsidR="005A0F91" w:rsidRPr="0099058D" w:rsidRDefault="00F165E7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 xml:space="preserve">Ley del </w:t>
            </w:r>
            <w:r w:rsidR="00E1415B" w:rsidRPr="0099058D">
              <w:rPr>
                <w:rFonts w:ascii="Arial" w:eastAsia="Times New Roman" w:hAnsi="Arial" w:cs="Arial"/>
                <w:lang w:eastAsia="es-PE"/>
              </w:rPr>
              <w:t>Impuesto a la Renta</w:t>
            </w:r>
          </w:p>
          <w:p w14:paraId="6BC3DBC2" w14:textId="452C7C06" w:rsidR="00E1415B" w:rsidRPr="0099058D" w:rsidRDefault="00E1415B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42" w:type="dxa"/>
          </w:tcPr>
          <w:p w14:paraId="53D29265" w14:textId="58A2BDFC" w:rsidR="00E1415B" w:rsidRPr="0099058D" w:rsidRDefault="00E1415B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:</w:t>
            </w:r>
          </w:p>
        </w:tc>
        <w:tc>
          <w:tcPr>
            <w:tcW w:w="5842" w:type="dxa"/>
          </w:tcPr>
          <w:p w14:paraId="63A94EC9" w14:textId="057A85A6" w:rsidR="005A0F91" w:rsidRPr="0099058D" w:rsidRDefault="00E1415B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hAnsi="Arial" w:cs="Arial"/>
                <w:shd w:val="clear" w:color="auto" w:fill="FFFFFF"/>
              </w:rPr>
              <w:t xml:space="preserve">Al Decreto Legislativo </w:t>
            </w:r>
            <w:proofErr w:type="spellStart"/>
            <w:r w:rsidRPr="0099058D">
              <w:rPr>
                <w:rFonts w:ascii="Arial" w:hAnsi="Arial" w:cs="Arial"/>
                <w:shd w:val="clear" w:color="auto" w:fill="FFFFFF"/>
              </w:rPr>
              <w:t>N.°</w:t>
            </w:r>
            <w:proofErr w:type="spellEnd"/>
            <w:r w:rsidRPr="0099058D">
              <w:rPr>
                <w:rFonts w:ascii="Arial" w:hAnsi="Arial" w:cs="Arial"/>
                <w:shd w:val="clear" w:color="auto" w:fill="FFFFFF"/>
              </w:rPr>
              <w:t xml:space="preserve"> 774, cuyo Texto Único Ordenado ha sido aprobado por el Decreto Supremo </w:t>
            </w:r>
            <w:proofErr w:type="spellStart"/>
            <w:r w:rsidRPr="0099058D">
              <w:rPr>
                <w:rFonts w:ascii="Arial" w:hAnsi="Arial" w:cs="Arial"/>
                <w:shd w:val="clear" w:color="auto" w:fill="FFFFFF"/>
              </w:rPr>
              <w:t>N.°</w:t>
            </w:r>
            <w:proofErr w:type="spellEnd"/>
            <w:r w:rsidRPr="0099058D">
              <w:rPr>
                <w:rFonts w:ascii="Arial" w:hAnsi="Arial" w:cs="Arial"/>
                <w:shd w:val="clear" w:color="auto" w:fill="FFFFFF"/>
              </w:rPr>
              <w:t xml:space="preserve"> 179-2004-EF.</w:t>
            </w:r>
          </w:p>
          <w:p w14:paraId="5046FC57" w14:textId="092109C9" w:rsidR="00F66665" w:rsidRPr="0099058D" w:rsidRDefault="00F66665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99058D" w:rsidRPr="0099058D" w14:paraId="0F838A14" w14:textId="77777777" w:rsidTr="00AE7888">
        <w:tc>
          <w:tcPr>
            <w:tcW w:w="426" w:type="dxa"/>
          </w:tcPr>
          <w:p w14:paraId="6D2F1827" w14:textId="4D1F0A70" w:rsidR="001270B9" w:rsidRPr="0099058D" w:rsidRDefault="00E1415B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e</w:t>
            </w:r>
            <w:r w:rsidR="00C0369D" w:rsidRPr="0099058D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  <w:tc>
          <w:tcPr>
            <w:tcW w:w="1995" w:type="dxa"/>
          </w:tcPr>
          <w:p w14:paraId="42BE8E6C" w14:textId="1A7B137E" w:rsidR="001270B9" w:rsidRPr="0099058D" w:rsidRDefault="001270B9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Reglamento</w:t>
            </w:r>
          </w:p>
        </w:tc>
        <w:tc>
          <w:tcPr>
            <w:tcW w:w="242" w:type="dxa"/>
          </w:tcPr>
          <w:p w14:paraId="236AA19F" w14:textId="7EA77AE6" w:rsidR="001270B9" w:rsidRPr="0099058D" w:rsidRDefault="001270B9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:</w:t>
            </w:r>
          </w:p>
        </w:tc>
        <w:tc>
          <w:tcPr>
            <w:tcW w:w="5842" w:type="dxa"/>
          </w:tcPr>
          <w:p w14:paraId="5D012A31" w14:textId="77777777" w:rsidR="001270B9" w:rsidRPr="0099058D" w:rsidRDefault="001270B9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 xml:space="preserve">Al Reglamento del Decreto Legislativo </w:t>
            </w:r>
            <w:proofErr w:type="spellStart"/>
            <w:r w:rsidRPr="0099058D">
              <w:rPr>
                <w:rFonts w:ascii="Arial" w:eastAsia="Times New Roman" w:hAnsi="Arial" w:cs="Arial"/>
                <w:lang w:eastAsia="es-PE"/>
              </w:rPr>
              <w:t>N.</w:t>
            </w:r>
            <w:r w:rsidRPr="00F90650">
              <w:rPr>
                <w:rFonts w:ascii="Arial" w:eastAsia="Times New Roman" w:hAnsi="Arial" w:cs="Arial"/>
                <w:lang w:eastAsia="es-PE"/>
              </w:rPr>
              <w:t>°</w:t>
            </w:r>
            <w:proofErr w:type="spellEnd"/>
            <w:r w:rsidRPr="0099058D">
              <w:rPr>
                <w:rFonts w:ascii="Arial" w:eastAsia="Times New Roman" w:hAnsi="Arial" w:cs="Arial"/>
                <w:lang w:eastAsia="es-PE"/>
              </w:rPr>
              <w:t xml:space="preserve"> 1372, aprobado por el Decreto Supremo </w:t>
            </w:r>
            <w:proofErr w:type="spellStart"/>
            <w:r w:rsidRPr="0099058D">
              <w:rPr>
                <w:rFonts w:ascii="Arial" w:eastAsia="Times New Roman" w:hAnsi="Arial" w:cs="Arial"/>
                <w:lang w:eastAsia="es-PE"/>
              </w:rPr>
              <w:t>N.°</w:t>
            </w:r>
            <w:proofErr w:type="spellEnd"/>
            <w:r w:rsidRPr="0099058D">
              <w:rPr>
                <w:rFonts w:ascii="Arial" w:eastAsia="Times New Roman" w:hAnsi="Arial" w:cs="Arial"/>
                <w:lang w:eastAsia="es-PE"/>
              </w:rPr>
              <w:t xml:space="preserve"> 003-2019-EF.</w:t>
            </w:r>
          </w:p>
          <w:p w14:paraId="4CC7292D" w14:textId="18A069A2" w:rsidR="00F66665" w:rsidRPr="0099058D" w:rsidRDefault="00F66665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F66665" w:rsidRPr="0099058D" w14:paraId="0219BEF5" w14:textId="77777777" w:rsidTr="00AE7888">
        <w:tc>
          <w:tcPr>
            <w:tcW w:w="426" w:type="dxa"/>
          </w:tcPr>
          <w:p w14:paraId="4CBFDBFD" w14:textId="3AE049D9" w:rsidR="00F66665" w:rsidRPr="0099058D" w:rsidRDefault="00E1415B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f</w:t>
            </w:r>
            <w:r w:rsidR="00C0369D" w:rsidRPr="0099058D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  <w:tc>
          <w:tcPr>
            <w:tcW w:w="1995" w:type="dxa"/>
          </w:tcPr>
          <w:p w14:paraId="7767669A" w14:textId="53AD29EF" w:rsidR="00F66665" w:rsidRPr="0099058D" w:rsidRDefault="00F66665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UIT</w:t>
            </w:r>
          </w:p>
        </w:tc>
        <w:tc>
          <w:tcPr>
            <w:tcW w:w="242" w:type="dxa"/>
          </w:tcPr>
          <w:p w14:paraId="54D81F26" w14:textId="19F25366" w:rsidR="00F66665" w:rsidRPr="0099058D" w:rsidRDefault="00F66665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:</w:t>
            </w:r>
          </w:p>
        </w:tc>
        <w:tc>
          <w:tcPr>
            <w:tcW w:w="5842" w:type="dxa"/>
          </w:tcPr>
          <w:p w14:paraId="022FE2BB" w14:textId="5AD0E7A7" w:rsidR="00F66665" w:rsidRPr="0099058D" w:rsidRDefault="00F66665" w:rsidP="00F66665">
            <w:pPr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99058D">
              <w:rPr>
                <w:rFonts w:ascii="Arial" w:eastAsia="Times New Roman" w:hAnsi="Arial" w:cs="Arial"/>
                <w:lang w:eastAsia="es-PE"/>
              </w:rPr>
              <w:t>A la Unidad Impositiva Tributaria</w:t>
            </w:r>
            <w:r w:rsidR="00DC4E0C" w:rsidRPr="0099058D">
              <w:rPr>
                <w:rFonts w:ascii="Arial" w:eastAsia="Times New Roman" w:hAnsi="Arial" w:cs="Arial"/>
                <w:lang w:eastAsia="es-PE"/>
              </w:rPr>
              <w:t>.</w:t>
            </w:r>
          </w:p>
        </w:tc>
      </w:tr>
    </w:tbl>
    <w:p w14:paraId="643B6371" w14:textId="77777777" w:rsidR="009A1E50" w:rsidRPr="0099058D" w:rsidRDefault="009A1E50" w:rsidP="00F66665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</w:p>
    <w:p w14:paraId="4FF2DFFD" w14:textId="3EDD9811" w:rsidR="003A245D" w:rsidRPr="0099058D" w:rsidRDefault="00B53036" w:rsidP="00AE788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PE"/>
        </w:rPr>
      </w:pPr>
      <w:r w:rsidRPr="0099058D">
        <w:rPr>
          <w:rFonts w:ascii="Arial" w:eastAsia="Times New Roman" w:hAnsi="Arial" w:cs="Arial"/>
          <w:b/>
          <w:bCs/>
          <w:lang w:eastAsia="es-PE"/>
        </w:rPr>
        <w:t xml:space="preserve">Artículo </w:t>
      </w:r>
      <w:r w:rsidR="005A0F91" w:rsidRPr="0099058D">
        <w:rPr>
          <w:rFonts w:ascii="Arial" w:eastAsia="Times New Roman" w:hAnsi="Arial" w:cs="Arial"/>
          <w:b/>
          <w:bCs/>
          <w:lang w:eastAsia="es-PE"/>
        </w:rPr>
        <w:t>2</w:t>
      </w:r>
      <w:r w:rsidRPr="0099058D">
        <w:rPr>
          <w:rFonts w:ascii="Arial" w:eastAsia="Times New Roman" w:hAnsi="Arial" w:cs="Arial"/>
          <w:b/>
          <w:bCs/>
          <w:lang w:eastAsia="es-PE"/>
        </w:rPr>
        <w:t xml:space="preserve">. </w:t>
      </w:r>
      <w:r w:rsidR="00552AA4" w:rsidRPr="0099058D">
        <w:rPr>
          <w:rFonts w:ascii="Arial" w:eastAsia="Times New Roman" w:hAnsi="Arial" w:cs="Arial"/>
          <w:b/>
          <w:bCs/>
          <w:lang w:eastAsia="es-PE"/>
        </w:rPr>
        <w:t>Sujetos que deben p</w:t>
      </w:r>
      <w:r w:rsidR="00B601F5" w:rsidRPr="0099058D">
        <w:rPr>
          <w:rFonts w:ascii="Arial" w:eastAsia="Times New Roman" w:hAnsi="Arial" w:cs="Arial"/>
          <w:b/>
          <w:bCs/>
          <w:lang w:eastAsia="es-PE"/>
        </w:rPr>
        <w:t>resenta</w:t>
      </w:r>
      <w:r w:rsidR="00552AA4" w:rsidRPr="0099058D">
        <w:rPr>
          <w:rFonts w:ascii="Arial" w:eastAsia="Times New Roman" w:hAnsi="Arial" w:cs="Arial"/>
          <w:b/>
          <w:bCs/>
          <w:lang w:eastAsia="es-PE"/>
        </w:rPr>
        <w:t xml:space="preserve">r </w:t>
      </w:r>
      <w:r w:rsidR="00B601F5" w:rsidRPr="0099058D">
        <w:rPr>
          <w:rFonts w:ascii="Arial" w:eastAsia="Times New Roman" w:hAnsi="Arial" w:cs="Arial"/>
          <w:b/>
          <w:bCs/>
          <w:lang w:eastAsia="es-PE"/>
        </w:rPr>
        <w:t xml:space="preserve">la </w:t>
      </w:r>
      <w:r w:rsidR="003A245D" w:rsidRPr="0099058D">
        <w:rPr>
          <w:rFonts w:ascii="Arial" w:eastAsia="Times New Roman" w:hAnsi="Arial" w:cs="Arial"/>
          <w:b/>
          <w:bCs/>
          <w:lang w:eastAsia="es-PE"/>
        </w:rPr>
        <w:t>declaración en l</w:t>
      </w:r>
      <w:r w:rsidR="00DC4E0C" w:rsidRPr="0099058D">
        <w:rPr>
          <w:rFonts w:ascii="Arial" w:eastAsia="Times New Roman" w:hAnsi="Arial" w:cs="Arial"/>
          <w:b/>
          <w:bCs/>
          <w:lang w:eastAsia="es-PE"/>
        </w:rPr>
        <w:t>os</w:t>
      </w:r>
      <w:r w:rsidR="003A245D" w:rsidRPr="0099058D">
        <w:rPr>
          <w:rFonts w:ascii="Arial" w:eastAsia="Times New Roman" w:hAnsi="Arial" w:cs="Arial"/>
          <w:b/>
          <w:bCs/>
          <w:lang w:eastAsia="es-PE"/>
        </w:rPr>
        <w:t xml:space="preserve"> año</w:t>
      </w:r>
      <w:r w:rsidR="00DC4E0C" w:rsidRPr="0099058D">
        <w:rPr>
          <w:rFonts w:ascii="Arial" w:eastAsia="Times New Roman" w:hAnsi="Arial" w:cs="Arial"/>
          <w:b/>
          <w:bCs/>
          <w:lang w:eastAsia="es-PE"/>
        </w:rPr>
        <w:t>s</w:t>
      </w:r>
      <w:r w:rsidR="003A245D" w:rsidRPr="0099058D">
        <w:rPr>
          <w:rFonts w:ascii="Arial" w:eastAsia="Times New Roman" w:hAnsi="Arial" w:cs="Arial"/>
          <w:b/>
          <w:bCs/>
          <w:lang w:eastAsia="es-PE"/>
        </w:rPr>
        <w:t xml:space="preserve"> 202</w:t>
      </w:r>
      <w:r w:rsidR="00DC4E0C" w:rsidRPr="0099058D">
        <w:rPr>
          <w:rFonts w:ascii="Arial" w:eastAsia="Times New Roman" w:hAnsi="Arial" w:cs="Arial"/>
          <w:b/>
          <w:bCs/>
          <w:lang w:eastAsia="es-PE"/>
        </w:rPr>
        <w:t xml:space="preserve">2 </w:t>
      </w:r>
      <w:r w:rsidR="00AE7888" w:rsidRPr="0099058D">
        <w:rPr>
          <w:rFonts w:ascii="Arial" w:eastAsia="Times New Roman" w:hAnsi="Arial" w:cs="Arial"/>
          <w:b/>
          <w:bCs/>
          <w:lang w:eastAsia="es-PE"/>
        </w:rPr>
        <w:t>o</w:t>
      </w:r>
      <w:r w:rsidR="00DC4E0C" w:rsidRPr="0099058D">
        <w:rPr>
          <w:rFonts w:ascii="Arial" w:eastAsia="Times New Roman" w:hAnsi="Arial" w:cs="Arial"/>
          <w:b/>
          <w:bCs/>
          <w:lang w:eastAsia="es-PE"/>
        </w:rPr>
        <w:t xml:space="preserve"> 2023</w:t>
      </w:r>
      <w:r w:rsidR="003A245D" w:rsidRPr="0099058D">
        <w:rPr>
          <w:rFonts w:ascii="Arial" w:eastAsia="Times New Roman" w:hAnsi="Arial" w:cs="Arial"/>
          <w:b/>
          <w:bCs/>
          <w:lang w:eastAsia="es-PE"/>
        </w:rPr>
        <w:t xml:space="preserve"> </w:t>
      </w:r>
      <w:r w:rsidR="00AE7888" w:rsidRPr="0099058D">
        <w:rPr>
          <w:rFonts w:ascii="Arial" w:eastAsia="Times New Roman" w:hAnsi="Arial" w:cs="Arial"/>
          <w:b/>
          <w:bCs/>
          <w:lang w:eastAsia="es-PE"/>
        </w:rPr>
        <w:t>y plazo de presentación</w:t>
      </w:r>
    </w:p>
    <w:p w14:paraId="6292F4EC" w14:textId="77777777" w:rsidR="00AA6FFE" w:rsidRPr="0099058D" w:rsidRDefault="00AA6FFE" w:rsidP="00B441A9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</w:p>
    <w:p w14:paraId="548CA2A5" w14:textId="5B12D82E" w:rsidR="008955D5" w:rsidRDefault="00C32BE1" w:rsidP="00A52D4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BF786D">
        <w:rPr>
          <w:rFonts w:ascii="Arial" w:eastAsia="Times New Roman" w:hAnsi="Arial" w:cs="Arial"/>
          <w:lang w:eastAsia="es-PE"/>
        </w:rPr>
        <w:t xml:space="preserve">Deben </w:t>
      </w:r>
      <w:r w:rsidR="008955D5" w:rsidRPr="00BF786D">
        <w:rPr>
          <w:rFonts w:ascii="Arial" w:eastAsia="Times New Roman" w:hAnsi="Arial" w:cs="Arial"/>
          <w:lang w:eastAsia="es-PE"/>
        </w:rPr>
        <w:t>presentar la declaración en el año 2022 o 2023, conforme se detalla a continuación:</w:t>
      </w:r>
      <w:r w:rsidR="008955D5">
        <w:rPr>
          <w:rFonts w:ascii="Arial" w:eastAsia="Times New Roman" w:hAnsi="Arial" w:cs="Arial"/>
          <w:lang w:eastAsia="es-PE"/>
        </w:rPr>
        <w:t xml:space="preserve"> </w:t>
      </w:r>
    </w:p>
    <w:p w14:paraId="31041D0B" w14:textId="77777777" w:rsidR="008955D5" w:rsidRPr="0099058D" w:rsidRDefault="008955D5" w:rsidP="00A52D4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1AD550DA" w14:textId="20A11042" w:rsidR="008955D5" w:rsidRPr="008955D5" w:rsidRDefault="001C2330" w:rsidP="007955A2">
      <w:pPr>
        <w:pStyle w:val="Prrafodelista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bCs/>
          <w:lang w:eastAsia="es-PE"/>
        </w:rPr>
        <w:t xml:space="preserve">a) </w:t>
      </w:r>
      <w:r w:rsidR="008955D5" w:rsidRPr="008955D5">
        <w:rPr>
          <w:rFonts w:ascii="Arial" w:eastAsia="Times New Roman" w:hAnsi="Arial" w:cs="Arial"/>
          <w:bCs/>
          <w:lang w:eastAsia="es-PE"/>
        </w:rPr>
        <w:t xml:space="preserve">Las personas jurídicas domiciliadas en el país de acuerdo con lo dispuesto en el </w:t>
      </w:r>
      <w:r w:rsidR="008955D5" w:rsidRPr="008955D5">
        <w:rPr>
          <w:rFonts w:ascii="Arial" w:eastAsia="Times New Roman" w:hAnsi="Arial" w:cs="Arial"/>
          <w:bCs/>
          <w:lang w:eastAsia="es-PE"/>
        </w:rPr>
        <w:lastRenderedPageBreak/>
        <w:t>artículo 7 de la Ley del Impuesto a la Renta</w:t>
      </w:r>
      <w:r w:rsidR="00EF2B06">
        <w:rPr>
          <w:rFonts w:ascii="Arial" w:eastAsia="Times New Roman" w:hAnsi="Arial" w:cs="Arial"/>
          <w:bCs/>
          <w:lang w:eastAsia="es-PE"/>
        </w:rPr>
        <w:t xml:space="preserve"> que, en base a sus </w:t>
      </w:r>
      <w:r w:rsidR="008955D5">
        <w:rPr>
          <w:rFonts w:ascii="Arial" w:eastAsia="Times New Roman" w:hAnsi="Arial" w:cs="Arial"/>
          <w:bCs/>
          <w:lang w:eastAsia="es-PE"/>
        </w:rPr>
        <w:t>ingresos netos calculados según lo previsto en el artículo 3</w:t>
      </w:r>
      <w:r w:rsidR="008955D5" w:rsidRPr="008955D5">
        <w:rPr>
          <w:rFonts w:ascii="Arial" w:eastAsia="Times New Roman" w:hAnsi="Arial" w:cs="Arial"/>
          <w:bCs/>
          <w:lang w:eastAsia="es-PE"/>
        </w:rPr>
        <w:t xml:space="preserve">, </w:t>
      </w:r>
      <w:r w:rsidR="00EF2B06">
        <w:rPr>
          <w:rFonts w:ascii="Arial" w:eastAsia="Times New Roman" w:hAnsi="Arial" w:cs="Arial"/>
          <w:bCs/>
          <w:lang w:eastAsia="es-PE"/>
        </w:rPr>
        <w:t>estén comprendidas en los siguientes tramos</w:t>
      </w:r>
      <w:r w:rsidR="008955D5" w:rsidRPr="008955D5">
        <w:rPr>
          <w:rFonts w:ascii="Arial" w:eastAsia="Times New Roman" w:hAnsi="Arial" w:cs="Arial"/>
          <w:bCs/>
          <w:lang w:eastAsia="es-PE"/>
        </w:rPr>
        <w:t>:</w:t>
      </w:r>
    </w:p>
    <w:p w14:paraId="419AFB44" w14:textId="77777777" w:rsidR="008955D5" w:rsidRPr="0099058D" w:rsidRDefault="008955D5" w:rsidP="00203CE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977"/>
        <w:gridCol w:w="3679"/>
      </w:tblGrid>
      <w:tr w:rsidR="0099058D" w:rsidRPr="000463A0" w14:paraId="7567103C" w14:textId="62BECEB0" w:rsidTr="00E279D6">
        <w:trPr>
          <w:jc w:val="center"/>
        </w:trPr>
        <w:tc>
          <w:tcPr>
            <w:tcW w:w="852" w:type="dxa"/>
          </w:tcPr>
          <w:p w14:paraId="6EDB5DA6" w14:textId="77777777" w:rsidR="00ED47D0" w:rsidRPr="000463A0" w:rsidRDefault="00ED47D0" w:rsidP="001A2B4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bookmarkStart w:id="1" w:name="_Hlk95851980"/>
            <w:r w:rsidRPr="000463A0">
              <w:rPr>
                <w:rFonts w:ascii="Arial" w:hAnsi="Arial" w:cs="Arial"/>
                <w:shd w:val="clear" w:color="auto" w:fill="FFFFFF"/>
              </w:rPr>
              <w:t>Tramo</w:t>
            </w:r>
          </w:p>
        </w:tc>
        <w:tc>
          <w:tcPr>
            <w:tcW w:w="2977" w:type="dxa"/>
            <w:shd w:val="clear" w:color="auto" w:fill="auto"/>
          </w:tcPr>
          <w:p w14:paraId="70A497F9" w14:textId="694C1354" w:rsidR="00ED47D0" w:rsidRPr="000463A0" w:rsidRDefault="00ED47D0" w:rsidP="001A2B4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463A0">
              <w:rPr>
                <w:rFonts w:ascii="Arial" w:hAnsi="Arial" w:cs="Arial"/>
                <w:shd w:val="clear" w:color="auto" w:fill="FFFFFF"/>
              </w:rPr>
              <w:t>Ingresos</w:t>
            </w:r>
            <w:r w:rsidR="00E720E9" w:rsidRPr="000463A0">
              <w:rPr>
                <w:rFonts w:ascii="Arial" w:hAnsi="Arial" w:cs="Arial"/>
                <w:shd w:val="clear" w:color="auto" w:fill="FFFFFF"/>
              </w:rPr>
              <w:t xml:space="preserve"> Netos </w:t>
            </w:r>
          </w:p>
        </w:tc>
        <w:tc>
          <w:tcPr>
            <w:tcW w:w="3679" w:type="dxa"/>
          </w:tcPr>
          <w:p w14:paraId="4D0C1386" w14:textId="1F4D1815" w:rsidR="00333194" w:rsidRPr="000463A0" w:rsidRDefault="00AE7888" w:rsidP="003331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463A0">
              <w:rPr>
                <w:rFonts w:ascii="Arial" w:hAnsi="Arial" w:cs="Arial"/>
                <w:shd w:val="clear" w:color="auto" w:fill="FFFFFF"/>
              </w:rPr>
              <w:t xml:space="preserve">Plazo de </w:t>
            </w:r>
            <w:r w:rsidR="00ED47D0" w:rsidRPr="000463A0">
              <w:rPr>
                <w:rFonts w:ascii="Arial" w:hAnsi="Arial" w:cs="Arial"/>
                <w:shd w:val="clear" w:color="auto" w:fill="FFFFFF"/>
              </w:rPr>
              <w:t>presentación</w:t>
            </w:r>
            <w:r w:rsidRPr="000463A0">
              <w:rPr>
                <w:rFonts w:ascii="Arial" w:hAnsi="Arial" w:cs="Arial"/>
                <w:shd w:val="clear" w:color="auto" w:fill="FFFFFF"/>
              </w:rPr>
              <w:t>: hasta las</w:t>
            </w:r>
            <w:r w:rsidRPr="000463A0">
              <w:rPr>
                <w:rFonts w:ascii="Arial" w:hAnsi="Arial" w:cs="Arial"/>
                <w:strike/>
                <w:shd w:val="clear" w:color="auto" w:fill="FFFFFF"/>
              </w:rPr>
              <w:t xml:space="preserve"> </w:t>
            </w:r>
            <w:r w:rsidRPr="000463A0">
              <w:rPr>
                <w:rFonts w:ascii="Arial" w:hAnsi="Arial" w:cs="Arial"/>
                <w:shd w:val="clear" w:color="auto" w:fill="FFFFFF"/>
              </w:rPr>
              <w:t>fechas de vencimiento</w:t>
            </w:r>
            <w:r w:rsidR="000131A7" w:rsidRPr="000463A0">
              <w:rPr>
                <w:rFonts w:ascii="Arial" w:hAnsi="Arial" w:cs="Arial"/>
                <w:shd w:val="clear" w:color="auto" w:fill="FFFFFF"/>
              </w:rPr>
              <w:t xml:space="preserve"> para el cumplimiento de </w:t>
            </w:r>
            <w:r w:rsidR="00086166" w:rsidRPr="000463A0">
              <w:rPr>
                <w:rFonts w:ascii="Arial" w:hAnsi="Arial" w:cs="Arial"/>
                <w:shd w:val="clear" w:color="auto" w:fill="FFFFFF"/>
              </w:rPr>
              <w:t xml:space="preserve">las </w:t>
            </w:r>
            <w:r w:rsidRPr="000463A0">
              <w:rPr>
                <w:rFonts w:ascii="Arial" w:hAnsi="Arial" w:cs="Arial"/>
                <w:shd w:val="clear" w:color="auto" w:fill="FFFFFF"/>
              </w:rPr>
              <w:t>obligaciones mensuales</w:t>
            </w:r>
            <w:r w:rsidR="00086166" w:rsidRPr="000463A0">
              <w:rPr>
                <w:rFonts w:ascii="Arial" w:hAnsi="Arial" w:cs="Arial"/>
                <w:shd w:val="clear" w:color="auto" w:fill="FFFFFF"/>
              </w:rPr>
              <w:t xml:space="preserve"> de</w:t>
            </w:r>
            <w:r w:rsidRPr="000463A0">
              <w:rPr>
                <w:rFonts w:ascii="Arial" w:hAnsi="Arial" w:cs="Arial"/>
                <w:shd w:val="clear" w:color="auto" w:fill="FFFFFF"/>
              </w:rPr>
              <w:t>:</w:t>
            </w:r>
          </w:p>
        </w:tc>
      </w:tr>
      <w:tr w:rsidR="0099058D" w:rsidRPr="000463A0" w14:paraId="5AC6BD73" w14:textId="6355D07F" w:rsidTr="00E279D6">
        <w:trPr>
          <w:jc w:val="center"/>
        </w:trPr>
        <w:tc>
          <w:tcPr>
            <w:tcW w:w="852" w:type="dxa"/>
          </w:tcPr>
          <w:p w14:paraId="0DE6B37A" w14:textId="77777777" w:rsidR="00ED47D0" w:rsidRPr="000463A0" w:rsidRDefault="00ED47D0" w:rsidP="001A2B4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463A0">
              <w:rPr>
                <w:rFonts w:ascii="Arial" w:hAnsi="Arial" w:cs="Arial"/>
                <w:shd w:val="clear" w:color="auto" w:fill="FFFFFF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14:paraId="66801587" w14:textId="1D9FFBA5" w:rsidR="00ED47D0" w:rsidRPr="000463A0" w:rsidRDefault="00ED47D0" w:rsidP="003331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463A0">
              <w:rPr>
                <w:rFonts w:ascii="Arial" w:hAnsi="Arial" w:cs="Arial"/>
                <w:shd w:val="clear" w:color="auto" w:fill="FFFFFF"/>
              </w:rPr>
              <w:t>Más de 1000 UIT</w:t>
            </w:r>
            <w:r w:rsidR="00C66505" w:rsidRPr="000463A0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679" w:type="dxa"/>
          </w:tcPr>
          <w:p w14:paraId="6E2C89A7" w14:textId="0AF7A4FE" w:rsidR="00ED47D0" w:rsidRPr="00A66135" w:rsidRDefault="00091D90" w:rsidP="003331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A66135">
              <w:rPr>
                <w:rFonts w:ascii="Arial" w:hAnsi="Arial" w:cs="Arial"/>
                <w:shd w:val="clear" w:color="auto" w:fill="FFFFFF"/>
              </w:rPr>
              <w:t>Mayo</w:t>
            </w:r>
            <w:r w:rsidR="00AE7888" w:rsidRPr="00A66135">
              <w:rPr>
                <w:rFonts w:ascii="Arial" w:hAnsi="Arial" w:cs="Arial"/>
                <w:shd w:val="clear" w:color="auto" w:fill="FFFFFF"/>
              </w:rPr>
              <w:t xml:space="preserve"> de 2022</w:t>
            </w:r>
            <w:r w:rsidR="000131A7" w:rsidRPr="00A66135">
              <w:rPr>
                <w:rFonts w:ascii="Arial" w:hAnsi="Arial" w:cs="Arial"/>
                <w:shd w:val="clear" w:color="auto" w:fill="FFFFFF"/>
                <w:vertAlign w:val="superscript"/>
              </w:rPr>
              <w:t>(1)</w:t>
            </w:r>
          </w:p>
        </w:tc>
      </w:tr>
      <w:tr w:rsidR="0099058D" w:rsidRPr="000463A0" w14:paraId="2888FD7F" w14:textId="3DA9ACA0" w:rsidTr="00E279D6">
        <w:trPr>
          <w:jc w:val="center"/>
        </w:trPr>
        <w:tc>
          <w:tcPr>
            <w:tcW w:w="852" w:type="dxa"/>
          </w:tcPr>
          <w:p w14:paraId="155EC3B7" w14:textId="77777777" w:rsidR="00ED47D0" w:rsidRPr="000463A0" w:rsidRDefault="00ED47D0" w:rsidP="001A2B4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463A0">
              <w:rPr>
                <w:rFonts w:ascii="Arial" w:hAnsi="Arial" w:cs="Arial"/>
                <w:shd w:val="clear" w:color="auto" w:fill="FFFFFF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14:paraId="6F86FC46" w14:textId="185ED502" w:rsidR="00ED47D0" w:rsidRPr="000463A0" w:rsidRDefault="00ED47D0" w:rsidP="003331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463A0">
              <w:rPr>
                <w:rFonts w:ascii="Arial" w:hAnsi="Arial" w:cs="Arial"/>
                <w:shd w:val="clear" w:color="auto" w:fill="FFFFFF"/>
              </w:rPr>
              <w:t xml:space="preserve">Más </w:t>
            </w:r>
            <w:r w:rsidR="00394F6E" w:rsidRPr="000463A0">
              <w:rPr>
                <w:rFonts w:ascii="Arial" w:hAnsi="Arial" w:cs="Arial"/>
                <w:shd w:val="clear" w:color="auto" w:fill="FFFFFF"/>
              </w:rPr>
              <w:t xml:space="preserve">de </w:t>
            </w:r>
            <w:r w:rsidRPr="000463A0">
              <w:rPr>
                <w:rFonts w:ascii="Arial" w:hAnsi="Arial" w:cs="Arial"/>
                <w:shd w:val="clear" w:color="auto" w:fill="FFFFFF"/>
              </w:rPr>
              <w:t>500 UIT hasta 1000 UIT</w:t>
            </w:r>
            <w:r w:rsidR="008712C8" w:rsidRPr="000463A0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679" w:type="dxa"/>
          </w:tcPr>
          <w:p w14:paraId="315051C3" w14:textId="3C3B399B" w:rsidR="00ED47D0" w:rsidRPr="00A66135" w:rsidRDefault="00AE7888" w:rsidP="003331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A66135">
              <w:rPr>
                <w:rFonts w:ascii="Arial" w:hAnsi="Arial" w:cs="Arial"/>
                <w:shd w:val="clear" w:color="auto" w:fill="FFFFFF"/>
              </w:rPr>
              <w:t>Agosto de 2022</w:t>
            </w:r>
            <w:r w:rsidR="000131A7" w:rsidRPr="00A66135">
              <w:rPr>
                <w:rFonts w:ascii="Arial" w:hAnsi="Arial" w:cs="Arial"/>
                <w:shd w:val="clear" w:color="auto" w:fill="FFFFFF"/>
                <w:vertAlign w:val="superscript"/>
              </w:rPr>
              <w:t>(1)</w:t>
            </w:r>
          </w:p>
        </w:tc>
      </w:tr>
      <w:tr w:rsidR="0099058D" w:rsidRPr="000463A0" w14:paraId="10E2A4CF" w14:textId="715D854C" w:rsidTr="00E279D6">
        <w:trPr>
          <w:jc w:val="center"/>
        </w:trPr>
        <w:tc>
          <w:tcPr>
            <w:tcW w:w="852" w:type="dxa"/>
          </w:tcPr>
          <w:p w14:paraId="2A71B28D" w14:textId="0FD564E1" w:rsidR="00ED47D0" w:rsidRPr="000463A0" w:rsidRDefault="00ED47D0" w:rsidP="001A2B40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0463A0">
              <w:rPr>
                <w:rFonts w:ascii="Arial" w:eastAsia="Times New Roman" w:hAnsi="Arial" w:cs="Arial"/>
                <w:bdr w:val="none" w:sz="0" w:space="0" w:color="auto" w:frame="1"/>
              </w:rPr>
              <w:t>III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DB94A6" w14:textId="29500C3C" w:rsidR="00ED47D0" w:rsidRPr="000463A0" w:rsidRDefault="00ED47D0" w:rsidP="0033319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463A0">
              <w:rPr>
                <w:rFonts w:ascii="Arial" w:eastAsia="Times New Roman" w:hAnsi="Arial" w:cs="Arial"/>
                <w:bdr w:val="none" w:sz="0" w:space="0" w:color="auto" w:frame="1"/>
              </w:rPr>
              <w:t xml:space="preserve">Más de 300 </w:t>
            </w:r>
            <w:proofErr w:type="gramStart"/>
            <w:r w:rsidRPr="000463A0">
              <w:rPr>
                <w:rFonts w:ascii="Arial" w:eastAsia="Times New Roman" w:hAnsi="Arial" w:cs="Arial"/>
                <w:bdr w:val="none" w:sz="0" w:space="0" w:color="auto" w:frame="1"/>
              </w:rPr>
              <w:t>UIT</w:t>
            </w:r>
            <w:r w:rsidR="003C1025" w:rsidRPr="000463A0">
              <w:rPr>
                <w:rFonts w:ascii="Arial" w:eastAsia="Times New Roman" w:hAnsi="Arial" w:cs="Arial"/>
                <w:bdr w:val="none" w:sz="0" w:space="0" w:color="auto" w:frame="1"/>
                <w:vertAlign w:val="superscript"/>
              </w:rPr>
              <w:t>(</w:t>
            </w:r>
            <w:proofErr w:type="gramEnd"/>
            <w:r w:rsidR="000131A7" w:rsidRPr="000463A0">
              <w:rPr>
                <w:rFonts w:ascii="Arial" w:eastAsia="Times New Roman" w:hAnsi="Arial" w:cs="Arial"/>
                <w:bdr w:val="none" w:sz="0" w:space="0" w:color="auto" w:frame="1"/>
                <w:vertAlign w:val="superscript"/>
              </w:rPr>
              <w:t>2</w:t>
            </w:r>
            <w:r w:rsidR="003C1025" w:rsidRPr="000463A0">
              <w:rPr>
                <w:rFonts w:ascii="Arial" w:eastAsia="Times New Roman" w:hAnsi="Arial" w:cs="Arial"/>
                <w:bdr w:val="none" w:sz="0" w:space="0" w:color="auto" w:frame="1"/>
                <w:vertAlign w:val="superscript"/>
              </w:rPr>
              <w:t>)</w:t>
            </w:r>
            <w:r w:rsidR="008712C8" w:rsidRPr="000463A0">
              <w:rPr>
                <w:rFonts w:ascii="Arial" w:eastAsia="Times New Roman" w:hAnsi="Arial" w:cs="Arial"/>
                <w:bdr w:val="none" w:sz="0" w:space="0" w:color="auto" w:frame="1"/>
                <w:vertAlign w:val="superscript"/>
              </w:rPr>
              <w:t xml:space="preserve"> </w:t>
            </w:r>
          </w:p>
        </w:tc>
        <w:tc>
          <w:tcPr>
            <w:tcW w:w="3679" w:type="dxa"/>
          </w:tcPr>
          <w:p w14:paraId="2BCF9E2F" w14:textId="767F7255" w:rsidR="00ED47D0" w:rsidRPr="00A66135" w:rsidRDefault="000021F5" w:rsidP="00333194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A66135">
              <w:rPr>
                <w:rFonts w:ascii="Arial" w:eastAsia="Times New Roman" w:hAnsi="Arial" w:cs="Arial"/>
                <w:bdr w:val="none" w:sz="0" w:space="0" w:color="auto" w:frame="1"/>
              </w:rPr>
              <w:t xml:space="preserve">Mayo </w:t>
            </w:r>
            <w:r w:rsidR="00AE7888" w:rsidRPr="00A66135">
              <w:rPr>
                <w:rFonts w:ascii="Arial" w:eastAsia="Times New Roman" w:hAnsi="Arial" w:cs="Arial"/>
                <w:bdr w:val="none" w:sz="0" w:space="0" w:color="auto" w:frame="1"/>
              </w:rPr>
              <w:t>de 2023</w:t>
            </w:r>
            <w:r w:rsidR="00FC01AA" w:rsidRPr="00A66135">
              <w:rPr>
                <w:rFonts w:ascii="Arial" w:eastAsia="Times New Roman" w:hAnsi="Arial" w:cs="Arial"/>
                <w:bdr w:val="none" w:sz="0" w:space="0" w:color="auto" w:frame="1"/>
                <w:vertAlign w:val="superscript"/>
              </w:rPr>
              <w:t>(3)</w:t>
            </w:r>
          </w:p>
        </w:tc>
      </w:tr>
    </w:tbl>
    <w:p w14:paraId="19EF6466" w14:textId="77777777" w:rsidR="00EF2B06" w:rsidRPr="000463A0" w:rsidRDefault="00EF2B06" w:rsidP="00EF2B06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18"/>
          <w:szCs w:val="18"/>
          <w:lang w:eastAsia="es-PE"/>
        </w:rPr>
      </w:pPr>
      <w:bookmarkStart w:id="2" w:name="_Hlk95516642"/>
      <w:bookmarkStart w:id="3" w:name="_Hlk95852189"/>
      <w:bookmarkEnd w:id="1"/>
    </w:p>
    <w:p w14:paraId="46DF3ADC" w14:textId="7CFC37E5" w:rsidR="009A04AF" w:rsidRPr="000463A0" w:rsidRDefault="000131A7" w:rsidP="00E279D6">
      <w:pPr>
        <w:pStyle w:val="Prrafodelista"/>
        <w:numPr>
          <w:ilvl w:val="0"/>
          <w:numId w:val="9"/>
        </w:numPr>
        <w:spacing w:after="0" w:line="240" w:lineRule="auto"/>
        <w:ind w:left="851" w:right="424" w:hanging="425"/>
        <w:jc w:val="both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0463A0">
        <w:rPr>
          <w:rFonts w:ascii="Arial" w:eastAsia="Times New Roman" w:hAnsi="Arial" w:cs="Arial"/>
          <w:sz w:val="18"/>
          <w:szCs w:val="18"/>
          <w:lang w:eastAsia="es-PE"/>
        </w:rPr>
        <w:t xml:space="preserve">De acuerdo </w:t>
      </w:r>
      <w:r w:rsidR="00EF2B06" w:rsidRPr="000463A0">
        <w:rPr>
          <w:rFonts w:ascii="Arial" w:eastAsia="Times New Roman" w:hAnsi="Arial" w:cs="Arial"/>
          <w:sz w:val="18"/>
          <w:szCs w:val="18"/>
          <w:lang w:eastAsia="es-PE"/>
        </w:rPr>
        <w:t xml:space="preserve">con el </w:t>
      </w:r>
      <w:r w:rsidRPr="000463A0">
        <w:rPr>
          <w:rFonts w:ascii="Arial" w:eastAsia="Times New Roman" w:hAnsi="Arial" w:cs="Arial"/>
          <w:sz w:val="18"/>
          <w:szCs w:val="18"/>
          <w:lang w:eastAsia="es-PE"/>
        </w:rPr>
        <w:t xml:space="preserve">cronograma detallado en el anexo I de la Resolución de Superintendencia </w:t>
      </w:r>
      <w:proofErr w:type="spellStart"/>
      <w:r w:rsidRPr="000463A0">
        <w:rPr>
          <w:rFonts w:ascii="Arial" w:eastAsia="Times New Roman" w:hAnsi="Arial" w:cs="Arial"/>
          <w:sz w:val="18"/>
          <w:szCs w:val="18"/>
          <w:lang w:eastAsia="es-PE"/>
        </w:rPr>
        <w:t>N.°</w:t>
      </w:r>
      <w:proofErr w:type="spellEnd"/>
      <w:r w:rsidRPr="000463A0">
        <w:rPr>
          <w:rFonts w:ascii="Arial" w:eastAsia="Times New Roman" w:hAnsi="Arial" w:cs="Arial"/>
          <w:sz w:val="18"/>
          <w:szCs w:val="18"/>
          <w:lang w:eastAsia="es-PE"/>
        </w:rPr>
        <w:t xml:space="preserve"> 000189-2021/SUNAT, o de ser el caso, de sus pr</w:t>
      </w:r>
      <w:r w:rsidR="000D4495" w:rsidRPr="000463A0">
        <w:rPr>
          <w:rFonts w:ascii="Arial" w:eastAsia="Times New Roman" w:hAnsi="Arial" w:cs="Arial"/>
          <w:sz w:val="18"/>
          <w:szCs w:val="18"/>
          <w:lang w:eastAsia="es-PE"/>
        </w:rPr>
        <w:t>ó</w:t>
      </w:r>
      <w:r w:rsidRPr="000463A0">
        <w:rPr>
          <w:rFonts w:ascii="Arial" w:eastAsia="Times New Roman" w:hAnsi="Arial" w:cs="Arial"/>
          <w:sz w:val="18"/>
          <w:szCs w:val="18"/>
          <w:lang w:eastAsia="es-PE"/>
        </w:rPr>
        <w:t>rrogas.</w:t>
      </w:r>
    </w:p>
    <w:p w14:paraId="14CEED37" w14:textId="18B409D5" w:rsidR="005A6522" w:rsidRPr="000463A0" w:rsidRDefault="005A6522" w:rsidP="00E279D6">
      <w:pPr>
        <w:pStyle w:val="Prrafodelista"/>
        <w:numPr>
          <w:ilvl w:val="0"/>
          <w:numId w:val="9"/>
        </w:numPr>
        <w:spacing w:after="0" w:line="240" w:lineRule="auto"/>
        <w:ind w:left="851" w:right="424" w:hanging="425"/>
        <w:jc w:val="both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0463A0">
        <w:rPr>
          <w:rFonts w:ascii="Arial" w:eastAsia="Times New Roman" w:hAnsi="Arial" w:cs="Arial"/>
          <w:sz w:val="18"/>
          <w:szCs w:val="18"/>
          <w:lang w:eastAsia="es-PE"/>
        </w:rPr>
        <w:t>Siempre</w:t>
      </w:r>
      <w:r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 que no haya</w:t>
      </w:r>
      <w:r w:rsidR="003C1025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n</w:t>
      </w:r>
      <w:r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 </w:t>
      </w:r>
      <w:r w:rsidR="00DC4FEF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estado obligad</w:t>
      </w:r>
      <w:r w:rsidR="00EF2B06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a</w:t>
      </w:r>
      <w:r w:rsidR="00527A62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s</w:t>
      </w:r>
      <w:r w:rsidR="00DC4FEF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 a </w:t>
      </w:r>
      <w:r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presenta</w:t>
      </w:r>
      <w:r w:rsidR="00DC4FEF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r</w:t>
      </w:r>
      <w:r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 la declaración</w:t>
      </w:r>
      <w:r w:rsidR="00DC4FEF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 previamente.</w:t>
      </w:r>
    </w:p>
    <w:p w14:paraId="4DE9E042" w14:textId="381CD8AA" w:rsidR="00FC01AA" w:rsidRPr="000463A0" w:rsidRDefault="00FC01AA" w:rsidP="00E279D6">
      <w:pPr>
        <w:pStyle w:val="Prrafodelista"/>
        <w:numPr>
          <w:ilvl w:val="0"/>
          <w:numId w:val="9"/>
        </w:numPr>
        <w:spacing w:after="0" w:line="240" w:lineRule="auto"/>
        <w:ind w:left="851" w:right="424" w:hanging="425"/>
        <w:jc w:val="both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Conforme al cronograma que</w:t>
      </w:r>
      <w:r w:rsidR="00BF786D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,</w:t>
      </w:r>
      <w:r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 para</w:t>
      </w:r>
      <w:r w:rsidR="00BF786D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 tal </w:t>
      </w:r>
      <w:r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efecto</w:t>
      </w:r>
      <w:r w:rsidR="00BF786D"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>,</w:t>
      </w:r>
      <w:r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 se establezca mediante resolución de superintendencia.</w:t>
      </w:r>
    </w:p>
    <w:p w14:paraId="799D887B" w14:textId="09134A5E" w:rsidR="005A6522" w:rsidRPr="000463A0" w:rsidRDefault="00DC4FEF" w:rsidP="00ED47D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0463A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       </w:t>
      </w:r>
    </w:p>
    <w:p w14:paraId="2A01231B" w14:textId="2057390D" w:rsidR="000D4495" w:rsidRPr="001C2330" w:rsidRDefault="001C2330" w:rsidP="00BF786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0463A0">
        <w:rPr>
          <w:rFonts w:ascii="Arial" w:eastAsia="Times New Roman" w:hAnsi="Arial" w:cs="Arial"/>
          <w:lang w:eastAsia="es-PE"/>
        </w:rPr>
        <w:t xml:space="preserve">b) </w:t>
      </w:r>
      <w:r w:rsidR="00CE4A67" w:rsidRPr="000463A0">
        <w:rPr>
          <w:rFonts w:ascii="Arial" w:eastAsia="Times New Roman" w:hAnsi="Arial" w:cs="Arial"/>
          <w:lang w:eastAsia="es-PE"/>
        </w:rPr>
        <w:t>L</w:t>
      </w:r>
      <w:r w:rsidR="00E2292E" w:rsidRPr="000463A0">
        <w:rPr>
          <w:rFonts w:ascii="Arial" w:eastAsia="Times New Roman" w:hAnsi="Arial" w:cs="Arial"/>
          <w:lang w:eastAsia="es-PE"/>
        </w:rPr>
        <w:t>os entes jurídicos inscritos en el R</w:t>
      </w:r>
      <w:r w:rsidR="00C262FE" w:rsidRPr="000463A0">
        <w:rPr>
          <w:rFonts w:ascii="Arial" w:eastAsia="Times New Roman" w:hAnsi="Arial" w:cs="Arial"/>
          <w:lang w:eastAsia="es-PE"/>
        </w:rPr>
        <w:t>egistro Único de Contribuyentes</w:t>
      </w:r>
      <w:r w:rsidR="00E2292E" w:rsidRPr="000463A0">
        <w:rPr>
          <w:rFonts w:ascii="Arial" w:eastAsia="Times New Roman" w:hAnsi="Arial" w:cs="Arial"/>
          <w:lang w:eastAsia="es-PE"/>
        </w:rPr>
        <w:t xml:space="preserve"> hasta el 31.12.2022</w:t>
      </w:r>
      <w:r w:rsidR="00ED47D0" w:rsidRPr="000463A0">
        <w:rPr>
          <w:rFonts w:ascii="Arial" w:eastAsia="Times New Roman" w:hAnsi="Arial" w:cs="Arial"/>
          <w:lang w:eastAsia="es-PE"/>
        </w:rPr>
        <w:t xml:space="preserve"> y que </w:t>
      </w:r>
      <w:r w:rsidR="007919CF" w:rsidRPr="000463A0">
        <w:rPr>
          <w:rFonts w:ascii="Arial" w:eastAsia="Times New Roman" w:hAnsi="Arial" w:cs="Arial"/>
          <w:lang w:eastAsia="es-PE"/>
        </w:rPr>
        <w:t>no se encuentren con baja de inscripción a la fecha que les corresponda presentar la declaración</w:t>
      </w:r>
      <w:r w:rsidR="00E52F66" w:rsidRPr="000463A0">
        <w:rPr>
          <w:rFonts w:ascii="Arial" w:eastAsia="Times New Roman" w:hAnsi="Arial" w:cs="Arial"/>
          <w:lang w:eastAsia="es-PE"/>
        </w:rPr>
        <w:t xml:space="preserve">, quienes </w:t>
      </w:r>
      <w:r w:rsidR="000D4495" w:rsidRPr="000463A0">
        <w:rPr>
          <w:rFonts w:ascii="Arial" w:eastAsia="Times New Roman" w:hAnsi="Arial" w:cs="Arial"/>
          <w:lang w:eastAsia="es-PE"/>
        </w:rPr>
        <w:t xml:space="preserve">la </w:t>
      </w:r>
      <w:r w:rsidR="00E52F66" w:rsidRPr="000463A0">
        <w:rPr>
          <w:rFonts w:ascii="Arial" w:eastAsia="Times New Roman" w:hAnsi="Arial" w:cs="Arial"/>
          <w:lang w:eastAsia="es-PE"/>
        </w:rPr>
        <w:t xml:space="preserve">deben </w:t>
      </w:r>
      <w:bookmarkEnd w:id="2"/>
      <w:r w:rsidR="00BE0D1F" w:rsidRPr="000463A0">
        <w:rPr>
          <w:rFonts w:ascii="Arial" w:hAnsi="Arial" w:cs="Arial"/>
          <w:shd w:val="clear" w:color="auto" w:fill="FFFFFF"/>
        </w:rPr>
        <w:t xml:space="preserve">presentar </w:t>
      </w:r>
      <w:r w:rsidR="00E52F66" w:rsidRPr="000463A0">
        <w:rPr>
          <w:rFonts w:ascii="Arial" w:hAnsi="Arial" w:cs="Arial"/>
          <w:shd w:val="clear" w:color="auto" w:fill="FFFFFF"/>
        </w:rPr>
        <w:t xml:space="preserve">hasta las fechas de vencimiento </w:t>
      </w:r>
      <w:r w:rsidR="000D4495" w:rsidRPr="000463A0">
        <w:rPr>
          <w:rFonts w:ascii="Arial" w:hAnsi="Arial" w:cs="Arial"/>
          <w:shd w:val="clear" w:color="auto" w:fill="FFFFFF"/>
        </w:rPr>
        <w:t xml:space="preserve">establecidas para las obligaciones tributarias mensuales de diciembre de 2022 en el anexo </w:t>
      </w:r>
      <w:r w:rsidR="000D4495" w:rsidRPr="000463A0">
        <w:rPr>
          <w:rFonts w:ascii="Arial" w:eastAsia="Times New Roman" w:hAnsi="Arial" w:cs="Arial"/>
          <w:lang w:eastAsia="es-PE"/>
        </w:rPr>
        <w:t xml:space="preserve">I de la Resolución de Superintendencia </w:t>
      </w:r>
      <w:proofErr w:type="spellStart"/>
      <w:r w:rsidR="000D4495" w:rsidRPr="000463A0">
        <w:rPr>
          <w:rFonts w:ascii="Arial" w:eastAsia="Times New Roman" w:hAnsi="Arial" w:cs="Arial"/>
          <w:lang w:eastAsia="es-PE"/>
        </w:rPr>
        <w:t>N.°</w:t>
      </w:r>
      <w:proofErr w:type="spellEnd"/>
      <w:r w:rsidR="000D4495" w:rsidRPr="000463A0">
        <w:rPr>
          <w:rFonts w:ascii="Arial" w:eastAsia="Times New Roman" w:hAnsi="Arial" w:cs="Arial"/>
          <w:lang w:eastAsia="es-PE"/>
        </w:rPr>
        <w:t xml:space="preserve"> 000189-2021/SUNAT, o de ser el caso, de sus prórrogas.</w:t>
      </w:r>
      <w:r w:rsidR="000D4495" w:rsidRPr="001C2330">
        <w:rPr>
          <w:rFonts w:ascii="Arial" w:eastAsia="Times New Roman" w:hAnsi="Arial" w:cs="Arial"/>
          <w:lang w:eastAsia="es-PE"/>
        </w:rPr>
        <w:t xml:space="preserve"> </w:t>
      </w:r>
    </w:p>
    <w:bookmarkEnd w:id="3"/>
    <w:p w14:paraId="019B88D2" w14:textId="46DC95F0" w:rsidR="00015691" w:rsidRPr="00FC01AA" w:rsidRDefault="00015691" w:rsidP="00552AA4">
      <w:pPr>
        <w:spacing w:after="0" w:line="240" w:lineRule="auto"/>
        <w:jc w:val="both"/>
        <w:rPr>
          <w:rFonts w:ascii="Arial" w:hAnsi="Arial" w:cs="Arial"/>
          <w:strike/>
          <w:shd w:val="clear" w:color="auto" w:fill="FFFFFF"/>
        </w:rPr>
      </w:pPr>
    </w:p>
    <w:p w14:paraId="1770F421" w14:textId="27B8DACA" w:rsidR="00015691" w:rsidRPr="00FC01AA" w:rsidRDefault="00015691" w:rsidP="00552AA4">
      <w:pPr>
        <w:spacing w:after="0" w:line="240" w:lineRule="auto"/>
        <w:jc w:val="both"/>
        <w:rPr>
          <w:rFonts w:ascii="Arial" w:hAnsi="Arial" w:cs="Arial"/>
          <w:strike/>
          <w:shd w:val="clear" w:color="auto" w:fill="FFFFFF"/>
        </w:rPr>
      </w:pPr>
      <w:r w:rsidRPr="00FC01AA">
        <w:rPr>
          <w:rFonts w:ascii="Arial" w:hAnsi="Arial" w:cs="Arial"/>
          <w:shd w:val="clear" w:color="auto" w:fill="FFFFFF"/>
        </w:rPr>
        <w:t xml:space="preserve">La declaración debe contener la información del beneficiario final al último día calendario del </w:t>
      </w:r>
      <w:r w:rsidR="000131A7" w:rsidRPr="00FC01AA">
        <w:rPr>
          <w:rFonts w:ascii="Arial" w:hAnsi="Arial" w:cs="Arial"/>
          <w:shd w:val="clear" w:color="auto" w:fill="FFFFFF"/>
        </w:rPr>
        <w:t xml:space="preserve">periodo tributario </w:t>
      </w:r>
      <w:r w:rsidRPr="00FC01AA">
        <w:rPr>
          <w:rFonts w:ascii="Arial" w:hAnsi="Arial" w:cs="Arial"/>
          <w:shd w:val="clear" w:color="auto" w:fill="FFFFFF"/>
        </w:rPr>
        <w:t>a que se refieren los literales anteriores.</w:t>
      </w:r>
      <w:r w:rsidRPr="00FC01AA">
        <w:rPr>
          <w:rFonts w:ascii="Arial" w:hAnsi="Arial" w:cs="Arial"/>
          <w:strike/>
          <w:shd w:val="clear" w:color="auto" w:fill="FFFFFF"/>
        </w:rPr>
        <w:t xml:space="preserve">  </w:t>
      </w:r>
    </w:p>
    <w:p w14:paraId="602207AC" w14:textId="77777777" w:rsidR="00E95269" w:rsidRPr="0099058D" w:rsidRDefault="00E95269" w:rsidP="00CE4A6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71252912" w14:textId="203A5360" w:rsidR="00BE0D1F" w:rsidRPr="0099058D" w:rsidRDefault="00BE0D1F" w:rsidP="00CE4A67">
      <w:pPr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99058D">
        <w:rPr>
          <w:rFonts w:ascii="Arial" w:hAnsi="Arial" w:cs="Arial"/>
          <w:b/>
          <w:bCs/>
          <w:shd w:val="clear" w:color="auto" w:fill="FFFFFF"/>
        </w:rPr>
        <w:t xml:space="preserve">Artículo </w:t>
      </w:r>
      <w:r w:rsidR="004B75BF" w:rsidRPr="0099058D">
        <w:rPr>
          <w:rFonts w:ascii="Arial" w:hAnsi="Arial" w:cs="Arial"/>
          <w:b/>
          <w:bCs/>
          <w:shd w:val="clear" w:color="auto" w:fill="FFFFFF"/>
        </w:rPr>
        <w:t>3</w:t>
      </w:r>
      <w:r w:rsidRPr="00E279D6">
        <w:rPr>
          <w:rFonts w:ascii="Arial" w:hAnsi="Arial" w:cs="Arial"/>
          <w:b/>
          <w:bCs/>
          <w:shd w:val="clear" w:color="auto" w:fill="FFFFFF"/>
        </w:rPr>
        <w:t xml:space="preserve">. </w:t>
      </w:r>
      <w:r w:rsidR="000D4495" w:rsidRPr="00E279D6">
        <w:rPr>
          <w:rFonts w:ascii="Arial" w:hAnsi="Arial" w:cs="Arial"/>
          <w:b/>
          <w:bCs/>
          <w:shd w:val="clear" w:color="auto" w:fill="FFFFFF"/>
        </w:rPr>
        <w:t>Cálculo</w:t>
      </w:r>
      <w:r w:rsidR="000D4495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99058D">
        <w:rPr>
          <w:rFonts w:ascii="Arial" w:hAnsi="Arial" w:cs="Arial"/>
          <w:b/>
          <w:bCs/>
          <w:shd w:val="clear" w:color="auto" w:fill="FFFFFF"/>
        </w:rPr>
        <w:t xml:space="preserve">de los ingresos netos </w:t>
      </w:r>
    </w:p>
    <w:p w14:paraId="3872ADDA" w14:textId="77777777" w:rsidR="00BE0D1F" w:rsidRPr="0099058D" w:rsidRDefault="00BE0D1F" w:rsidP="00CE4A6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5172492" w14:textId="5EEDEE2F" w:rsidR="00EE5921" w:rsidRPr="0099058D" w:rsidRDefault="004B75BF" w:rsidP="00CE4A6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99058D">
        <w:rPr>
          <w:rFonts w:ascii="Arial" w:hAnsi="Arial" w:cs="Arial"/>
          <w:shd w:val="clear" w:color="auto" w:fill="FFFFFF"/>
        </w:rPr>
        <w:t>3</w:t>
      </w:r>
      <w:r w:rsidR="00BE0D1F" w:rsidRPr="0099058D">
        <w:rPr>
          <w:rFonts w:ascii="Arial" w:hAnsi="Arial" w:cs="Arial"/>
          <w:shd w:val="clear" w:color="auto" w:fill="FFFFFF"/>
        </w:rPr>
        <w:t xml:space="preserve">.1 </w:t>
      </w:r>
      <w:r w:rsidR="002F2BA7" w:rsidRPr="0099058D">
        <w:rPr>
          <w:rFonts w:ascii="Arial" w:hAnsi="Arial" w:cs="Arial"/>
          <w:shd w:val="clear" w:color="auto" w:fill="FFFFFF"/>
        </w:rPr>
        <w:t xml:space="preserve">Para </w:t>
      </w:r>
      <w:r w:rsidR="005C6E7D" w:rsidRPr="00E279D6">
        <w:rPr>
          <w:rFonts w:ascii="Arial" w:hAnsi="Arial" w:cs="Arial"/>
          <w:shd w:val="clear" w:color="auto" w:fill="FFFFFF"/>
        </w:rPr>
        <w:t>el cálculo de</w:t>
      </w:r>
      <w:r w:rsidR="005C6E7D">
        <w:rPr>
          <w:rFonts w:ascii="Arial" w:hAnsi="Arial" w:cs="Arial"/>
          <w:shd w:val="clear" w:color="auto" w:fill="FFFFFF"/>
        </w:rPr>
        <w:t xml:space="preserve"> </w:t>
      </w:r>
      <w:r w:rsidR="002F2BA7" w:rsidRPr="0099058D">
        <w:rPr>
          <w:rFonts w:ascii="Arial" w:hAnsi="Arial" w:cs="Arial"/>
          <w:shd w:val="clear" w:color="auto" w:fill="FFFFFF"/>
        </w:rPr>
        <w:t>l</w:t>
      </w:r>
      <w:r w:rsidR="00FB6B52" w:rsidRPr="0099058D">
        <w:rPr>
          <w:rFonts w:ascii="Arial" w:hAnsi="Arial" w:cs="Arial"/>
          <w:shd w:val="clear" w:color="auto" w:fill="FFFFFF"/>
        </w:rPr>
        <w:t xml:space="preserve">os ingresos netos se </w:t>
      </w:r>
      <w:r w:rsidR="002F2BA7" w:rsidRPr="0099058D">
        <w:rPr>
          <w:rFonts w:ascii="Arial" w:hAnsi="Arial" w:cs="Arial"/>
          <w:shd w:val="clear" w:color="auto" w:fill="FFFFFF"/>
        </w:rPr>
        <w:t xml:space="preserve">debe considerar </w:t>
      </w:r>
      <w:r w:rsidR="00FB6B52" w:rsidRPr="0099058D">
        <w:rPr>
          <w:rFonts w:ascii="Arial" w:hAnsi="Arial" w:cs="Arial"/>
          <w:shd w:val="clear" w:color="auto" w:fill="FFFFFF"/>
        </w:rPr>
        <w:t>lo siguiente:</w:t>
      </w:r>
    </w:p>
    <w:p w14:paraId="700E5D8B" w14:textId="77777777" w:rsidR="00E52F66" w:rsidRPr="00C00614" w:rsidRDefault="00E52F66" w:rsidP="00CE4A67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es-ES"/>
        </w:rPr>
      </w:pPr>
    </w:p>
    <w:p w14:paraId="4CF8643C" w14:textId="25E0F5B8" w:rsidR="00456934" w:rsidRPr="00A66135" w:rsidRDefault="001C2330" w:rsidP="00E279D6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bookmarkStart w:id="4" w:name="_Hlk96329074"/>
      <w:r>
        <w:rPr>
          <w:rFonts w:ascii="Arial" w:hAnsi="Arial" w:cs="Arial"/>
          <w:shd w:val="clear" w:color="auto" w:fill="FFFFFF"/>
        </w:rPr>
        <w:t xml:space="preserve">a) </w:t>
      </w:r>
      <w:r w:rsidR="00456934" w:rsidRPr="00A66135">
        <w:rPr>
          <w:rFonts w:ascii="Arial" w:hAnsi="Arial" w:cs="Arial"/>
          <w:shd w:val="clear" w:color="auto" w:fill="FFFFFF"/>
        </w:rPr>
        <w:t>Si</w:t>
      </w:r>
      <w:r w:rsidR="00FC248D" w:rsidRPr="00A66135">
        <w:rPr>
          <w:rFonts w:ascii="Arial" w:hAnsi="Arial" w:cs="Arial"/>
          <w:shd w:val="clear" w:color="auto" w:fill="FFFFFF"/>
        </w:rPr>
        <w:t xml:space="preserve"> </w:t>
      </w:r>
      <w:r w:rsidR="000021F5" w:rsidRPr="00A66135">
        <w:rPr>
          <w:rFonts w:ascii="Arial" w:hAnsi="Arial" w:cs="Arial"/>
          <w:shd w:val="clear" w:color="auto" w:fill="FFFFFF"/>
        </w:rPr>
        <w:t>durante el ejercicio gravable anterior a aquel en el que corresponde presentar la declaración, la persona jurídica se encontró comprendida en el régimen general del impuesto a la renta o en el régimen MYPE tributario</w:t>
      </w:r>
      <w:r w:rsidR="00456934" w:rsidRPr="00A66135">
        <w:rPr>
          <w:rFonts w:ascii="Arial" w:hAnsi="Arial" w:cs="Arial"/>
          <w:shd w:val="clear" w:color="auto" w:fill="FFFFFF"/>
        </w:rPr>
        <w:t>,</w:t>
      </w:r>
      <w:r w:rsidR="004C17D3" w:rsidRPr="00A66135">
        <w:rPr>
          <w:rFonts w:ascii="Arial" w:hAnsi="Arial" w:cs="Arial"/>
          <w:shd w:val="clear" w:color="auto" w:fill="FFFFFF"/>
        </w:rPr>
        <w:t xml:space="preserve"> </w:t>
      </w:r>
      <w:r w:rsidR="00456934" w:rsidRPr="00A66135">
        <w:rPr>
          <w:rFonts w:ascii="Arial" w:hAnsi="Arial" w:cs="Arial"/>
          <w:shd w:val="clear" w:color="auto" w:fill="FFFFFF"/>
        </w:rPr>
        <w:t>se considera como ingresos netos al mayor valor que resulte de las siguientes operaciones:</w:t>
      </w:r>
    </w:p>
    <w:p w14:paraId="657E17D5" w14:textId="60CAA7B5" w:rsidR="00FE6E47" w:rsidRPr="00A66135" w:rsidRDefault="00FE6E47" w:rsidP="00FE6E4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7BB4F078" w14:textId="1C58F7FE" w:rsidR="00A52D4E" w:rsidRPr="0099058D" w:rsidRDefault="00A52D4E" w:rsidP="00E279D6">
      <w:pPr>
        <w:pStyle w:val="Prrafode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9058D">
        <w:rPr>
          <w:rFonts w:ascii="Arial" w:hAnsi="Arial" w:cs="Arial"/>
        </w:rPr>
        <w:t xml:space="preserve">La suma de los montos consignados en las casillas 461 (ventas netas o ingresos por servicios), 473 (ingresos financieros gravados), 475 (otros ingresos gravados), 476 (otros ingresos no gravados) y 477 (enajenación de valores o bienes del activo fijo) del </w:t>
      </w:r>
      <w:bookmarkStart w:id="5" w:name="_Hlk95890525"/>
      <w:r w:rsidRPr="0099058D">
        <w:rPr>
          <w:rFonts w:ascii="Arial" w:hAnsi="Arial" w:cs="Arial"/>
        </w:rPr>
        <w:t xml:space="preserve">Formulario Virtual </w:t>
      </w:r>
      <w:proofErr w:type="spellStart"/>
      <w:r w:rsidRPr="0099058D">
        <w:rPr>
          <w:rFonts w:ascii="Arial" w:hAnsi="Arial" w:cs="Arial"/>
        </w:rPr>
        <w:t>N.</w:t>
      </w:r>
      <w:r w:rsidR="00DD1C03" w:rsidRPr="0099058D">
        <w:rPr>
          <w:rFonts w:ascii="Arial" w:hAnsi="Arial" w:cs="Arial"/>
        </w:rPr>
        <w:t>°</w:t>
      </w:r>
      <w:proofErr w:type="spellEnd"/>
      <w:r w:rsidRPr="0099058D">
        <w:rPr>
          <w:rFonts w:ascii="Arial" w:hAnsi="Arial" w:cs="Arial"/>
        </w:rPr>
        <w:t xml:space="preserve"> 710: Renta Anual Simplificado - Tercera Categoría</w:t>
      </w:r>
      <w:r w:rsidR="000463A0">
        <w:rPr>
          <w:rFonts w:ascii="Arial" w:hAnsi="Arial" w:cs="Arial"/>
        </w:rPr>
        <w:t xml:space="preserve"> </w:t>
      </w:r>
      <w:r w:rsidR="000463A0">
        <w:rPr>
          <w:rFonts w:ascii="Arial" w:hAnsi="Arial" w:cs="Arial"/>
        </w:rPr>
        <w:lastRenderedPageBreak/>
        <w:t>o del</w:t>
      </w:r>
      <w:r w:rsidRPr="0099058D">
        <w:rPr>
          <w:rFonts w:ascii="Arial" w:hAnsi="Arial" w:cs="Arial"/>
        </w:rPr>
        <w:t xml:space="preserve"> Formulario Virtual </w:t>
      </w:r>
      <w:proofErr w:type="spellStart"/>
      <w:r w:rsidRPr="0099058D">
        <w:rPr>
          <w:rFonts w:ascii="Arial" w:hAnsi="Arial" w:cs="Arial"/>
        </w:rPr>
        <w:t>N.</w:t>
      </w:r>
      <w:r w:rsidR="00DD1C03" w:rsidRPr="0099058D">
        <w:rPr>
          <w:rFonts w:ascii="Arial" w:hAnsi="Arial" w:cs="Arial"/>
        </w:rPr>
        <w:t>°</w:t>
      </w:r>
      <w:proofErr w:type="spellEnd"/>
      <w:r w:rsidRPr="0099058D">
        <w:rPr>
          <w:rFonts w:ascii="Arial" w:hAnsi="Arial" w:cs="Arial"/>
        </w:rPr>
        <w:t xml:space="preserve"> 710: Renta Anual - Completo - Tercera Categoría e ITF.</w:t>
      </w:r>
      <w:bookmarkEnd w:id="5"/>
    </w:p>
    <w:p w14:paraId="5058C0DE" w14:textId="77777777" w:rsidR="003C1025" w:rsidRPr="0099058D" w:rsidRDefault="003C1025" w:rsidP="003C1025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18DE10C0" w14:textId="10E23BB9" w:rsidR="00A52D4E" w:rsidRPr="000463A0" w:rsidRDefault="00A52D4E" w:rsidP="00E279D6">
      <w:pPr>
        <w:pStyle w:val="Prrafode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9058D">
        <w:rPr>
          <w:rFonts w:ascii="Arial" w:hAnsi="Arial" w:cs="Arial"/>
        </w:rPr>
        <w:t>La suma de los montos consignados en las casillas 100 (ventas netas gravadas), 105 (ventas no gravadas), 112 (otras ventas), 127 (exportaciones embarcadas en el per</w:t>
      </w:r>
      <w:r w:rsidR="00FC5931">
        <w:rPr>
          <w:rFonts w:ascii="Arial" w:hAnsi="Arial" w:cs="Arial"/>
        </w:rPr>
        <w:t>i</w:t>
      </w:r>
      <w:r w:rsidRPr="0099058D">
        <w:rPr>
          <w:rFonts w:ascii="Arial" w:hAnsi="Arial" w:cs="Arial"/>
        </w:rPr>
        <w:t xml:space="preserve">odo) y 160 (ventas Ley </w:t>
      </w:r>
      <w:proofErr w:type="spellStart"/>
      <w:r w:rsidRPr="0099058D">
        <w:rPr>
          <w:rFonts w:ascii="Arial" w:hAnsi="Arial" w:cs="Arial"/>
        </w:rPr>
        <w:t>N.</w:t>
      </w:r>
      <w:r w:rsidR="00DD1C03" w:rsidRPr="0099058D">
        <w:rPr>
          <w:rFonts w:ascii="Arial" w:hAnsi="Arial" w:cs="Arial"/>
        </w:rPr>
        <w:t>°</w:t>
      </w:r>
      <w:proofErr w:type="spellEnd"/>
      <w:r w:rsidRPr="0099058D">
        <w:rPr>
          <w:rFonts w:ascii="Arial" w:hAnsi="Arial" w:cs="Arial"/>
        </w:rPr>
        <w:t xml:space="preserve"> 27037), menos los montos consignados en las casillas 102 (descuentos concedidos y devolución de ventas), 126 (descuentos concedidos y/o devoluciones de ventas - ventas asumidas por el Estado) y 162 (descuentos y devoluciones Ley </w:t>
      </w:r>
      <w:proofErr w:type="spellStart"/>
      <w:r w:rsidRPr="0099058D">
        <w:rPr>
          <w:rFonts w:ascii="Arial" w:hAnsi="Arial" w:cs="Arial"/>
        </w:rPr>
        <w:t>N.</w:t>
      </w:r>
      <w:r w:rsidR="00DD1C03" w:rsidRPr="0099058D">
        <w:rPr>
          <w:rFonts w:ascii="Arial" w:hAnsi="Arial" w:cs="Arial"/>
        </w:rPr>
        <w:t>°</w:t>
      </w:r>
      <w:proofErr w:type="spellEnd"/>
      <w:r w:rsidRPr="0099058D">
        <w:rPr>
          <w:rFonts w:ascii="Arial" w:hAnsi="Arial" w:cs="Arial"/>
        </w:rPr>
        <w:t xml:space="preserve"> 27037) </w:t>
      </w:r>
      <w:bookmarkStart w:id="6" w:name="_Hlk95890709"/>
      <w:r w:rsidRPr="0099058D">
        <w:rPr>
          <w:rFonts w:ascii="Arial" w:hAnsi="Arial" w:cs="Arial"/>
        </w:rPr>
        <w:t xml:space="preserve">de los formularios Declara Fácil 621 IGV - </w:t>
      </w:r>
      <w:r w:rsidRPr="000463A0">
        <w:rPr>
          <w:rFonts w:ascii="Arial" w:hAnsi="Arial" w:cs="Arial"/>
        </w:rPr>
        <w:t xml:space="preserve">Renta </w:t>
      </w:r>
      <w:r w:rsidR="00115EDD" w:rsidRPr="000463A0">
        <w:rPr>
          <w:rFonts w:ascii="Arial" w:hAnsi="Arial" w:cs="Arial"/>
        </w:rPr>
        <w:t>m</w:t>
      </w:r>
      <w:r w:rsidRPr="000463A0">
        <w:rPr>
          <w:rFonts w:ascii="Arial" w:hAnsi="Arial" w:cs="Arial"/>
        </w:rPr>
        <w:t xml:space="preserve">ensual o, de ser el caso, de los PDT </w:t>
      </w:r>
      <w:proofErr w:type="spellStart"/>
      <w:r w:rsidRPr="000463A0">
        <w:rPr>
          <w:rFonts w:ascii="Arial" w:hAnsi="Arial" w:cs="Arial"/>
        </w:rPr>
        <w:t>N.</w:t>
      </w:r>
      <w:r w:rsidR="00DD1C03" w:rsidRPr="000463A0">
        <w:rPr>
          <w:rFonts w:ascii="Arial" w:hAnsi="Arial" w:cs="Arial"/>
        </w:rPr>
        <w:t>°</w:t>
      </w:r>
      <w:proofErr w:type="spellEnd"/>
      <w:r w:rsidRPr="000463A0">
        <w:rPr>
          <w:rFonts w:ascii="Arial" w:hAnsi="Arial" w:cs="Arial"/>
        </w:rPr>
        <w:t xml:space="preserve"> 621 IGV - Renta mensual.</w:t>
      </w:r>
    </w:p>
    <w:p w14:paraId="31C4C180" w14:textId="77777777" w:rsidR="00EE2D29" w:rsidRPr="000463A0" w:rsidRDefault="00EE2D29" w:rsidP="00A52D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</w:p>
    <w:p w14:paraId="0C748325" w14:textId="78E604FB" w:rsidR="00A52D4E" w:rsidRPr="00A66135" w:rsidRDefault="00A52D4E" w:rsidP="00E279D6">
      <w:pPr>
        <w:pStyle w:val="Prrafode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463A0">
        <w:rPr>
          <w:rFonts w:ascii="Arial" w:hAnsi="Arial" w:cs="Arial"/>
        </w:rPr>
        <w:t xml:space="preserve">La suma de los montos </w:t>
      </w:r>
      <w:r w:rsidRPr="00A66135">
        <w:rPr>
          <w:rFonts w:ascii="Arial" w:hAnsi="Arial" w:cs="Arial"/>
        </w:rPr>
        <w:t>consignados en la casilla 301 (</w:t>
      </w:r>
      <w:r w:rsidR="00EF64F7" w:rsidRPr="00A66135">
        <w:rPr>
          <w:rFonts w:ascii="Arial" w:hAnsi="Arial" w:cs="Arial"/>
        </w:rPr>
        <w:t>i</w:t>
      </w:r>
      <w:r w:rsidRPr="00A66135">
        <w:rPr>
          <w:rFonts w:ascii="Arial" w:hAnsi="Arial" w:cs="Arial"/>
        </w:rPr>
        <w:t xml:space="preserve">ngresos </w:t>
      </w:r>
      <w:r w:rsidR="00EF64F7" w:rsidRPr="00A66135">
        <w:rPr>
          <w:rFonts w:ascii="Arial" w:hAnsi="Arial" w:cs="Arial"/>
        </w:rPr>
        <w:t>n</w:t>
      </w:r>
      <w:r w:rsidRPr="00A66135">
        <w:rPr>
          <w:rFonts w:ascii="Arial" w:hAnsi="Arial" w:cs="Arial"/>
        </w:rPr>
        <w:t xml:space="preserve">etos) de los formularios Declara Fácil 621 IGV - Renta </w:t>
      </w:r>
      <w:r w:rsidR="00115EDD" w:rsidRPr="00A66135">
        <w:rPr>
          <w:rFonts w:ascii="Arial" w:hAnsi="Arial" w:cs="Arial"/>
        </w:rPr>
        <w:t>m</w:t>
      </w:r>
      <w:r w:rsidRPr="00A66135">
        <w:rPr>
          <w:rFonts w:ascii="Arial" w:hAnsi="Arial" w:cs="Arial"/>
        </w:rPr>
        <w:t xml:space="preserve">ensual o, de ser el caso, de los PDT </w:t>
      </w:r>
      <w:proofErr w:type="spellStart"/>
      <w:r w:rsidRPr="00A66135">
        <w:rPr>
          <w:rFonts w:ascii="Arial" w:hAnsi="Arial" w:cs="Arial"/>
        </w:rPr>
        <w:t>N.°</w:t>
      </w:r>
      <w:proofErr w:type="spellEnd"/>
      <w:r w:rsidRPr="00A66135">
        <w:rPr>
          <w:rFonts w:ascii="Arial" w:hAnsi="Arial" w:cs="Arial"/>
        </w:rPr>
        <w:t xml:space="preserve"> 621 IGV - Renta mensual. </w:t>
      </w:r>
    </w:p>
    <w:bookmarkEnd w:id="6"/>
    <w:p w14:paraId="11DD735C" w14:textId="5746F6CB" w:rsidR="00D76234" w:rsidRPr="00A66135" w:rsidRDefault="00D76234" w:rsidP="00CE4A6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A716034" w14:textId="567B41E1" w:rsidR="00103BA4" w:rsidRPr="00A66135" w:rsidRDefault="00103BA4" w:rsidP="00E279D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A66135">
        <w:rPr>
          <w:rFonts w:ascii="Arial" w:hAnsi="Arial" w:cs="Arial"/>
          <w:shd w:val="clear" w:color="auto" w:fill="FFFFFF"/>
        </w:rPr>
        <w:t xml:space="preserve">b) Si en </w:t>
      </w:r>
      <w:r w:rsidR="004C17D3" w:rsidRPr="00A66135">
        <w:rPr>
          <w:rFonts w:ascii="Arial" w:hAnsi="Arial" w:cs="Arial"/>
          <w:shd w:val="clear" w:color="auto" w:fill="FFFFFF"/>
        </w:rPr>
        <w:t xml:space="preserve">uno o más periodos </w:t>
      </w:r>
      <w:r w:rsidR="002B07D6" w:rsidRPr="00A66135">
        <w:rPr>
          <w:rFonts w:ascii="Arial" w:hAnsi="Arial" w:cs="Arial"/>
          <w:shd w:val="clear" w:color="auto" w:fill="FFFFFF"/>
        </w:rPr>
        <w:t xml:space="preserve">del ejercicio </w:t>
      </w:r>
      <w:r w:rsidRPr="00A66135">
        <w:rPr>
          <w:rFonts w:ascii="Arial" w:hAnsi="Arial" w:cs="Arial"/>
          <w:shd w:val="clear" w:color="auto" w:fill="FFFFFF"/>
        </w:rPr>
        <w:t>gravable anterior a</w:t>
      </w:r>
      <w:r w:rsidR="000021F5" w:rsidRPr="00A66135">
        <w:rPr>
          <w:rFonts w:ascii="Arial" w:hAnsi="Arial" w:cs="Arial"/>
          <w:shd w:val="clear" w:color="auto" w:fill="FFFFFF"/>
        </w:rPr>
        <w:t xml:space="preserve"> aquel en el</w:t>
      </w:r>
      <w:r w:rsidRPr="00A66135">
        <w:rPr>
          <w:rFonts w:ascii="Arial" w:hAnsi="Arial" w:cs="Arial"/>
          <w:shd w:val="clear" w:color="auto" w:fill="FFFFFF"/>
        </w:rPr>
        <w:t xml:space="preserve"> que corresponde presentar la declaración, la persona jurídica hubiera estado acogida al régimen especial del impuesto a la renta y comprendida, en otros, en el régimen general de dicho impuesto o en el régimen MYPE tributario, se considera como ingresos netos el mayor valor que resulte de las siguientes operaciones:</w:t>
      </w:r>
    </w:p>
    <w:p w14:paraId="537E4282" w14:textId="77777777" w:rsidR="005D02FC" w:rsidRPr="0099058D" w:rsidRDefault="005D02FC" w:rsidP="00533D7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88"/>
        <w:jc w:val="both"/>
        <w:rPr>
          <w:rFonts w:ascii="Arial" w:hAnsi="Arial" w:cs="Arial"/>
          <w:shd w:val="clear" w:color="auto" w:fill="FFFFFF"/>
        </w:rPr>
      </w:pPr>
    </w:p>
    <w:p w14:paraId="576CE674" w14:textId="638769F3" w:rsidR="00533D72" w:rsidRPr="0099058D" w:rsidRDefault="00533D72" w:rsidP="00E279D6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99058D">
        <w:rPr>
          <w:rFonts w:ascii="Arial" w:hAnsi="Arial" w:cs="Arial"/>
        </w:rPr>
        <w:t>La</w:t>
      </w:r>
      <w:r w:rsidRPr="0099058D">
        <w:rPr>
          <w:rFonts w:ascii="Arial" w:hAnsi="Arial" w:cs="Arial"/>
          <w:shd w:val="clear" w:color="auto" w:fill="FFFFFF"/>
        </w:rPr>
        <w:t xml:space="preserve"> suma de los montos consignados en las casillas 461 (ventas netas o ingresos por servicios), 473 (ingresos financieros gravados), 475 (otros ingresos gravados), 476 (otros ingresos no gravados) y 477 (enajenación de valores o bienes del activo </w:t>
      </w:r>
      <w:r w:rsidR="00C303DF" w:rsidRPr="0099058D">
        <w:rPr>
          <w:rFonts w:ascii="Arial" w:hAnsi="Arial" w:cs="Arial"/>
          <w:shd w:val="clear" w:color="auto" w:fill="FFFFFF"/>
        </w:rPr>
        <w:t xml:space="preserve">fijo) </w:t>
      </w:r>
      <w:r w:rsidRPr="0099058D">
        <w:rPr>
          <w:rFonts w:ascii="Arial" w:hAnsi="Arial" w:cs="Arial"/>
          <w:shd w:val="clear" w:color="auto" w:fill="FFFFFF"/>
        </w:rPr>
        <w:t xml:space="preserve">del Formulario Virtual </w:t>
      </w:r>
      <w:proofErr w:type="spellStart"/>
      <w:r w:rsidRPr="0099058D">
        <w:rPr>
          <w:rFonts w:ascii="Arial" w:hAnsi="Arial" w:cs="Arial"/>
          <w:shd w:val="clear" w:color="auto" w:fill="FFFFFF"/>
        </w:rPr>
        <w:t>N.</w:t>
      </w:r>
      <w:r w:rsidR="000463A0" w:rsidRPr="000463A0">
        <w:rPr>
          <w:rFonts w:ascii="Arial" w:hAnsi="Arial" w:cs="Arial"/>
          <w:shd w:val="clear" w:color="auto" w:fill="FFFFFF"/>
        </w:rPr>
        <w:t>°</w:t>
      </w:r>
      <w:proofErr w:type="spellEnd"/>
      <w:r w:rsidRPr="0099058D">
        <w:rPr>
          <w:rFonts w:ascii="Arial" w:hAnsi="Arial" w:cs="Arial"/>
          <w:shd w:val="clear" w:color="auto" w:fill="FFFFFF"/>
        </w:rPr>
        <w:t xml:space="preserve"> 710: Renta Anual Simplificado - Tercera Categoría</w:t>
      </w:r>
      <w:r w:rsidR="000463A0">
        <w:rPr>
          <w:rFonts w:ascii="Arial" w:hAnsi="Arial" w:cs="Arial"/>
          <w:shd w:val="clear" w:color="auto" w:fill="FFFFFF"/>
        </w:rPr>
        <w:t xml:space="preserve"> o del</w:t>
      </w:r>
      <w:r w:rsidRPr="0099058D">
        <w:rPr>
          <w:rFonts w:ascii="Arial" w:hAnsi="Arial" w:cs="Arial"/>
          <w:shd w:val="clear" w:color="auto" w:fill="FFFFFF"/>
        </w:rPr>
        <w:t xml:space="preserve"> Formulario Virtual </w:t>
      </w:r>
      <w:proofErr w:type="spellStart"/>
      <w:r w:rsidRPr="0099058D">
        <w:rPr>
          <w:rFonts w:ascii="Arial" w:hAnsi="Arial" w:cs="Arial"/>
          <w:shd w:val="clear" w:color="auto" w:fill="FFFFFF"/>
        </w:rPr>
        <w:t>N.</w:t>
      </w:r>
      <w:r w:rsidR="000463A0" w:rsidRPr="000463A0">
        <w:rPr>
          <w:rFonts w:ascii="Arial" w:hAnsi="Arial" w:cs="Arial"/>
          <w:shd w:val="clear" w:color="auto" w:fill="FFFFFF"/>
        </w:rPr>
        <w:t>°</w:t>
      </w:r>
      <w:proofErr w:type="spellEnd"/>
      <w:r w:rsidRPr="0099058D">
        <w:rPr>
          <w:rFonts w:ascii="Arial" w:hAnsi="Arial" w:cs="Arial"/>
          <w:shd w:val="clear" w:color="auto" w:fill="FFFFFF"/>
        </w:rPr>
        <w:t xml:space="preserve"> 710: Renta Anual - Completo - Tercera Categoría e ITF</w:t>
      </w:r>
      <w:r w:rsidR="00F976B0" w:rsidRPr="0099058D">
        <w:rPr>
          <w:rFonts w:ascii="Arial" w:hAnsi="Arial" w:cs="Arial"/>
          <w:shd w:val="clear" w:color="auto" w:fill="FFFFFF"/>
        </w:rPr>
        <w:t xml:space="preserve"> </w:t>
      </w:r>
      <w:r w:rsidR="00DE7CCD" w:rsidRPr="0099058D">
        <w:rPr>
          <w:rFonts w:ascii="Arial" w:hAnsi="Arial" w:cs="Arial"/>
          <w:shd w:val="clear" w:color="auto" w:fill="FFFFFF"/>
        </w:rPr>
        <w:t>más</w:t>
      </w:r>
      <w:r w:rsidR="00F976B0" w:rsidRPr="0099058D">
        <w:rPr>
          <w:rFonts w:ascii="Arial" w:hAnsi="Arial" w:cs="Arial"/>
          <w:shd w:val="clear" w:color="auto" w:fill="FFFFFF"/>
        </w:rPr>
        <w:t xml:space="preserve"> la de los montos consignados en la casilla 301 (ingresos netos) </w:t>
      </w:r>
      <w:r w:rsidR="00F976B0" w:rsidRPr="00E279D6">
        <w:rPr>
          <w:rFonts w:ascii="Arial" w:hAnsi="Arial" w:cs="Arial"/>
          <w:shd w:val="clear" w:color="auto" w:fill="FFFFFF"/>
        </w:rPr>
        <w:t>de</w:t>
      </w:r>
      <w:r w:rsidR="009A6D25" w:rsidRPr="00E279D6">
        <w:rPr>
          <w:rFonts w:ascii="Arial" w:hAnsi="Arial" w:cs="Arial"/>
          <w:shd w:val="clear" w:color="auto" w:fill="FFFFFF"/>
        </w:rPr>
        <w:t>l (</w:t>
      </w:r>
      <w:r w:rsidR="00E31140" w:rsidRPr="00E279D6">
        <w:rPr>
          <w:rFonts w:ascii="Arial" w:hAnsi="Arial" w:cs="Arial"/>
          <w:shd w:val="clear" w:color="auto" w:fill="FFFFFF"/>
        </w:rPr>
        <w:t xml:space="preserve">de </w:t>
      </w:r>
      <w:r w:rsidR="00F976B0" w:rsidRPr="00E279D6">
        <w:rPr>
          <w:rFonts w:ascii="Arial" w:hAnsi="Arial" w:cs="Arial"/>
          <w:shd w:val="clear" w:color="auto" w:fill="FFFFFF"/>
        </w:rPr>
        <w:t>lo</w:t>
      </w:r>
      <w:r w:rsidR="009A6D25" w:rsidRPr="00E279D6">
        <w:rPr>
          <w:rFonts w:ascii="Arial" w:hAnsi="Arial" w:cs="Arial"/>
          <w:shd w:val="clear" w:color="auto" w:fill="FFFFFF"/>
        </w:rPr>
        <w:t>s)</w:t>
      </w:r>
      <w:r w:rsidR="00F976B0" w:rsidRPr="00E279D6">
        <w:rPr>
          <w:rFonts w:ascii="Arial" w:hAnsi="Arial" w:cs="Arial"/>
          <w:shd w:val="clear" w:color="auto" w:fill="FFFFFF"/>
        </w:rPr>
        <w:t xml:space="preserve"> formularios Declara Fácil 621 IGV - </w:t>
      </w:r>
      <w:r w:rsidR="00F976B0" w:rsidRPr="000463A0">
        <w:rPr>
          <w:rFonts w:ascii="Arial" w:hAnsi="Arial" w:cs="Arial"/>
          <w:shd w:val="clear" w:color="auto" w:fill="FFFFFF"/>
        </w:rPr>
        <w:t xml:space="preserve">Renta </w:t>
      </w:r>
      <w:r w:rsidR="00573F2C" w:rsidRPr="000463A0">
        <w:rPr>
          <w:rFonts w:ascii="Arial" w:hAnsi="Arial" w:cs="Arial"/>
          <w:shd w:val="clear" w:color="auto" w:fill="FFFFFF"/>
        </w:rPr>
        <w:t>m</w:t>
      </w:r>
      <w:r w:rsidR="00F976B0" w:rsidRPr="000463A0">
        <w:rPr>
          <w:rFonts w:ascii="Arial" w:hAnsi="Arial" w:cs="Arial"/>
          <w:shd w:val="clear" w:color="auto" w:fill="FFFFFF"/>
        </w:rPr>
        <w:t>ensual o del</w:t>
      </w:r>
      <w:r w:rsidR="009A6D25" w:rsidRPr="000463A0">
        <w:rPr>
          <w:rFonts w:ascii="Arial" w:hAnsi="Arial" w:cs="Arial"/>
          <w:shd w:val="clear" w:color="auto" w:fill="FFFFFF"/>
        </w:rPr>
        <w:t xml:space="preserve"> (</w:t>
      </w:r>
      <w:r w:rsidR="00E31140" w:rsidRPr="000463A0">
        <w:rPr>
          <w:rFonts w:ascii="Arial" w:hAnsi="Arial" w:cs="Arial"/>
          <w:shd w:val="clear" w:color="auto" w:fill="FFFFFF"/>
        </w:rPr>
        <w:t xml:space="preserve">de </w:t>
      </w:r>
      <w:r w:rsidR="009A6D25" w:rsidRPr="000463A0">
        <w:rPr>
          <w:rFonts w:ascii="Arial" w:hAnsi="Arial" w:cs="Arial"/>
          <w:shd w:val="clear" w:color="auto" w:fill="FFFFFF"/>
        </w:rPr>
        <w:t>los)</w:t>
      </w:r>
      <w:r w:rsidR="00F976B0" w:rsidRPr="000463A0">
        <w:rPr>
          <w:rFonts w:ascii="Arial" w:hAnsi="Arial" w:cs="Arial"/>
          <w:shd w:val="clear" w:color="auto" w:fill="FFFFFF"/>
        </w:rPr>
        <w:t xml:space="preserve"> PDT </w:t>
      </w:r>
      <w:proofErr w:type="spellStart"/>
      <w:r w:rsidR="00F976B0" w:rsidRPr="000463A0">
        <w:rPr>
          <w:rFonts w:ascii="Arial" w:hAnsi="Arial" w:cs="Arial"/>
          <w:shd w:val="clear" w:color="auto" w:fill="FFFFFF"/>
        </w:rPr>
        <w:t>N.°</w:t>
      </w:r>
      <w:proofErr w:type="spellEnd"/>
      <w:r w:rsidR="00F976B0" w:rsidRPr="000463A0">
        <w:rPr>
          <w:rFonts w:ascii="Arial" w:hAnsi="Arial" w:cs="Arial"/>
          <w:shd w:val="clear" w:color="auto" w:fill="FFFFFF"/>
        </w:rPr>
        <w:t xml:space="preserve"> 621 IGV - Renta mensual </w:t>
      </w:r>
      <w:r w:rsidR="009A6D25" w:rsidRPr="000463A0">
        <w:rPr>
          <w:rFonts w:ascii="Arial" w:hAnsi="Arial" w:cs="Arial"/>
          <w:shd w:val="clear" w:color="auto" w:fill="FFFFFF"/>
        </w:rPr>
        <w:t>de</w:t>
      </w:r>
      <w:r w:rsidR="00F976B0" w:rsidRPr="000463A0">
        <w:rPr>
          <w:rFonts w:ascii="Arial" w:hAnsi="Arial" w:cs="Arial"/>
          <w:shd w:val="clear" w:color="auto" w:fill="FFFFFF"/>
        </w:rPr>
        <w:t xml:space="preserve"> las cuotas mensuales del régimen</w:t>
      </w:r>
      <w:r w:rsidR="00F976B0" w:rsidRPr="00E279D6">
        <w:rPr>
          <w:rFonts w:ascii="Arial" w:hAnsi="Arial" w:cs="Arial"/>
          <w:shd w:val="clear" w:color="auto" w:fill="FFFFFF"/>
        </w:rPr>
        <w:t xml:space="preserve"> especial del impuesto a la renta, correspondientes al(los) periodo(s) en el(los) que estuvo en el</w:t>
      </w:r>
      <w:r w:rsidR="00F976B0" w:rsidRPr="0099058D">
        <w:rPr>
          <w:rFonts w:ascii="Arial" w:hAnsi="Arial" w:cs="Arial"/>
          <w:shd w:val="clear" w:color="auto" w:fill="FFFFFF"/>
        </w:rPr>
        <w:t xml:space="preserve"> régimen especial del impuesto a la renta</w:t>
      </w:r>
      <w:bookmarkStart w:id="7" w:name="_Hlk96051794"/>
      <w:r w:rsidR="00A66135">
        <w:rPr>
          <w:rFonts w:ascii="Arial" w:hAnsi="Arial" w:cs="Arial"/>
          <w:shd w:val="clear" w:color="auto" w:fill="FFFFFF"/>
        </w:rPr>
        <w:t>.</w:t>
      </w:r>
      <w:bookmarkEnd w:id="7"/>
    </w:p>
    <w:p w14:paraId="5D6D74A2" w14:textId="2656B44B" w:rsidR="0052289D" w:rsidRPr="0099058D" w:rsidRDefault="0052289D" w:rsidP="005228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5E277FF" w14:textId="1747ED1F" w:rsidR="00533D72" w:rsidRPr="0099058D" w:rsidRDefault="00533D72" w:rsidP="00E279D6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99058D">
        <w:rPr>
          <w:rFonts w:ascii="Arial" w:hAnsi="Arial" w:cs="Arial"/>
          <w:shd w:val="clear" w:color="auto" w:fill="FFFFFF"/>
        </w:rPr>
        <w:t>La suma de los montos consignados en las casillas 100 (ventas netas gravadas), 105 (ventas no gravadas), 112 (otras ventas), 127 (exportaciones embarcadas en el per</w:t>
      </w:r>
      <w:r w:rsidR="00FC5931">
        <w:rPr>
          <w:rFonts w:ascii="Arial" w:hAnsi="Arial" w:cs="Arial"/>
          <w:shd w:val="clear" w:color="auto" w:fill="FFFFFF"/>
        </w:rPr>
        <w:t>i</w:t>
      </w:r>
      <w:r w:rsidRPr="0099058D">
        <w:rPr>
          <w:rFonts w:ascii="Arial" w:hAnsi="Arial" w:cs="Arial"/>
          <w:shd w:val="clear" w:color="auto" w:fill="FFFFFF"/>
        </w:rPr>
        <w:t xml:space="preserve">odo) y 160 (ventas Ley </w:t>
      </w:r>
      <w:proofErr w:type="spellStart"/>
      <w:r w:rsidRPr="0099058D">
        <w:rPr>
          <w:rFonts w:ascii="Arial" w:hAnsi="Arial" w:cs="Arial"/>
          <w:shd w:val="clear" w:color="auto" w:fill="FFFFFF"/>
        </w:rPr>
        <w:t>N.</w:t>
      </w:r>
      <w:r w:rsidR="000463A0" w:rsidRPr="000463A0">
        <w:rPr>
          <w:rFonts w:ascii="Arial" w:hAnsi="Arial" w:cs="Arial"/>
          <w:shd w:val="clear" w:color="auto" w:fill="FFFFFF"/>
        </w:rPr>
        <w:t>°</w:t>
      </w:r>
      <w:proofErr w:type="spellEnd"/>
      <w:r w:rsidRPr="0099058D">
        <w:rPr>
          <w:rFonts w:ascii="Arial" w:hAnsi="Arial" w:cs="Arial"/>
          <w:shd w:val="clear" w:color="auto" w:fill="FFFFFF"/>
        </w:rPr>
        <w:t xml:space="preserve"> 27037), menos los montos consignados en las casillas 102 (descuentos concedidos y devolución de ventas), 126 (descuentos concedidos y/o devoluciones de ventas - ventas asumidas por el Estado) y 162 (descuentos y devoluciones Ley </w:t>
      </w:r>
      <w:proofErr w:type="spellStart"/>
      <w:r w:rsidRPr="0099058D">
        <w:rPr>
          <w:rFonts w:ascii="Arial" w:hAnsi="Arial" w:cs="Arial"/>
          <w:shd w:val="clear" w:color="auto" w:fill="FFFFFF"/>
        </w:rPr>
        <w:t>N.</w:t>
      </w:r>
      <w:r w:rsidR="000463A0" w:rsidRPr="000463A0">
        <w:rPr>
          <w:rFonts w:ascii="Arial" w:hAnsi="Arial" w:cs="Arial"/>
          <w:shd w:val="clear" w:color="auto" w:fill="FFFFFF"/>
        </w:rPr>
        <w:t>°</w:t>
      </w:r>
      <w:proofErr w:type="spellEnd"/>
      <w:r w:rsidRPr="0099058D">
        <w:rPr>
          <w:rFonts w:ascii="Arial" w:hAnsi="Arial" w:cs="Arial"/>
          <w:shd w:val="clear" w:color="auto" w:fill="FFFFFF"/>
        </w:rPr>
        <w:t xml:space="preserve"> 27037) de los formularios Declara Fácil 621 IGV - </w:t>
      </w:r>
      <w:r w:rsidRPr="000463A0">
        <w:rPr>
          <w:rFonts w:ascii="Arial" w:hAnsi="Arial" w:cs="Arial"/>
          <w:shd w:val="clear" w:color="auto" w:fill="FFFFFF"/>
        </w:rPr>
        <w:t xml:space="preserve">Renta </w:t>
      </w:r>
      <w:r w:rsidR="00573F2C" w:rsidRPr="000463A0">
        <w:rPr>
          <w:rFonts w:ascii="Arial" w:hAnsi="Arial" w:cs="Arial"/>
          <w:shd w:val="clear" w:color="auto" w:fill="FFFFFF"/>
        </w:rPr>
        <w:t>m</w:t>
      </w:r>
      <w:r w:rsidRPr="000463A0">
        <w:rPr>
          <w:rFonts w:ascii="Arial" w:hAnsi="Arial" w:cs="Arial"/>
          <w:shd w:val="clear" w:color="auto" w:fill="FFFFFF"/>
        </w:rPr>
        <w:t>ensual</w:t>
      </w:r>
      <w:r w:rsidRPr="0099058D">
        <w:rPr>
          <w:rFonts w:ascii="Arial" w:hAnsi="Arial" w:cs="Arial"/>
          <w:shd w:val="clear" w:color="auto" w:fill="FFFFFF"/>
        </w:rPr>
        <w:t xml:space="preserve"> o, de ser el caso, de los PDT </w:t>
      </w:r>
      <w:proofErr w:type="spellStart"/>
      <w:r w:rsidRPr="0099058D">
        <w:rPr>
          <w:rFonts w:ascii="Arial" w:hAnsi="Arial" w:cs="Arial"/>
          <w:shd w:val="clear" w:color="auto" w:fill="FFFFFF"/>
        </w:rPr>
        <w:t>N.</w:t>
      </w:r>
      <w:r w:rsidR="000463A0" w:rsidRPr="000463A0">
        <w:rPr>
          <w:rFonts w:ascii="Arial" w:hAnsi="Arial" w:cs="Arial"/>
          <w:shd w:val="clear" w:color="auto" w:fill="FFFFFF"/>
        </w:rPr>
        <w:t>°</w:t>
      </w:r>
      <w:proofErr w:type="spellEnd"/>
      <w:r w:rsidRPr="0099058D">
        <w:rPr>
          <w:rFonts w:ascii="Arial" w:hAnsi="Arial" w:cs="Arial"/>
          <w:shd w:val="clear" w:color="auto" w:fill="FFFFFF"/>
        </w:rPr>
        <w:t xml:space="preserve"> 621 IGV - Renta mensual.</w:t>
      </w:r>
    </w:p>
    <w:p w14:paraId="1369AFA1" w14:textId="77777777" w:rsidR="007955A2" w:rsidRDefault="007955A2" w:rsidP="007955A2">
      <w:pPr>
        <w:pStyle w:val="Prrafode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hd w:val="clear" w:color="auto" w:fill="FFFFFF"/>
        </w:rPr>
      </w:pPr>
    </w:p>
    <w:p w14:paraId="37693F04" w14:textId="31225F5D" w:rsidR="00533D72" w:rsidRPr="0099058D" w:rsidRDefault="00533D72" w:rsidP="007955A2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  <w:shd w:val="clear" w:color="auto" w:fill="FFFFFF"/>
        </w:rPr>
      </w:pPr>
      <w:r w:rsidRPr="0099058D">
        <w:rPr>
          <w:rFonts w:ascii="Arial" w:hAnsi="Arial" w:cs="Arial"/>
          <w:shd w:val="clear" w:color="auto" w:fill="FFFFFF"/>
        </w:rPr>
        <w:t xml:space="preserve">La suma de los montos consignados en la casilla </w:t>
      </w:r>
      <w:r w:rsidRPr="00A66135">
        <w:rPr>
          <w:rFonts w:ascii="Arial" w:hAnsi="Arial" w:cs="Arial"/>
          <w:shd w:val="clear" w:color="auto" w:fill="FFFFFF"/>
        </w:rPr>
        <w:t>301 (</w:t>
      </w:r>
      <w:r w:rsidR="00EF64F7" w:rsidRPr="00A66135">
        <w:rPr>
          <w:rFonts w:ascii="Arial" w:hAnsi="Arial" w:cs="Arial"/>
          <w:shd w:val="clear" w:color="auto" w:fill="FFFFFF"/>
        </w:rPr>
        <w:t>i</w:t>
      </w:r>
      <w:r w:rsidRPr="00A66135">
        <w:rPr>
          <w:rFonts w:ascii="Arial" w:hAnsi="Arial" w:cs="Arial"/>
          <w:shd w:val="clear" w:color="auto" w:fill="FFFFFF"/>
        </w:rPr>
        <w:t xml:space="preserve">ngresos </w:t>
      </w:r>
      <w:r w:rsidR="00EF64F7" w:rsidRPr="00A66135">
        <w:rPr>
          <w:rFonts w:ascii="Arial" w:hAnsi="Arial" w:cs="Arial"/>
          <w:shd w:val="clear" w:color="auto" w:fill="FFFFFF"/>
        </w:rPr>
        <w:t>n</w:t>
      </w:r>
      <w:r w:rsidRPr="00A66135">
        <w:rPr>
          <w:rFonts w:ascii="Arial" w:hAnsi="Arial" w:cs="Arial"/>
          <w:shd w:val="clear" w:color="auto" w:fill="FFFFFF"/>
        </w:rPr>
        <w:t>etos) de</w:t>
      </w:r>
      <w:r w:rsidRPr="0099058D">
        <w:rPr>
          <w:rFonts w:ascii="Arial" w:hAnsi="Arial" w:cs="Arial"/>
          <w:shd w:val="clear" w:color="auto" w:fill="FFFFFF"/>
        </w:rPr>
        <w:t xml:space="preserve"> los </w:t>
      </w:r>
      <w:r w:rsidRPr="0099058D">
        <w:rPr>
          <w:rFonts w:ascii="Arial" w:hAnsi="Arial" w:cs="Arial"/>
          <w:shd w:val="clear" w:color="auto" w:fill="FFFFFF"/>
        </w:rPr>
        <w:lastRenderedPageBreak/>
        <w:t xml:space="preserve">formularios Declara Fácil 621 IGV - </w:t>
      </w:r>
      <w:r w:rsidRPr="000463A0">
        <w:rPr>
          <w:rFonts w:ascii="Arial" w:hAnsi="Arial" w:cs="Arial"/>
          <w:shd w:val="clear" w:color="auto" w:fill="FFFFFF"/>
        </w:rPr>
        <w:t xml:space="preserve">Renta </w:t>
      </w:r>
      <w:r w:rsidR="00573F2C" w:rsidRPr="000463A0">
        <w:rPr>
          <w:rFonts w:ascii="Arial" w:hAnsi="Arial" w:cs="Arial"/>
          <w:shd w:val="clear" w:color="auto" w:fill="FFFFFF"/>
        </w:rPr>
        <w:t>m</w:t>
      </w:r>
      <w:r w:rsidRPr="000463A0">
        <w:rPr>
          <w:rFonts w:ascii="Arial" w:hAnsi="Arial" w:cs="Arial"/>
          <w:shd w:val="clear" w:color="auto" w:fill="FFFFFF"/>
        </w:rPr>
        <w:t xml:space="preserve">ensual o, de ser el caso, de los PDT </w:t>
      </w:r>
      <w:proofErr w:type="spellStart"/>
      <w:r w:rsidRPr="000463A0">
        <w:rPr>
          <w:rFonts w:ascii="Arial" w:hAnsi="Arial" w:cs="Arial"/>
          <w:shd w:val="clear" w:color="auto" w:fill="FFFFFF"/>
        </w:rPr>
        <w:t>N.°</w:t>
      </w:r>
      <w:proofErr w:type="spellEnd"/>
      <w:r w:rsidRPr="000463A0">
        <w:rPr>
          <w:rFonts w:ascii="Arial" w:hAnsi="Arial" w:cs="Arial"/>
          <w:shd w:val="clear" w:color="auto" w:fill="FFFFFF"/>
        </w:rPr>
        <w:t xml:space="preserve"> 621 IGV - Renta mensual</w:t>
      </w:r>
      <w:r w:rsidR="00956512" w:rsidRPr="000463A0">
        <w:rPr>
          <w:rFonts w:ascii="Arial" w:hAnsi="Arial" w:cs="Arial"/>
          <w:shd w:val="clear" w:color="auto" w:fill="FFFFFF"/>
        </w:rPr>
        <w:t xml:space="preserve"> que correspondan a </w:t>
      </w:r>
      <w:r w:rsidRPr="000463A0">
        <w:rPr>
          <w:rFonts w:ascii="Arial" w:hAnsi="Arial" w:cs="Arial"/>
          <w:shd w:val="clear" w:color="auto" w:fill="FFFFFF"/>
        </w:rPr>
        <w:t xml:space="preserve">las cuotas mensuales del régimen </w:t>
      </w:r>
      <w:r w:rsidR="00F70217" w:rsidRPr="000463A0">
        <w:rPr>
          <w:rFonts w:ascii="Arial" w:hAnsi="Arial" w:cs="Arial"/>
          <w:shd w:val="clear" w:color="auto" w:fill="FFFFFF"/>
        </w:rPr>
        <w:t>especial</w:t>
      </w:r>
      <w:r w:rsidRPr="000463A0">
        <w:rPr>
          <w:rFonts w:ascii="Arial" w:hAnsi="Arial" w:cs="Arial"/>
          <w:shd w:val="clear" w:color="auto" w:fill="FFFFFF"/>
        </w:rPr>
        <w:t xml:space="preserve"> del impuesto a la renta y </w:t>
      </w:r>
      <w:r w:rsidR="00037DEE" w:rsidRPr="000463A0">
        <w:rPr>
          <w:rFonts w:ascii="Arial" w:hAnsi="Arial" w:cs="Arial"/>
          <w:shd w:val="clear" w:color="auto" w:fill="FFFFFF"/>
        </w:rPr>
        <w:t>a</w:t>
      </w:r>
      <w:r w:rsidRPr="000463A0">
        <w:rPr>
          <w:rFonts w:ascii="Arial" w:hAnsi="Arial" w:cs="Arial"/>
          <w:shd w:val="clear" w:color="auto" w:fill="FFFFFF"/>
        </w:rPr>
        <w:t xml:space="preserve"> los pagos</w:t>
      </w:r>
      <w:r w:rsidRPr="0099058D">
        <w:rPr>
          <w:rFonts w:ascii="Arial" w:hAnsi="Arial" w:cs="Arial"/>
          <w:shd w:val="clear" w:color="auto" w:fill="FFFFFF"/>
        </w:rPr>
        <w:t xml:space="preserve"> a cuenta del impuesto a la renta </w:t>
      </w:r>
      <w:r w:rsidR="00037DEE" w:rsidRPr="0099058D">
        <w:rPr>
          <w:rFonts w:ascii="Arial" w:hAnsi="Arial" w:cs="Arial"/>
          <w:shd w:val="clear" w:color="auto" w:fill="FFFFFF"/>
        </w:rPr>
        <w:t xml:space="preserve">del  </w:t>
      </w:r>
      <w:r w:rsidRPr="0099058D">
        <w:rPr>
          <w:rFonts w:ascii="Arial" w:hAnsi="Arial" w:cs="Arial"/>
          <w:shd w:val="clear" w:color="auto" w:fill="FFFFFF"/>
        </w:rPr>
        <w:t>(los) per</w:t>
      </w:r>
      <w:r w:rsidR="00037DEE" w:rsidRPr="0099058D">
        <w:rPr>
          <w:rFonts w:ascii="Arial" w:hAnsi="Arial" w:cs="Arial"/>
          <w:shd w:val="clear" w:color="auto" w:fill="FFFFFF"/>
        </w:rPr>
        <w:t>i</w:t>
      </w:r>
      <w:r w:rsidRPr="0099058D">
        <w:rPr>
          <w:rFonts w:ascii="Arial" w:hAnsi="Arial" w:cs="Arial"/>
          <w:shd w:val="clear" w:color="auto" w:fill="FFFFFF"/>
        </w:rPr>
        <w:t xml:space="preserve">odo(s) en el(los) que estuvo </w:t>
      </w:r>
      <w:r w:rsidR="00D50D47" w:rsidRPr="0099058D">
        <w:rPr>
          <w:rFonts w:ascii="Arial" w:hAnsi="Arial" w:cs="Arial"/>
          <w:shd w:val="clear" w:color="auto" w:fill="FFFFFF"/>
        </w:rPr>
        <w:t>en e</w:t>
      </w:r>
      <w:r w:rsidRPr="0099058D">
        <w:rPr>
          <w:rFonts w:ascii="Arial" w:hAnsi="Arial" w:cs="Arial"/>
          <w:shd w:val="clear" w:color="auto" w:fill="FFFFFF"/>
        </w:rPr>
        <w:t xml:space="preserve">l régimen especial del impuesto a la renta y </w:t>
      </w:r>
      <w:r w:rsidR="00037DEE" w:rsidRPr="0099058D">
        <w:rPr>
          <w:rFonts w:ascii="Arial" w:hAnsi="Arial" w:cs="Arial"/>
          <w:shd w:val="clear" w:color="auto" w:fill="FFFFFF"/>
        </w:rPr>
        <w:t>en e</w:t>
      </w:r>
      <w:r w:rsidRPr="0099058D">
        <w:rPr>
          <w:rFonts w:ascii="Arial" w:hAnsi="Arial" w:cs="Arial"/>
          <w:shd w:val="clear" w:color="auto" w:fill="FFFFFF"/>
        </w:rPr>
        <w:t xml:space="preserve">l régimen general </w:t>
      </w:r>
      <w:r w:rsidR="00037DEE" w:rsidRPr="0099058D">
        <w:rPr>
          <w:rFonts w:ascii="Arial" w:hAnsi="Arial" w:cs="Arial"/>
          <w:shd w:val="clear" w:color="auto" w:fill="FFFFFF"/>
        </w:rPr>
        <w:t xml:space="preserve">de dicho impuesto </w:t>
      </w:r>
      <w:r w:rsidRPr="0099058D">
        <w:rPr>
          <w:rFonts w:ascii="Arial" w:hAnsi="Arial" w:cs="Arial"/>
          <w:shd w:val="clear" w:color="auto" w:fill="FFFFFF"/>
        </w:rPr>
        <w:t xml:space="preserve">o </w:t>
      </w:r>
      <w:r w:rsidR="00D50D47" w:rsidRPr="0099058D">
        <w:rPr>
          <w:rFonts w:ascii="Arial" w:hAnsi="Arial" w:cs="Arial"/>
          <w:shd w:val="clear" w:color="auto" w:fill="FFFFFF"/>
        </w:rPr>
        <w:t xml:space="preserve">en </w:t>
      </w:r>
      <w:r w:rsidRPr="0099058D">
        <w:rPr>
          <w:rFonts w:ascii="Arial" w:hAnsi="Arial" w:cs="Arial"/>
          <w:shd w:val="clear" w:color="auto" w:fill="FFFFFF"/>
        </w:rPr>
        <w:t xml:space="preserve">el régimen MYPE </w:t>
      </w:r>
      <w:r w:rsidR="00D87D15" w:rsidRPr="0099058D">
        <w:rPr>
          <w:rFonts w:ascii="Arial" w:hAnsi="Arial" w:cs="Arial"/>
          <w:shd w:val="clear" w:color="auto" w:fill="FFFFFF"/>
        </w:rPr>
        <w:t>t</w:t>
      </w:r>
      <w:r w:rsidRPr="0099058D">
        <w:rPr>
          <w:rFonts w:ascii="Arial" w:hAnsi="Arial" w:cs="Arial"/>
          <w:shd w:val="clear" w:color="auto" w:fill="FFFFFF"/>
        </w:rPr>
        <w:t>ributario, según corresponda</w:t>
      </w:r>
      <w:r w:rsidR="002F2BA7" w:rsidRPr="0099058D">
        <w:rPr>
          <w:rFonts w:ascii="Arial" w:hAnsi="Arial" w:cs="Arial"/>
          <w:shd w:val="clear" w:color="auto" w:fill="FFFFFF"/>
        </w:rPr>
        <w:t>.</w:t>
      </w:r>
    </w:p>
    <w:p w14:paraId="42F1712A" w14:textId="4D7F7ADD" w:rsidR="004255A4" w:rsidRPr="004255A4" w:rsidRDefault="004255A4" w:rsidP="00E279D6">
      <w:pPr>
        <w:spacing w:after="0" w:line="240" w:lineRule="auto"/>
        <w:ind w:left="284"/>
        <w:jc w:val="both"/>
        <w:rPr>
          <w:rFonts w:ascii="Arial" w:hAnsi="Arial" w:cs="Arial"/>
          <w:color w:val="4472C4" w:themeColor="accent1"/>
        </w:rPr>
      </w:pPr>
    </w:p>
    <w:p w14:paraId="2E99445B" w14:textId="3E9ED051" w:rsidR="004255A4" w:rsidRPr="00A66135" w:rsidRDefault="00E00040" w:rsidP="00D745D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8" w:name="_Hlk97065412"/>
      <w:r w:rsidRPr="00A66135">
        <w:rPr>
          <w:rFonts w:ascii="Arial" w:hAnsi="Arial" w:cs="Arial"/>
          <w:shd w:val="clear" w:color="auto" w:fill="FFFFFF"/>
        </w:rPr>
        <w:t xml:space="preserve">c) </w:t>
      </w:r>
      <w:r w:rsidR="00D745DB" w:rsidRPr="00A66135">
        <w:rPr>
          <w:rFonts w:ascii="Arial" w:hAnsi="Arial" w:cs="Arial"/>
          <w:shd w:val="clear" w:color="auto" w:fill="FFFFFF"/>
        </w:rPr>
        <w:tab/>
      </w:r>
      <w:r w:rsidR="004255A4" w:rsidRPr="00A66135">
        <w:rPr>
          <w:rFonts w:ascii="Arial" w:hAnsi="Arial" w:cs="Arial"/>
          <w:shd w:val="clear" w:color="auto" w:fill="FFFFFF"/>
        </w:rPr>
        <w:t>Para efecto de las operaciones señaladas en l</w:t>
      </w:r>
      <w:r w:rsidRPr="00A66135">
        <w:rPr>
          <w:rFonts w:ascii="Arial" w:hAnsi="Arial" w:cs="Arial"/>
          <w:shd w:val="clear" w:color="auto" w:fill="FFFFFF"/>
        </w:rPr>
        <w:t>os</w:t>
      </w:r>
      <w:r w:rsidR="004255A4" w:rsidRPr="00A66135">
        <w:rPr>
          <w:rFonts w:ascii="Arial" w:hAnsi="Arial" w:cs="Arial"/>
          <w:shd w:val="clear" w:color="auto" w:fill="FFFFFF"/>
        </w:rPr>
        <w:t xml:space="preserve">  literal</w:t>
      </w:r>
      <w:r w:rsidRPr="00A66135">
        <w:rPr>
          <w:rFonts w:ascii="Arial" w:hAnsi="Arial" w:cs="Arial"/>
          <w:shd w:val="clear" w:color="auto" w:fill="FFFFFF"/>
        </w:rPr>
        <w:t>es</w:t>
      </w:r>
      <w:r w:rsidR="004255A4" w:rsidRPr="00A66135">
        <w:rPr>
          <w:rFonts w:ascii="Arial" w:hAnsi="Arial" w:cs="Arial"/>
          <w:shd w:val="clear" w:color="auto" w:fill="FFFFFF"/>
        </w:rPr>
        <w:t xml:space="preserve"> a) y b), a fin de establecer si la persona jurídica se encuentra comprendida en el tramo I o II a que se refiere el literal a) del artículo 2, se debe considerar </w:t>
      </w:r>
      <w:r w:rsidR="004255A4" w:rsidRPr="00A66135">
        <w:rPr>
          <w:rFonts w:ascii="Arial" w:eastAsia="Times New Roman" w:hAnsi="Arial" w:cs="Arial"/>
          <w:bCs/>
          <w:lang w:eastAsia="es-PE"/>
        </w:rPr>
        <w:t xml:space="preserve">la declaración jurada del impuesto a la renta correspondiente al ejercicio 2021 y las declaraciones mensuales </w:t>
      </w:r>
      <w:r w:rsidR="004255A4" w:rsidRPr="00A66135">
        <w:rPr>
          <w:rFonts w:ascii="Arial" w:hAnsi="Arial" w:cs="Arial"/>
        </w:rPr>
        <w:t xml:space="preserve">de los periodos enero a diciembre de 2021, que se presenten hasta el 30 de abril de 2022, incluyendo las declaraciones </w:t>
      </w:r>
      <w:proofErr w:type="spellStart"/>
      <w:r w:rsidR="004255A4" w:rsidRPr="00A66135">
        <w:rPr>
          <w:rFonts w:ascii="Arial" w:hAnsi="Arial" w:cs="Arial"/>
        </w:rPr>
        <w:t>rectificatorias</w:t>
      </w:r>
      <w:proofErr w:type="spellEnd"/>
      <w:r w:rsidR="004255A4" w:rsidRPr="00A66135">
        <w:rPr>
          <w:rFonts w:ascii="Arial" w:hAnsi="Arial" w:cs="Arial"/>
        </w:rPr>
        <w:t xml:space="preserve"> que surtan efecto hasta dicha fecha. </w:t>
      </w:r>
      <w:r w:rsidR="004255A4" w:rsidRPr="00A66135">
        <w:rPr>
          <w:rFonts w:ascii="Arial" w:eastAsia="Times New Roman" w:hAnsi="Arial" w:cs="Arial"/>
          <w:bCs/>
          <w:lang w:eastAsia="es-PE"/>
        </w:rPr>
        <w:t xml:space="preserve">Tratándose del tramo III, debe considerarse la declaración jurada del impuesto a la renta correspondiente al ejercicio 2022 y las declaraciones mensuales </w:t>
      </w:r>
      <w:r w:rsidR="004255A4" w:rsidRPr="00A66135">
        <w:rPr>
          <w:rFonts w:ascii="Arial" w:hAnsi="Arial" w:cs="Arial"/>
        </w:rPr>
        <w:t xml:space="preserve">de los periodos enero a diciembre de 2022 que se presenten hasta el 30 de abril de 2023, incluyendo las declaraciones </w:t>
      </w:r>
      <w:proofErr w:type="spellStart"/>
      <w:r w:rsidR="004255A4" w:rsidRPr="00A66135">
        <w:rPr>
          <w:rFonts w:ascii="Arial" w:hAnsi="Arial" w:cs="Arial"/>
        </w:rPr>
        <w:t>rectificatorias</w:t>
      </w:r>
      <w:proofErr w:type="spellEnd"/>
      <w:r w:rsidR="004255A4" w:rsidRPr="00A66135">
        <w:rPr>
          <w:rFonts w:ascii="Arial" w:hAnsi="Arial" w:cs="Arial"/>
        </w:rPr>
        <w:t xml:space="preserve"> que surtan efecto hasta dicha fecha</w:t>
      </w:r>
      <w:r w:rsidR="00A81688" w:rsidRPr="00A66135">
        <w:rPr>
          <w:rFonts w:ascii="Arial" w:hAnsi="Arial" w:cs="Arial"/>
        </w:rPr>
        <w:t>.</w:t>
      </w:r>
    </w:p>
    <w:bookmarkEnd w:id="4"/>
    <w:p w14:paraId="47DB773D" w14:textId="6DAA79B5" w:rsidR="00895F18" w:rsidRDefault="00D745DB" w:rsidP="00BE0D1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bookmarkEnd w:id="8"/>
    <w:p w14:paraId="43448F81" w14:textId="6A408281" w:rsidR="007C6E41" w:rsidRPr="0099058D" w:rsidRDefault="004B75BF" w:rsidP="00BE0D1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99058D">
        <w:rPr>
          <w:rFonts w:ascii="Arial" w:hAnsi="Arial" w:cs="Arial"/>
          <w:shd w:val="clear" w:color="auto" w:fill="FFFFFF"/>
        </w:rPr>
        <w:t>3</w:t>
      </w:r>
      <w:r w:rsidR="00BE0D1F" w:rsidRPr="0099058D">
        <w:rPr>
          <w:rFonts w:ascii="Arial" w:hAnsi="Arial" w:cs="Arial"/>
          <w:shd w:val="clear" w:color="auto" w:fill="FFFFFF"/>
        </w:rPr>
        <w:t>.</w:t>
      </w:r>
      <w:r w:rsidR="00BA5C7C" w:rsidRPr="0099058D">
        <w:rPr>
          <w:rFonts w:ascii="Arial" w:hAnsi="Arial" w:cs="Arial"/>
          <w:shd w:val="clear" w:color="auto" w:fill="FFFFFF"/>
        </w:rPr>
        <w:t>2</w:t>
      </w:r>
      <w:r w:rsidR="00BE0D1F" w:rsidRPr="0099058D">
        <w:rPr>
          <w:rFonts w:ascii="Arial" w:hAnsi="Arial" w:cs="Arial"/>
          <w:shd w:val="clear" w:color="auto" w:fill="FFFFFF"/>
        </w:rPr>
        <w:t xml:space="preserve"> </w:t>
      </w:r>
      <w:r w:rsidR="00FB6B52" w:rsidRPr="0099058D">
        <w:rPr>
          <w:rFonts w:ascii="Arial" w:hAnsi="Arial" w:cs="Arial"/>
          <w:shd w:val="clear" w:color="auto" w:fill="FFFFFF"/>
        </w:rPr>
        <w:t xml:space="preserve">La UIT que </w:t>
      </w:r>
      <w:r w:rsidR="00015691" w:rsidRPr="0099058D">
        <w:rPr>
          <w:rFonts w:ascii="Arial" w:hAnsi="Arial" w:cs="Arial"/>
          <w:shd w:val="clear" w:color="auto" w:fill="FFFFFF"/>
        </w:rPr>
        <w:t xml:space="preserve">debe considerar </w:t>
      </w:r>
      <w:r w:rsidR="002F2BA7" w:rsidRPr="0099058D">
        <w:rPr>
          <w:rFonts w:ascii="Arial" w:hAnsi="Arial" w:cs="Arial"/>
          <w:shd w:val="clear" w:color="auto" w:fill="FFFFFF"/>
        </w:rPr>
        <w:t xml:space="preserve">la persona jurídica comprendida en </w:t>
      </w:r>
      <w:r w:rsidR="00FB6B52" w:rsidRPr="0099058D">
        <w:rPr>
          <w:rFonts w:ascii="Arial" w:hAnsi="Arial" w:cs="Arial"/>
          <w:shd w:val="clear" w:color="auto" w:fill="FFFFFF"/>
        </w:rPr>
        <w:t>l</w:t>
      </w:r>
      <w:r w:rsidR="0044003F" w:rsidRPr="0099058D">
        <w:rPr>
          <w:rFonts w:ascii="Arial" w:hAnsi="Arial" w:cs="Arial"/>
          <w:shd w:val="clear" w:color="auto" w:fill="FFFFFF"/>
        </w:rPr>
        <w:t>os</w:t>
      </w:r>
      <w:r w:rsidR="00FB6B52" w:rsidRPr="0099058D">
        <w:rPr>
          <w:rFonts w:ascii="Arial" w:hAnsi="Arial" w:cs="Arial"/>
          <w:shd w:val="clear" w:color="auto" w:fill="FFFFFF"/>
        </w:rPr>
        <w:t xml:space="preserve"> tramo</w:t>
      </w:r>
      <w:r w:rsidR="0044003F" w:rsidRPr="0099058D">
        <w:rPr>
          <w:rFonts w:ascii="Arial" w:hAnsi="Arial" w:cs="Arial"/>
          <w:shd w:val="clear" w:color="auto" w:fill="FFFFFF"/>
        </w:rPr>
        <w:t>s</w:t>
      </w:r>
      <w:r w:rsidR="00FB6B52" w:rsidRPr="0099058D">
        <w:rPr>
          <w:rFonts w:ascii="Arial" w:hAnsi="Arial" w:cs="Arial"/>
          <w:shd w:val="clear" w:color="auto" w:fill="FFFFFF"/>
        </w:rPr>
        <w:t xml:space="preserve"> I </w:t>
      </w:r>
      <w:r w:rsidR="002F2BA7" w:rsidRPr="0099058D">
        <w:rPr>
          <w:rFonts w:ascii="Arial" w:hAnsi="Arial" w:cs="Arial"/>
          <w:shd w:val="clear" w:color="auto" w:fill="FFFFFF"/>
        </w:rPr>
        <w:t>o</w:t>
      </w:r>
      <w:r w:rsidR="00FB6B52" w:rsidRPr="0099058D">
        <w:rPr>
          <w:rFonts w:ascii="Arial" w:hAnsi="Arial" w:cs="Arial"/>
          <w:shd w:val="clear" w:color="auto" w:fill="FFFFFF"/>
        </w:rPr>
        <w:t xml:space="preserve"> II es la </w:t>
      </w:r>
      <w:r w:rsidR="0015445D" w:rsidRPr="0099058D">
        <w:rPr>
          <w:rFonts w:ascii="Arial" w:hAnsi="Arial" w:cs="Arial"/>
          <w:shd w:val="clear" w:color="auto" w:fill="FFFFFF"/>
        </w:rPr>
        <w:t xml:space="preserve">correspondiente </w:t>
      </w:r>
      <w:r w:rsidR="00FB6B52" w:rsidRPr="0099058D">
        <w:rPr>
          <w:rFonts w:ascii="Arial" w:hAnsi="Arial" w:cs="Arial"/>
          <w:shd w:val="clear" w:color="auto" w:fill="FFFFFF"/>
        </w:rPr>
        <w:t xml:space="preserve">al año 2021 y </w:t>
      </w:r>
      <w:r w:rsidR="0015445D" w:rsidRPr="0099058D">
        <w:rPr>
          <w:rFonts w:ascii="Arial" w:hAnsi="Arial" w:cs="Arial"/>
          <w:shd w:val="clear" w:color="auto" w:fill="FFFFFF"/>
        </w:rPr>
        <w:t xml:space="preserve">la comprendida en el tramo III </w:t>
      </w:r>
      <w:r w:rsidR="002F2BA7" w:rsidRPr="0099058D">
        <w:rPr>
          <w:rFonts w:ascii="Arial" w:hAnsi="Arial" w:cs="Arial"/>
          <w:shd w:val="clear" w:color="auto" w:fill="FFFFFF"/>
        </w:rPr>
        <w:t xml:space="preserve">debe considerar </w:t>
      </w:r>
      <w:r w:rsidR="0015445D" w:rsidRPr="0099058D">
        <w:rPr>
          <w:rFonts w:ascii="Arial" w:hAnsi="Arial" w:cs="Arial"/>
          <w:shd w:val="clear" w:color="auto" w:fill="FFFFFF"/>
        </w:rPr>
        <w:t>la vigente para el año 2022.</w:t>
      </w:r>
    </w:p>
    <w:p w14:paraId="5A9B5A40" w14:textId="71863118" w:rsidR="009E3427" w:rsidRPr="0099058D" w:rsidRDefault="009E3427" w:rsidP="00BD719F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</w:p>
    <w:p w14:paraId="59885882" w14:textId="613B50BB" w:rsidR="00FB45AE" w:rsidRPr="0099058D" w:rsidRDefault="001503D3" w:rsidP="00FB45A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PE"/>
        </w:rPr>
      </w:pPr>
      <w:r w:rsidRPr="0099058D">
        <w:rPr>
          <w:rFonts w:ascii="Arial" w:eastAsia="Times New Roman" w:hAnsi="Arial" w:cs="Arial"/>
          <w:b/>
          <w:bCs/>
          <w:lang w:eastAsia="es-PE"/>
        </w:rPr>
        <w:t xml:space="preserve">Artículo </w:t>
      </w:r>
      <w:r w:rsidR="004B75BF" w:rsidRPr="0099058D">
        <w:rPr>
          <w:rFonts w:ascii="Arial" w:eastAsia="Times New Roman" w:hAnsi="Arial" w:cs="Arial"/>
          <w:b/>
          <w:bCs/>
          <w:lang w:eastAsia="es-PE"/>
        </w:rPr>
        <w:t>4</w:t>
      </w:r>
      <w:r w:rsidRPr="0099058D">
        <w:rPr>
          <w:rFonts w:ascii="Arial" w:eastAsia="Times New Roman" w:hAnsi="Arial" w:cs="Arial"/>
          <w:b/>
          <w:bCs/>
          <w:lang w:eastAsia="es-PE"/>
        </w:rPr>
        <w:t xml:space="preserve">. </w:t>
      </w:r>
      <w:r w:rsidR="00FB45AE" w:rsidRPr="0099058D">
        <w:rPr>
          <w:rFonts w:ascii="Arial" w:eastAsia="Times New Roman" w:hAnsi="Arial" w:cs="Arial"/>
          <w:b/>
          <w:bCs/>
          <w:lang w:eastAsia="es-PE"/>
        </w:rPr>
        <w:t xml:space="preserve">Sujetos obligados que presentarán posteriormente la declaración </w:t>
      </w:r>
    </w:p>
    <w:p w14:paraId="4B07DE07" w14:textId="77777777" w:rsidR="009A1E50" w:rsidRPr="0099058D" w:rsidRDefault="009A1E50" w:rsidP="00FB45AE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</w:p>
    <w:p w14:paraId="5EB84D70" w14:textId="61CF3CC4" w:rsidR="00FB45AE" w:rsidRPr="0099058D" w:rsidRDefault="00FB45AE" w:rsidP="00FB45AE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  <w:r w:rsidRPr="0099058D">
        <w:rPr>
          <w:rFonts w:ascii="Arial" w:eastAsia="Times New Roman" w:hAnsi="Arial" w:cs="Arial"/>
          <w:bCs/>
          <w:lang w:eastAsia="es-PE"/>
        </w:rPr>
        <w:t>L</w:t>
      </w:r>
      <w:r w:rsidR="0022499D" w:rsidRPr="0099058D">
        <w:rPr>
          <w:rFonts w:ascii="Arial" w:eastAsia="Times New Roman" w:hAnsi="Arial" w:cs="Arial"/>
          <w:bCs/>
          <w:lang w:eastAsia="es-PE"/>
        </w:rPr>
        <w:t xml:space="preserve">os sujetos obligados </w:t>
      </w:r>
      <w:r w:rsidRPr="0099058D">
        <w:rPr>
          <w:rFonts w:ascii="Arial" w:eastAsia="Times New Roman" w:hAnsi="Arial" w:cs="Arial"/>
          <w:bCs/>
          <w:lang w:eastAsia="es-PE"/>
        </w:rPr>
        <w:t xml:space="preserve">no </w:t>
      </w:r>
      <w:r w:rsidRPr="00E279D6">
        <w:rPr>
          <w:rFonts w:ascii="Arial" w:eastAsia="Times New Roman" w:hAnsi="Arial" w:cs="Arial"/>
          <w:bCs/>
          <w:lang w:eastAsia="es-PE"/>
        </w:rPr>
        <w:t>comprendid</w:t>
      </w:r>
      <w:r w:rsidR="00477708" w:rsidRPr="00E279D6">
        <w:rPr>
          <w:rFonts w:ascii="Arial" w:eastAsia="Times New Roman" w:hAnsi="Arial" w:cs="Arial"/>
          <w:bCs/>
          <w:lang w:eastAsia="es-PE"/>
        </w:rPr>
        <w:t>o</w:t>
      </w:r>
      <w:r w:rsidRPr="00E279D6">
        <w:rPr>
          <w:rFonts w:ascii="Arial" w:eastAsia="Times New Roman" w:hAnsi="Arial" w:cs="Arial"/>
          <w:bCs/>
          <w:lang w:eastAsia="es-PE"/>
        </w:rPr>
        <w:t>s e</w:t>
      </w:r>
      <w:r w:rsidRPr="0099058D">
        <w:rPr>
          <w:rFonts w:ascii="Arial" w:eastAsia="Times New Roman" w:hAnsi="Arial" w:cs="Arial"/>
          <w:bCs/>
          <w:lang w:eastAsia="es-PE"/>
        </w:rPr>
        <w:t>n la presente resolución ni en el párrafo 5.2 de</w:t>
      </w:r>
      <w:r w:rsidR="00311AE4" w:rsidRPr="0099058D">
        <w:rPr>
          <w:rFonts w:ascii="Arial" w:eastAsia="Times New Roman" w:hAnsi="Arial" w:cs="Arial"/>
          <w:bCs/>
          <w:lang w:eastAsia="es-PE"/>
        </w:rPr>
        <w:t>l artículo 5</w:t>
      </w:r>
      <w:r w:rsidRPr="0099058D">
        <w:rPr>
          <w:rFonts w:ascii="Arial" w:eastAsia="Times New Roman" w:hAnsi="Arial" w:cs="Arial"/>
          <w:bCs/>
          <w:lang w:eastAsia="es-PE"/>
        </w:rPr>
        <w:t xml:space="preserve"> </w:t>
      </w:r>
      <w:r w:rsidR="00311AE4" w:rsidRPr="0099058D">
        <w:rPr>
          <w:rFonts w:ascii="Arial" w:eastAsia="Times New Roman" w:hAnsi="Arial" w:cs="Arial"/>
          <w:bCs/>
          <w:lang w:eastAsia="es-PE"/>
        </w:rPr>
        <w:t xml:space="preserve">de </w:t>
      </w:r>
      <w:r w:rsidRPr="0099058D">
        <w:rPr>
          <w:rFonts w:ascii="Arial" w:eastAsia="Times New Roman" w:hAnsi="Arial" w:cs="Arial"/>
          <w:bCs/>
          <w:lang w:eastAsia="es-PE"/>
        </w:rPr>
        <w:t xml:space="preserve">la Resolución de Superintendencia </w:t>
      </w:r>
      <w:proofErr w:type="spellStart"/>
      <w:r w:rsidRPr="0099058D">
        <w:rPr>
          <w:rFonts w:ascii="Arial" w:eastAsia="Times New Roman" w:hAnsi="Arial" w:cs="Arial"/>
          <w:bCs/>
          <w:lang w:eastAsia="es-PE"/>
        </w:rPr>
        <w:t>N.°</w:t>
      </w:r>
      <w:proofErr w:type="spellEnd"/>
      <w:r w:rsidRPr="0099058D">
        <w:rPr>
          <w:rFonts w:ascii="Arial" w:eastAsia="Times New Roman" w:hAnsi="Arial" w:cs="Arial"/>
          <w:bCs/>
          <w:lang w:eastAsia="es-PE"/>
        </w:rPr>
        <w:t xml:space="preserve"> 185-2019/SUNAT </w:t>
      </w:r>
      <w:r w:rsidR="00A03363" w:rsidRPr="0099058D">
        <w:rPr>
          <w:rFonts w:ascii="Arial" w:eastAsia="Times New Roman" w:hAnsi="Arial" w:cs="Arial"/>
          <w:bCs/>
          <w:lang w:eastAsia="es-PE"/>
        </w:rPr>
        <w:t xml:space="preserve">deben presentar </w:t>
      </w:r>
      <w:r w:rsidRPr="0099058D">
        <w:rPr>
          <w:rFonts w:ascii="Arial" w:eastAsia="Times New Roman" w:hAnsi="Arial" w:cs="Arial"/>
          <w:bCs/>
          <w:lang w:eastAsia="es-PE"/>
        </w:rPr>
        <w:t xml:space="preserve">la declaración en el plazo que </w:t>
      </w:r>
      <w:r w:rsidR="00A03363" w:rsidRPr="0099058D">
        <w:rPr>
          <w:rFonts w:ascii="Arial" w:eastAsia="Times New Roman" w:hAnsi="Arial" w:cs="Arial"/>
          <w:bCs/>
          <w:lang w:eastAsia="es-PE"/>
        </w:rPr>
        <w:t xml:space="preserve">la SUNAT </w:t>
      </w:r>
      <w:r w:rsidRPr="0099058D">
        <w:rPr>
          <w:rFonts w:ascii="Arial" w:eastAsia="Times New Roman" w:hAnsi="Arial" w:cs="Arial"/>
          <w:bCs/>
          <w:lang w:eastAsia="es-PE"/>
        </w:rPr>
        <w:t>establezca mediante resolución de superintendencia.</w:t>
      </w:r>
    </w:p>
    <w:p w14:paraId="0B1BAF93" w14:textId="77777777" w:rsidR="001333F8" w:rsidRPr="0099058D" w:rsidRDefault="001333F8" w:rsidP="001333F8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02E7C717" w14:textId="71BEE35E" w:rsidR="001A7F79" w:rsidRPr="0099058D" w:rsidRDefault="009D7EA1" w:rsidP="00F66665">
      <w:pPr>
        <w:spacing w:after="0" w:line="240" w:lineRule="auto"/>
        <w:jc w:val="center"/>
        <w:rPr>
          <w:rFonts w:ascii="Arial" w:hAnsi="Arial" w:cs="Arial"/>
          <w:b/>
          <w:lang w:eastAsia="es-ES"/>
        </w:rPr>
      </w:pPr>
      <w:r w:rsidRPr="0099058D">
        <w:rPr>
          <w:rFonts w:ascii="Arial" w:hAnsi="Arial" w:cs="Arial"/>
          <w:b/>
          <w:lang w:eastAsia="es-ES"/>
        </w:rPr>
        <w:t>DISPOSICIÓN</w:t>
      </w:r>
      <w:r w:rsidR="001A7F79" w:rsidRPr="0099058D">
        <w:rPr>
          <w:rFonts w:ascii="Arial" w:hAnsi="Arial" w:cs="Arial"/>
          <w:b/>
          <w:lang w:eastAsia="es-ES"/>
        </w:rPr>
        <w:t xml:space="preserve"> COMPLEMENTARIA</w:t>
      </w:r>
      <w:r w:rsidRPr="0099058D">
        <w:rPr>
          <w:rFonts w:ascii="Arial" w:hAnsi="Arial" w:cs="Arial"/>
          <w:b/>
          <w:lang w:eastAsia="es-ES"/>
        </w:rPr>
        <w:t xml:space="preserve"> </w:t>
      </w:r>
      <w:r w:rsidR="001A7F79" w:rsidRPr="0099058D">
        <w:rPr>
          <w:rFonts w:ascii="Arial" w:hAnsi="Arial" w:cs="Arial"/>
          <w:b/>
          <w:lang w:eastAsia="es-ES"/>
        </w:rPr>
        <w:t>FINAL</w:t>
      </w:r>
    </w:p>
    <w:p w14:paraId="323F917C" w14:textId="123DA3BE" w:rsidR="006543D8" w:rsidRPr="0099058D" w:rsidRDefault="004B75BF" w:rsidP="00F66665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99058D">
        <w:rPr>
          <w:rFonts w:ascii="Arial" w:hAnsi="Arial" w:cs="Arial"/>
          <w:b/>
          <w:lang w:eastAsia="es-ES"/>
        </w:rPr>
        <w:t>Única</w:t>
      </w:r>
      <w:r w:rsidR="00B92BD5" w:rsidRPr="0099058D">
        <w:rPr>
          <w:rFonts w:ascii="Arial" w:hAnsi="Arial" w:cs="Arial"/>
          <w:b/>
          <w:lang w:eastAsia="es-ES"/>
        </w:rPr>
        <w:t>.</w:t>
      </w:r>
      <w:r w:rsidR="00743CBC" w:rsidRPr="0099058D">
        <w:rPr>
          <w:rFonts w:ascii="Arial" w:hAnsi="Arial" w:cs="Arial"/>
          <w:b/>
          <w:lang w:eastAsia="es-ES"/>
        </w:rPr>
        <w:t xml:space="preserve"> </w:t>
      </w:r>
      <w:r w:rsidR="006543D8" w:rsidRPr="0099058D">
        <w:rPr>
          <w:rFonts w:ascii="Arial" w:hAnsi="Arial" w:cs="Arial"/>
          <w:b/>
          <w:lang w:eastAsia="es-ES"/>
        </w:rPr>
        <w:t xml:space="preserve">Vigencia </w:t>
      </w:r>
    </w:p>
    <w:p w14:paraId="5B846492" w14:textId="77777777" w:rsidR="009A1E50" w:rsidRPr="0099058D" w:rsidRDefault="009A1E50" w:rsidP="00F66665">
      <w:pPr>
        <w:pStyle w:val="Prrafodelista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lang w:eastAsia="es-ES"/>
        </w:rPr>
      </w:pPr>
    </w:p>
    <w:p w14:paraId="3070AA50" w14:textId="40C8A0AA" w:rsidR="006543D8" w:rsidRPr="0099058D" w:rsidRDefault="006543D8" w:rsidP="00C067AA">
      <w:pPr>
        <w:pStyle w:val="Prrafodelista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99058D">
        <w:rPr>
          <w:rFonts w:ascii="Arial" w:hAnsi="Arial" w:cs="Arial"/>
          <w:lang w:eastAsia="es-ES"/>
        </w:rPr>
        <w:t xml:space="preserve">La presente resolución </w:t>
      </w:r>
      <w:proofErr w:type="gramStart"/>
      <w:r w:rsidRPr="0099058D">
        <w:rPr>
          <w:rFonts w:ascii="Arial" w:hAnsi="Arial" w:cs="Arial"/>
          <w:lang w:eastAsia="es-ES"/>
        </w:rPr>
        <w:t>entra en vigencia</w:t>
      </w:r>
      <w:proofErr w:type="gramEnd"/>
      <w:r w:rsidRPr="0099058D">
        <w:rPr>
          <w:rFonts w:ascii="Arial" w:hAnsi="Arial" w:cs="Arial"/>
          <w:lang w:eastAsia="es-ES"/>
        </w:rPr>
        <w:t xml:space="preserve"> </w:t>
      </w:r>
      <w:r w:rsidR="00E1415B" w:rsidRPr="0099058D">
        <w:rPr>
          <w:rFonts w:ascii="Arial" w:hAnsi="Arial" w:cs="Arial"/>
          <w:lang w:eastAsia="es-ES"/>
        </w:rPr>
        <w:t>a</w:t>
      </w:r>
      <w:r w:rsidRPr="0099058D">
        <w:rPr>
          <w:rFonts w:ascii="Arial" w:hAnsi="Arial" w:cs="Arial"/>
          <w:lang w:eastAsia="es-ES"/>
        </w:rPr>
        <w:t xml:space="preserve">l día siguiente de su publicación en el </w:t>
      </w:r>
      <w:r w:rsidR="009115C3" w:rsidRPr="0099058D">
        <w:rPr>
          <w:rFonts w:ascii="Arial" w:hAnsi="Arial" w:cs="Arial"/>
        </w:rPr>
        <w:t>d</w:t>
      </w:r>
      <w:r w:rsidR="00C709D7" w:rsidRPr="0099058D">
        <w:rPr>
          <w:rFonts w:ascii="Arial" w:hAnsi="Arial" w:cs="Arial"/>
        </w:rPr>
        <w:t xml:space="preserve">iario </w:t>
      </w:r>
      <w:r w:rsidR="009115C3" w:rsidRPr="0099058D">
        <w:rPr>
          <w:rFonts w:ascii="Arial" w:hAnsi="Arial" w:cs="Arial"/>
        </w:rPr>
        <w:t>o</w:t>
      </w:r>
      <w:r w:rsidR="00C709D7" w:rsidRPr="0099058D">
        <w:rPr>
          <w:rFonts w:ascii="Arial" w:hAnsi="Arial" w:cs="Arial"/>
        </w:rPr>
        <w:t>ficial El Peruano.</w:t>
      </w:r>
    </w:p>
    <w:p w14:paraId="2156096C" w14:textId="77777777" w:rsidR="00C067AA" w:rsidRPr="0099058D" w:rsidRDefault="00C067AA" w:rsidP="00C067AA">
      <w:pPr>
        <w:pStyle w:val="Textoindependienteprimerasangra"/>
        <w:spacing w:after="0"/>
        <w:ind w:firstLine="0"/>
        <w:jc w:val="both"/>
        <w:rPr>
          <w:rFonts w:ascii="Arial" w:hAnsi="Arial" w:cs="Arial"/>
          <w:sz w:val="22"/>
          <w:szCs w:val="22"/>
        </w:rPr>
      </w:pPr>
    </w:p>
    <w:p w14:paraId="346BA04D" w14:textId="32CDEEFC" w:rsidR="00C55B51" w:rsidRPr="0099058D" w:rsidRDefault="00D70B65" w:rsidP="00C067AA">
      <w:pPr>
        <w:pStyle w:val="Textoindependienteprimerasangra"/>
        <w:spacing w:after="0"/>
        <w:ind w:firstLine="0"/>
        <w:jc w:val="both"/>
        <w:rPr>
          <w:rFonts w:ascii="Arial" w:hAnsi="Arial" w:cs="Arial"/>
          <w:strike/>
          <w:sz w:val="22"/>
          <w:szCs w:val="22"/>
        </w:rPr>
      </w:pPr>
      <w:r w:rsidRPr="0099058D">
        <w:rPr>
          <w:rFonts w:ascii="Arial" w:hAnsi="Arial" w:cs="Arial"/>
          <w:sz w:val="22"/>
          <w:szCs w:val="22"/>
        </w:rPr>
        <w:t>Regístrese, comuníquese y publíquese</w:t>
      </w:r>
      <w:r w:rsidR="0066228A" w:rsidRPr="0099058D">
        <w:rPr>
          <w:rFonts w:ascii="Arial" w:hAnsi="Arial" w:cs="Arial"/>
          <w:sz w:val="22"/>
          <w:szCs w:val="22"/>
        </w:rPr>
        <w:t>.</w:t>
      </w:r>
      <w:r w:rsidRPr="0099058D">
        <w:rPr>
          <w:rFonts w:ascii="Arial" w:hAnsi="Arial" w:cs="Arial"/>
          <w:strike/>
          <w:sz w:val="22"/>
          <w:szCs w:val="22"/>
        </w:rPr>
        <w:t xml:space="preserve"> </w:t>
      </w:r>
    </w:p>
    <w:p w14:paraId="504C9F35" w14:textId="77777777" w:rsidR="004926CA" w:rsidRPr="0099058D" w:rsidRDefault="004926CA" w:rsidP="00C067AA">
      <w:pPr>
        <w:pStyle w:val="Textoindependienteprimerasangra"/>
        <w:spacing w:after="0"/>
        <w:ind w:firstLine="0"/>
        <w:jc w:val="both"/>
        <w:rPr>
          <w:rFonts w:ascii="Arial" w:hAnsi="Arial" w:cs="Arial"/>
          <w:strike/>
          <w:sz w:val="22"/>
          <w:szCs w:val="22"/>
        </w:rPr>
      </w:pPr>
    </w:p>
    <w:sectPr w:rsidR="004926CA" w:rsidRPr="0099058D" w:rsidSect="007955A2">
      <w:pgSz w:w="11906" w:h="16838" w:code="9"/>
      <w:pgMar w:top="4537" w:right="1701" w:bottom="184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31D6" w16cex:dateUtc="2022-02-24T21:33:00Z"/>
  <w16cex:commentExtensible w16cex:durableId="25BFE9A6" w16cex:dateUtc="2022-02-23T04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51BE6" w14:textId="77777777" w:rsidR="00914D9F" w:rsidRDefault="00914D9F" w:rsidP="00C60DDC">
      <w:pPr>
        <w:spacing w:after="0" w:line="240" w:lineRule="auto"/>
      </w:pPr>
      <w:r>
        <w:separator/>
      </w:r>
    </w:p>
  </w:endnote>
  <w:endnote w:type="continuationSeparator" w:id="0">
    <w:p w14:paraId="3A3347BF" w14:textId="77777777" w:rsidR="00914D9F" w:rsidRDefault="00914D9F" w:rsidP="00C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9D8CF" w14:textId="77777777" w:rsidR="00914D9F" w:rsidRDefault="00914D9F" w:rsidP="00C60DDC">
      <w:pPr>
        <w:spacing w:after="0" w:line="240" w:lineRule="auto"/>
      </w:pPr>
      <w:r>
        <w:separator/>
      </w:r>
    </w:p>
  </w:footnote>
  <w:footnote w:type="continuationSeparator" w:id="0">
    <w:p w14:paraId="31E96CC4" w14:textId="77777777" w:rsidR="00914D9F" w:rsidRDefault="00914D9F" w:rsidP="00C6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064"/>
    <w:multiLevelType w:val="hybridMultilevel"/>
    <w:tmpl w:val="24CAE0FA"/>
    <w:lvl w:ilvl="0" w:tplc="28BC1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6C9"/>
    <w:multiLevelType w:val="hybridMultilevel"/>
    <w:tmpl w:val="28189854"/>
    <w:lvl w:ilvl="0" w:tplc="B11E4534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D1E84"/>
    <w:multiLevelType w:val="hybridMultilevel"/>
    <w:tmpl w:val="28189854"/>
    <w:lvl w:ilvl="0" w:tplc="B11E4534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9EE"/>
    <w:multiLevelType w:val="hybridMultilevel"/>
    <w:tmpl w:val="28189854"/>
    <w:lvl w:ilvl="0" w:tplc="B11E4534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42856"/>
    <w:multiLevelType w:val="hybridMultilevel"/>
    <w:tmpl w:val="82B6FF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B4EC9"/>
    <w:multiLevelType w:val="hybridMultilevel"/>
    <w:tmpl w:val="1A188646"/>
    <w:lvl w:ilvl="0" w:tplc="C25859C8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891" w:hanging="360"/>
      </w:pPr>
    </w:lvl>
    <w:lvl w:ilvl="2" w:tplc="280A001B" w:tentative="1">
      <w:start w:val="1"/>
      <w:numFmt w:val="lowerRoman"/>
      <w:lvlText w:val="%3."/>
      <w:lvlJc w:val="right"/>
      <w:pPr>
        <w:ind w:left="1611" w:hanging="180"/>
      </w:pPr>
    </w:lvl>
    <w:lvl w:ilvl="3" w:tplc="280A000F" w:tentative="1">
      <w:start w:val="1"/>
      <w:numFmt w:val="decimal"/>
      <w:lvlText w:val="%4."/>
      <w:lvlJc w:val="left"/>
      <w:pPr>
        <w:ind w:left="2331" w:hanging="360"/>
      </w:pPr>
    </w:lvl>
    <w:lvl w:ilvl="4" w:tplc="280A0019" w:tentative="1">
      <w:start w:val="1"/>
      <w:numFmt w:val="lowerLetter"/>
      <w:lvlText w:val="%5."/>
      <w:lvlJc w:val="left"/>
      <w:pPr>
        <w:ind w:left="3051" w:hanging="360"/>
      </w:pPr>
    </w:lvl>
    <w:lvl w:ilvl="5" w:tplc="280A001B" w:tentative="1">
      <w:start w:val="1"/>
      <w:numFmt w:val="lowerRoman"/>
      <w:lvlText w:val="%6."/>
      <w:lvlJc w:val="right"/>
      <w:pPr>
        <w:ind w:left="3771" w:hanging="180"/>
      </w:pPr>
    </w:lvl>
    <w:lvl w:ilvl="6" w:tplc="280A000F" w:tentative="1">
      <w:start w:val="1"/>
      <w:numFmt w:val="decimal"/>
      <w:lvlText w:val="%7."/>
      <w:lvlJc w:val="left"/>
      <w:pPr>
        <w:ind w:left="4491" w:hanging="360"/>
      </w:pPr>
    </w:lvl>
    <w:lvl w:ilvl="7" w:tplc="280A0019" w:tentative="1">
      <w:start w:val="1"/>
      <w:numFmt w:val="lowerLetter"/>
      <w:lvlText w:val="%8."/>
      <w:lvlJc w:val="left"/>
      <w:pPr>
        <w:ind w:left="5211" w:hanging="360"/>
      </w:pPr>
    </w:lvl>
    <w:lvl w:ilvl="8" w:tplc="280A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6" w15:restartNumberingAfterBreak="0">
    <w:nsid w:val="4D00357B"/>
    <w:multiLevelType w:val="hybridMultilevel"/>
    <w:tmpl w:val="D3445D1E"/>
    <w:lvl w:ilvl="0" w:tplc="D37A9850">
      <w:start w:val="1"/>
      <w:numFmt w:val="decimal"/>
      <w:lvlText w:val="(%1)"/>
      <w:lvlJc w:val="left"/>
      <w:pPr>
        <w:ind w:left="612" w:hanging="432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260" w:hanging="360"/>
      </w:pPr>
    </w:lvl>
    <w:lvl w:ilvl="2" w:tplc="280A001B" w:tentative="1">
      <w:start w:val="1"/>
      <w:numFmt w:val="lowerRoman"/>
      <w:lvlText w:val="%3."/>
      <w:lvlJc w:val="right"/>
      <w:pPr>
        <w:ind w:left="1980" w:hanging="180"/>
      </w:pPr>
    </w:lvl>
    <w:lvl w:ilvl="3" w:tplc="280A000F" w:tentative="1">
      <w:start w:val="1"/>
      <w:numFmt w:val="decimal"/>
      <w:lvlText w:val="%4."/>
      <w:lvlJc w:val="left"/>
      <w:pPr>
        <w:ind w:left="2700" w:hanging="360"/>
      </w:pPr>
    </w:lvl>
    <w:lvl w:ilvl="4" w:tplc="280A0019" w:tentative="1">
      <w:start w:val="1"/>
      <w:numFmt w:val="lowerLetter"/>
      <w:lvlText w:val="%5."/>
      <w:lvlJc w:val="left"/>
      <w:pPr>
        <w:ind w:left="3420" w:hanging="360"/>
      </w:pPr>
    </w:lvl>
    <w:lvl w:ilvl="5" w:tplc="280A001B" w:tentative="1">
      <w:start w:val="1"/>
      <w:numFmt w:val="lowerRoman"/>
      <w:lvlText w:val="%6."/>
      <w:lvlJc w:val="right"/>
      <w:pPr>
        <w:ind w:left="4140" w:hanging="180"/>
      </w:pPr>
    </w:lvl>
    <w:lvl w:ilvl="6" w:tplc="280A000F" w:tentative="1">
      <w:start w:val="1"/>
      <w:numFmt w:val="decimal"/>
      <w:lvlText w:val="%7."/>
      <w:lvlJc w:val="left"/>
      <w:pPr>
        <w:ind w:left="4860" w:hanging="360"/>
      </w:pPr>
    </w:lvl>
    <w:lvl w:ilvl="7" w:tplc="280A0019" w:tentative="1">
      <w:start w:val="1"/>
      <w:numFmt w:val="lowerLetter"/>
      <w:lvlText w:val="%8."/>
      <w:lvlJc w:val="left"/>
      <w:pPr>
        <w:ind w:left="5580" w:hanging="360"/>
      </w:pPr>
    </w:lvl>
    <w:lvl w:ilvl="8" w:tplc="2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4657A26"/>
    <w:multiLevelType w:val="hybridMultilevel"/>
    <w:tmpl w:val="28189854"/>
    <w:lvl w:ilvl="0" w:tplc="B11E4534">
      <w:start w:val="1"/>
      <w:numFmt w:val="lowerRoman"/>
      <w:lvlText w:val="%1)"/>
      <w:lvlJc w:val="left"/>
      <w:pPr>
        <w:ind w:left="0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A401DD7"/>
    <w:multiLevelType w:val="hybridMultilevel"/>
    <w:tmpl w:val="28189854"/>
    <w:lvl w:ilvl="0" w:tplc="B11E4534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596939"/>
    <w:multiLevelType w:val="hybridMultilevel"/>
    <w:tmpl w:val="503ED7C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7C66EF"/>
    <w:multiLevelType w:val="hybridMultilevel"/>
    <w:tmpl w:val="503ED7C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5A02FF"/>
    <w:multiLevelType w:val="hybridMultilevel"/>
    <w:tmpl w:val="6848189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6D"/>
    <w:rsid w:val="0000113E"/>
    <w:rsid w:val="000021F5"/>
    <w:rsid w:val="00004597"/>
    <w:rsid w:val="0000535C"/>
    <w:rsid w:val="00006AAD"/>
    <w:rsid w:val="00006F73"/>
    <w:rsid w:val="000073F3"/>
    <w:rsid w:val="0000753C"/>
    <w:rsid w:val="000076BD"/>
    <w:rsid w:val="00007FA2"/>
    <w:rsid w:val="000110FC"/>
    <w:rsid w:val="00012C59"/>
    <w:rsid w:val="000131A7"/>
    <w:rsid w:val="0001426D"/>
    <w:rsid w:val="00015691"/>
    <w:rsid w:val="00022A52"/>
    <w:rsid w:val="00033CAD"/>
    <w:rsid w:val="00034495"/>
    <w:rsid w:val="00036012"/>
    <w:rsid w:val="00036908"/>
    <w:rsid w:val="00037DEE"/>
    <w:rsid w:val="00037FC4"/>
    <w:rsid w:val="000404F5"/>
    <w:rsid w:val="000412A1"/>
    <w:rsid w:val="00044E3F"/>
    <w:rsid w:val="000463A0"/>
    <w:rsid w:val="00046E3C"/>
    <w:rsid w:val="00050754"/>
    <w:rsid w:val="00050795"/>
    <w:rsid w:val="00052E9A"/>
    <w:rsid w:val="000543B5"/>
    <w:rsid w:val="0005632F"/>
    <w:rsid w:val="00062FD8"/>
    <w:rsid w:val="000645D6"/>
    <w:rsid w:val="000647F1"/>
    <w:rsid w:val="00065789"/>
    <w:rsid w:val="00070D4D"/>
    <w:rsid w:val="00070D5F"/>
    <w:rsid w:val="000730A3"/>
    <w:rsid w:val="00076185"/>
    <w:rsid w:val="00076A9A"/>
    <w:rsid w:val="000810F7"/>
    <w:rsid w:val="0008183D"/>
    <w:rsid w:val="000837A7"/>
    <w:rsid w:val="00086166"/>
    <w:rsid w:val="00086CF2"/>
    <w:rsid w:val="000877C9"/>
    <w:rsid w:val="00091D90"/>
    <w:rsid w:val="00092BA2"/>
    <w:rsid w:val="00097A1E"/>
    <w:rsid w:val="00097FC8"/>
    <w:rsid w:val="000A0F3E"/>
    <w:rsid w:val="000A1FDA"/>
    <w:rsid w:val="000A2C5B"/>
    <w:rsid w:val="000A3FA4"/>
    <w:rsid w:val="000A4099"/>
    <w:rsid w:val="000A52BF"/>
    <w:rsid w:val="000A551C"/>
    <w:rsid w:val="000A5B73"/>
    <w:rsid w:val="000A6326"/>
    <w:rsid w:val="000A7456"/>
    <w:rsid w:val="000B0783"/>
    <w:rsid w:val="000B1682"/>
    <w:rsid w:val="000B2E2D"/>
    <w:rsid w:val="000C0233"/>
    <w:rsid w:val="000C6398"/>
    <w:rsid w:val="000C73D5"/>
    <w:rsid w:val="000D0105"/>
    <w:rsid w:val="000D1341"/>
    <w:rsid w:val="000D21E9"/>
    <w:rsid w:val="000D3BE8"/>
    <w:rsid w:val="000D3E8F"/>
    <w:rsid w:val="000D4495"/>
    <w:rsid w:val="000D65AC"/>
    <w:rsid w:val="000D6F7D"/>
    <w:rsid w:val="000E053D"/>
    <w:rsid w:val="000E0B86"/>
    <w:rsid w:val="000E337E"/>
    <w:rsid w:val="000E7222"/>
    <w:rsid w:val="000F0E01"/>
    <w:rsid w:val="000F173A"/>
    <w:rsid w:val="000F1E5B"/>
    <w:rsid w:val="000F2AD5"/>
    <w:rsid w:val="000F53F9"/>
    <w:rsid w:val="00103BA4"/>
    <w:rsid w:val="001046EC"/>
    <w:rsid w:val="001053F1"/>
    <w:rsid w:val="00106D40"/>
    <w:rsid w:val="001074B0"/>
    <w:rsid w:val="00110C05"/>
    <w:rsid w:val="00110D63"/>
    <w:rsid w:val="00115EDD"/>
    <w:rsid w:val="0011600F"/>
    <w:rsid w:val="00117312"/>
    <w:rsid w:val="00117DDB"/>
    <w:rsid w:val="00122462"/>
    <w:rsid w:val="00124023"/>
    <w:rsid w:val="00124A9A"/>
    <w:rsid w:val="00126797"/>
    <w:rsid w:val="001270B9"/>
    <w:rsid w:val="00130CE7"/>
    <w:rsid w:val="00131940"/>
    <w:rsid w:val="00132730"/>
    <w:rsid w:val="001333F8"/>
    <w:rsid w:val="0013419B"/>
    <w:rsid w:val="00134E3A"/>
    <w:rsid w:val="00135011"/>
    <w:rsid w:val="001362E0"/>
    <w:rsid w:val="00141462"/>
    <w:rsid w:val="001415AA"/>
    <w:rsid w:val="0014361E"/>
    <w:rsid w:val="00143973"/>
    <w:rsid w:val="0014500A"/>
    <w:rsid w:val="0014521B"/>
    <w:rsid w:val="001454AA"/>
    <w:rsid w:val="00146629"/>
    <w:rsid w:val="0015001C"/>
    <w:rsid w:val="001503D3"/>
    <w:rsid w:val="001507AE"/>
    <w:rsid w:val="0015186D"/>
    <w:rsid w:val="00151ED2"/>
    <w:rsid w:val="0015259C"/>
    <w:rsid w:val="001541CF"/>
    <w:rsid w:val="0015445D"/>
    <w:rsid w:val="00157240"/>
    <w:rsid w:val="00160EA6"/>
    <w:rsid w:val="0016239B"/>
    <w:rsid w:val="001649F8"/>
    <w:rsid w:val="0016687D"/>
    <w:rsid w:val="00170DF8"/>
    <w:rsid w:val="00171AB4"/>
    <w:rsid w:val="00171B4E"/>
    <w:rsid w:val="00172C7D"/>
    <w:rsid w:val="00173C8C"/>
    <w:rsid w:val="00174992"/>
    <w:rsid w:val="001759C6"/>
    <w:rsid w:val="0017731B"/>
    <w:rsid w:val="00177441"/>
    <w:rsid w:val="00177D96"/>
    <w:rsid w:val="00177F31"/>
    <w:rsid w:val="0018360E"/>
    <w:rsid w:val="00184555"/>
    <w:rsid w:val="00184D7A"/>
    <w:rsid w:val="0018564A"/>
    <w:rsid w:val="001862A8"/>
    <w:rsid w:val="001865EB"/>
    <w:rsid w:val="00187217"/>
    <w:rsid w:val="00193392"/>
    <w:rsid w:val="0019442B"/>
    <w:rsid w:val="001969ED"/>
    <w:rsid w:val="00196D20"/>
    <w:rsid w:val="001A3B8F"/>
    <w:rsid w:val="001A4AC8"/>
    <w:rsid w:val="001A5D66"/>
    <w:rsid w:val="001A6192"/>
    <w:rsid w:val="001A7F79"/>
    <w:rsid w:val="001B0513"/>
    <w:rsid w:val="001B238D"/>
    <w:rsid w:val="001B3116"/>
    <w:rsid w:val="001B3F7A"/>
    <w:rsid w:val="001B41B3"/>
    <w:rsid w:val="001B6422"/>
    <w:rsid w:val="001B6E4E"/>
    <w:rsid w:val="001B6FFD"/>
    <w:rsid w:val="001C2330"/>
    <w:rsid w:val="001D0C09"/>
    <w:rsid w:val="001D14BF"/>
    <w:rsid w:val="001D1649"/>
    <w:rsid w:val="001D5560"/>
    <w:rsid w:val="001D58E6"/>
    <w:rsid w:val="001D6175"/>
    <w:rsid w:val="001D667E"/>
    <w:rsid w:val="001D7B43"/>
    <w:rsid w:val="001E19C8"/>
    <w:rsid w:val="001E327C"/>
    <w:rsid w:val="001E4700"/>
    <w:rsid w:val="001E50BC"/>
    <w:rsid w:val="001E61CC"/>
    <w:rsid w:val="001E732F"/>
    <w:rsid w:val="001E7C83"/>
    <w:rsid w:val="001F054A"/>
    <w:rsid w:val="001F3535"/>
    <w:rsid w:val="001F479A"/>
    <w:rsid w:val="001F528C"/>
    <w:rsid w:val="001F72C4"/>
    <w:rsid w:val="00201AA7"/>
    <w:rsid w:val="00201E90"/>
    <w:rsid w:val="00201FD9"/>
    <w:rsid w:val="00202BEC"/>
    <w:rsid w:val="00202FC1"/>
    <w:rsid w:val="0020386D"/>
    <w:rsid w:val="00203CE9"/>
    <w:rsid w:val="00204179"/>
    <w:rsid w:val="00204A17"/>
    <w:rsid w:val="00205E6D"/>
    <w:rsid w:val="00206349"/>
    <w:rsid w:val="00206AB3"/>
    <w:rsid w:val="00206CCC"/>
    <w:rsid w:val="00210126"/>
    <w:rsid w:val="002103B4"/>
    <w:rsid w:val="002119FB"/>
    <w:rsid w:val="00214A0E"/>
    <w:rsid w:val="00215F47"/>
    <w:rsid w:val="0021682F"/>
    <w:rsid w:val="00216850"/>
    <w:rsid w:val="00216AC4"/>
    <w:rsid w:val="00220ACC"/>
    <w:rsid w:val="00223E51"/>
    <w:rsid w:val="0022499D"/>
    <w:rsid w:val="00225341"/>
    <w:rsid w:val="0022626F"/>
    <w:rsid w:val="002268B2"/>
    <w:rsid w:val="002277DB"/>
    <w:rsid w:val="00227A59"/>
    <w:rsid w:val="00230C4D"/>
    <w:rsid w:val="002328C9"/>
    <w:rsid w:val="0023311D"/>
    <w:rsid w:val="00233739"/>
    <w:rsid w:val="0023422E"/>
    <w:rsid w:val="002368CC"/>
    <w:rsid w:val="002368D0"/>
    <w:rsid w:val="00236A3D"/>
    <w:rsid w:val="00236D78"/>
    <w:rsid w:val="00243EE7"/>
    <w:rsid w:val="00244D57"/>
    <w:rsid w:val="00245492"/>
    <w:rsid w:val="00245D13"/>
    <w:rsid w:val="00247542"/>
    <w:rsid w:val="00247B03"/>
    <w:rsid w:val="0025083F"/>
    <w:rsid w:val="00252450"/>
    <w:rsid w:val="00263B89"/>
    <w:rsid w:val="00263C12"/>
    <w:rsid w:val="00263C34"/>
    <w:rsid w:val="00272092"/>
    <w:rsid w:val="00274B72"/>
    <w:rsid w:val="0028030E"/>
    <w:rsid w:val="00281252"/>
    <w:rsid w:val="00281931"/>
    <w:rsid w:val="00282BDA"/>
    <w:rsid w:val="00283ADC"/>
    <w:rsid w:val="00284808"/>
    <w:rsid w:val="00284862"/>
    <w:rsid w:val="00284D37"/>
    <w:rsid w:val="00285FAF"/>
    <w:rsid w:val="00287606"/>
    <w:rsid w:val="00287A9E"/>
    <w:rsid w:val="002916F4"/>
    <w:rsid w:val="00292079"/>
    <w:rsid w:val="00293E12"/>
    <w:rsid w:val="00294956"/>
    <w:rsid w:val="00295403"/>
    <w:rsid w:val="00296006"/>
    <w:rsid w:val="00297111"/>
    <w:rsid w:val="00297781"/>
    <w:rsid w:val="002A0410"/>
    <w:rsid w:val="002A6522"/>
    <w:rsid w:val="002A73F7"/>
    <w:rsid w:val="002B0691"/>
    <w:rsid w:val="002B07D6"/>
    <w:rsid w:val="002B1268"/>
    <w:rsid w:val="002B2DEF"/>
    <w:rsid w:val="002B6030"/>
    <w:rsid w:val="002B676C"/>
    <w:rsid w:val="002C294A"/>
    <w:rsid w:val="002C73CD"/>
    <w:rsid w:val="002D24CD"/>
    <w:rsid w:val="002D3CFC"/>
    <w:rsid w:val="002D3DDF"/>
    <w:rsid w:val="002D3E38"/>
    <w:rsid w:val="002D55E7"/>
    <w:rsid w:val="002E3EBA"/>
    <w:rsid w:val="002F2BA7"/>
    <w:rsid w:val="002F4033"/>
    <w:rsid w:val="002F4DB0"/>
    <w:rsid w:val="002F78BF"/>
    <w:rsid w:val="0030283C"/>
    <w:rsid w:val="0031188B"/>
    <w:rsid w:val="00311AE4"/>
    <w:rsid w:val="00312EA7"/>
    <w:rsid w:val="003133CC"/>
    <w:rsid w:val="00315B49"/>
    <w:rsid w:val="003167BF"/>
    <w:rsid w:val="00317457"/>
    <w:rsid w:val="00321143"/>
    <w:rsid w:val="003248FC"/>
    <w:rsid w:val="00325F3A"/>
    <w:rsid w:val="00326298"/>
    <w:rsid w:val="00326C69"/>
    <w:rsid w:val="003303A2"/>
    <w:rsid w:val="00333194"/>
    <w:rsid w:val="00333F4F"/>
    <w:rsid w:val="00336A33"/>
    <w:rsid w:val="00340764"/>
    <w:rsid w:val="00340ECB"/>
    <w:rsid w:val="00342010"/>
    <w:rsid w:val="00343C28"/>
    <w:rsid w:val="003440F7"/>
    <w:rsid w:val="003441B7"/>
    <w:rsid w:val="003467E1"/>
    <w:rsid w:val="0034716E"/>
    <w:rsid w:val="00347BB1"/>
    <w:rsid w:val="00351CE9"/>
    <w:rsid w:val="003527C7"/>
    <w:rsid w:val="0035487A"/>
    <w:rsid w:val="003555FB"/>
    <w:rsid w:val="00355D00"/>
    <w:rsid w:val="003567BA"/>
    <w:rsid w:val="00357C59"/>
    <w:rsid w:val="003631FA"/>
    <w:rsid w:val="00365F6E"/>
    <w:rsid w:val="0036678A"/>
    <w:rsid w:val="003701B1"/>
    <w:rsid w:val="0037053A"/>
    <w:rsid w:val="00370904"/>
    <w:rsid w:val="00371DA8"/>
    <w:rsid w:val="003738C7"/>
    <w:rsid w:val="0037393C"/>
    <w:rsid w:val="003778AE"/>
    <w:rsid w:val="003803D1"/>
    <w:rsid w:val="0038068D"/>
    <w:rsid w:val="003842CF"/>
    <w:rsid w:val="00384B84"/>
    <w:rsid w:val="00384CCD"/>
    <w:rsid w:val="00385DC4"/>
    <w:rsid w:val="003862C3"/>
    <w:rsid w:val="003876F2"/>
    <w:rsid w:val="00390F32"/>
    <w:rsid w:val="0039168B"/>
    <w:rsid w:val="00391DDD"/>
    <w:rsid w:val="00392780"/>
    <w:rsid w:val="003930E7"/>
    <w:rsid w:val="00393D93"/>
    <w:rsid w:val="0039486C"/>
    <w:rsid w:val="00394F6E"/>
    <w:rsid w:val="003967B9"/>
    <w:rsid w:val="003A1E45"/>
    <w:rsid w:val="003A245D"/>
    <w:rsid w:val="003A31B7"/>
    <w:rsid w:val="003A58B5"/>
    <w:rsid w:val="003A5AC4"/>
    <w:rsid w:val="003A6BAF"/>
    <w:rsid w:val="003A7320"/>
    <w:rsid w:val="003A74D8"/>
    <w:rsid w:val="003A79AF"/>
    <w:rsid w:val="003B1393"/>
    <w:rsid w:val="003B145B"/>
    <w:rsid w:val="003B1A66"/>
    <w:rsid w:val="003B4D45"/>
    <w:rsid w:val="003B5831"/>
    <w:rsid w:val="003B595A"/>
    <w:rsid w:val="003B74DC"/>
    <w:rsid w:val="003C0532"/>
    <w:rsid w:val="003C0A27"/>
    <w:rsid w:val="003C1025"/>
    <w:rsid w:val="003C26DB"/>
    <w:rsid w:val="003C31CF"/>
    <w:rsid w:val="003C557A"/>
    <w:rsid w:val="003C55C3"/>
    <w:rsid w:val="003C73A4"/>
    <w:rsid w:val="003C7637"/>
    <w:rsid w:val="003D2F74"/>
    <w:rsid w:val="003D353C"/>
    <w:rsid w:val="003D414E"/>
    <w:rsid w:val="003D6917"/>
    <w:rsid w:val="003E0BF1"/>
    <w:rsid w:val="003E1434"/>
    <w:rsid w:val="003E2604"/>
    <w:rsid w:val="003E4EFA"/>
    <w:rsid w:val="003E7A38"/>
    <w:rsid w:val="003E7BE2"/>
    <w:rsid w:val="003F6EB6"/>
    <w:rsid w:val="003F7851"/>
    <w:rsid w:val="00401CF7"/>
    <w:rsid w:val="004027B1"/>
    <w:rsid w:val="0040343C"/>
    <w:rsid w:val="00412420"/>
    <w:rsid w:val="004139C3"/>
    <w:rsid w:val="00414C02"/>
    <w:rsid w:val="00416880"/>
    <w:rsid w:val="00416ED2"/>
    <w:rsid w:val="004175C0"/>
    <w:rsid w:val="004237A8"/>
    <w:rsid w:val="004255A4"/>
    <w:rsid w:val="004322ED"/>
    <w:rsid w:val="00433612"/>
    <w:rsid w:val="00435C97"/>
    <w:rsid w:val="00436472"/>
    <w:rsid w:val="0044003F"/>
    <w:rsid w:val="00440D9C"/>
    <w:rsid w:val="0044289B"/>
    <w:rsid w:val="004451D1"/>
    <w:rsid w:val="0044587B"/>
    <w:rsid w:val="00450883"/>
    <w:rsid w:val="0045187E"/>
    <w:rsid w:val="00452139"/>
    <w:rsid w:val="004547AA"/>
    <w:rsid w:val="00454BDF"/>
    <w:rsid w:val="00455715"/>
    <w:rsid w:val="004566B3"/>
    <w:rsid w:val="00456934"/>
    <w:rsid w:val="004623A3"/>
    <w:rsid w:val="004626C5"/>
    <w:rsid w:val="00464B09"/>
    <w:rsid w:val="00470720"/>
    <w:rsid w:val="004720D1"/>
    <w:rsid w:val="0047595D"/>
    <w:rsid w:val="00477465"/>
    <w:rsid w:val="00477708"/>
    <w:rsid w:val="00480079"/>
    <w:rsid w:val="00485F74"/>
    <w:rsid w:val="00486114"/>
    <w:rsid w:val="00486EBF"/>
    <w:rsid w:val="00487290"/>
    <w:rsid w:val="00490FCF"/>
    <w:rsid w:val="004926CA"/>
    <w:rsid w:val="004976AC"/>
    <w:rsid w:val="00497B87"/>
    <w:rsid w:val="00497D35"/>
    <w:rsid w:val="004A39D3"/>
    <w:rsid w:val="004A6375"/>
    <w:rsid w:val="004A6444"/>
    <w:rsid w:val="004A7605"/>
    <w:rsid w:val="004B141B"/>
    <w:rsid w:val="004B1744"/>
    <w:rsid w:val="004B26BA"/>
    <w:rsid w:val="004B296A"/>
    <w:rsid w:val="004B5D3C"/>
    <w:rsid w:val="004B6457"/>
    <w:rsid w:val="004B75BF"/>
    <w:rsid w:val="004B7B8F"/>
    <w:rsid w:val="004C17D3"/>
    <w:rsid w:val="004C1C0C"/>
    <w:rsid w:val="004C27DB"/>
    <w:rsid w:val="004C2F48"/>
    <w:rsid w:val="004C41F6"/>
    <w:rsid w:val="004C42D0"/>
    <w:rsid w:val="004C4379"/>
    <w:rsid w:val="004C55DF"/>
    <w:rsid w:val="004C5D61"/>
    <w:rsid w:val="004C7A5E"/>
    <w:rsid w:val="004D1BB8"/>
    <w:rsid w:val="004D36A5"/>
    <w:rsid w:val="004D4AED"/>
    <w:rsid w:val="004D6108"/>
    <w:rsid w:val="004D748B"/>
    <w:rsid w:val="004E4323"/>
    <w:rsid w:val="004E4CA5"/>
    <w:rsid w:val="004E4DBD"/>
    <w:rsid w:val="004E52A7"/>
    <w:rsid w:val="004E5509"/>
    <w:rsid w:val="004E78F7"/>
    <w:rsid w:val="004F0109"/>
    <w:rsid w:val="004F03F5"/>
    <w:rsid w:val="004F1DE0"/>
    <w:rsid w:val="004F36F4"/>
    <w:rsid w:val="004F3A11"/>
    <w:rsid w:val="004F649E"/>
    <w:rsid w:val="004F685E"/>
    <w:rsid w:val="004F7342"/>
    <w:rsid w:val="004F7E90"/>
    <w:rsid w:val="005013FF"/>
    <w:rsid w:val="00501687"/>
    <w:rsid w:val="005033B9"/>
    <w:rsid w:val="005115EB"/>
    <w:rsid w:val="0051265B"/>
    <w:rsid w:val="00515A0D"/>
    <w:rsid w:val="005163FA"/>
    <w:rsid w:val="00520235"/>
    <w:rsid w:val="0052112C"/>
    <w:rsid w:val="0052289D"/>
    <w:rsid w:val="00522A6A"/>
    <w:rsid w:val="00523415"/>
    <w:rsid w:val="0052404F"/>
    <w:rsid w:val="0052436F"/>
    <w:rsid w:val="00525015"/>
    <w:rsid w:val="00525373"/>
    <w:rsid w:val="005264DA"/>
    <w:rsid w:val="00527A62"/>
    <w:rsid w:val="00530122"/>
    <w:rsid w:val="005302A2"/>
    <w:rsid w:val="00531875"/>
    <w:rsid w:val="00531C3A"/>
    <w:rsid w:val="00531D8D"/>
    <w:rsid w:val="00532125"/>
    <w:rsid w:val="005323BB"/>
    <w:rsid w:val="0053359E"/>
    <w:rsid w:val="00533D72"/>
    <w:rsid w:val="005340A6"/>
    <w:rsid w:val="005340BA"/>
    <w:rsid w:val="005343FE"/>
    <w:rsid w:val="00536659"/>
    <w:rsid w:val="00536E9A"/>
    <w:rsid w:val="005376C0"/>
    <w:rsid w:val="005377DA"/>
    <w:rsid w:val="00537C72"/>
    <w:rsid w:val="00540857"/>
    <w:rsid w:val="00541B25"/>
    <w:rsid w:val="00542597"/>
    <w:rsid w:val="00542BF2"/>
    <w:rsid w:val="00542CB9"/>
    <w:rsid w:val="00544D55"/>
    <w:rsid w:val="00547D4F"/>
    <w:rsid w:val="00550141"/>
    <w:rsid w:val="00552AA4"/>
    <w:rsid w:val="00552B49"/>
    <w:rsid w:val="0055453C"/>
    <w:rsid w:val="00555E55"/>
    <w:rsid w:val="0056332B"/>
    <w:rsid w:val="0056411C"/>
    <w:rsid w:val="005654BA"/>
    <w:rsid w:val="005658B3"/>
    <w:rsid w:val="00570239"/>
    <w:rsid w:val="005707BC"/>
    <w:rsid w:val="00570AFD"/>
    <w:rsid w:val="00570D83"/>
    <w:rsid w:val="00572020"/>
    <w:rsid w:val="00572C2D"/>
    <w:rsid w:val="00572EBE"/>
    <w:rsid w:val="00573A13"/>
    <w:rsid w:val="00573F2C"/>
    <w:rsid w:val="00575013"/>
    <w:rsid w:val="0057603A"/>
    <w:rsid w:val="00576687"/>
    <w:rsid w:val="005778A5"/>
    <w:rsid w:val="00583899"/>
    <w:rsid w:val="00586208"/>
    <w:rsid w:val="00586573"/>
    <w:rsid w:val="0059334D"/>
    <w:rsid w:val="00594A94"/>
    <w:rsid w:val="00596692"/>
    <w:rsid w:val="00596EE6"/>
    <w:rsid w:val="005A0F91"/>
    <w:rsid w:val="005A139E"/>
    <w:rsid w:val="005A38F7"/>
    <w:rsid w:val="005A4493"/>
    <w:rsid w:val="005A59B3"/>
    <w:rsid w:val="005A61DC"/>
    <w:rsid w:val="005A6522"/>
    <w:rsid w:val="005A6A44"/>
    <w:rsid w:val="005B135E"/>
    <w:rsid w:val="005B16C5"/>
    <w:rsid w:val="005B2989"/>
    <w:rsid w:val="005B2C50"/>
    <w:rsid w:val="005B35A9"/>
    <w:rsid w:val="005B37D5"/>
    <w:rsid w:val="005B4537"/>
    <w:rsid w:val="005B4D54"/>
    <w:rsid w:val="005B5B90"/>
    <w:rsid w:val="005B62CD"/>
    <w:rsid w:val="005C069A"/>
    <w:rsid w:val="005C3604"/>
    <w:rsid w:val="005C465F"/>
    <w:rsid w:val="005C518E"/>
    <w:rsid w:val="005C57B8"/>
    <w:rsid w:val="005C6349"/>
    <w:rsid w:val="005C6E7D"/>
    <w:rsid w:val="005D02FC"/>
    <w:rsid w:val="005D0B2C"/>
    <w:rsid w:val="005D0BEA"/>
    <w:rsid w:val="005D2D98"/>
    <w:rsid w:val="005D3890"/>
    <w:rsid w:val="005D3B8E"/>
    <w:rsid w:val="005D59D0"/>
    <w:rsid w:val="005D5D53"/>
    <w:rsid w:val="005D5D97"/>
    <w:rsid w:val="005D660C"/>
    <w:rsid w:val="005D7E07"/>
    <w:rsid w:val="005E026F"/>
    <w:rsid w:val="005E07AB"/>
    <w:rsid w:val="005E0C71"/>
    <w:rsid w:val="005E14CF"/>
    <w:rsid w:val="005E4C22"/>
    <w:rsid w:val="005F15AE"/>
    <w:rsid w:val="005F2D5F"/>
    <w:rsid w:val="005F528C"/>
    <w:rsid w:val="005F53E9"/>
    <w:rsid w:val="005F7E99"/>
    <w:rsid w:val="0060085F"/>
    <w:rsid w:val="00601A0E"/>
    <w:rsid w:val="00601A5A"/>
    <w:rsid w:val="00601E86"/>
    <w:rsid w:val="00603A92"/>
    <w:rsid w:val="00604F58"/>
    <w:rsid w:val="00607DD3"/>
    <w:rsid w:val="00610282"/>
    <w:rsid w:val="00610FF1"/>
    <w:rsid w:val="00612896"/>
    <w:rsid w:val="00614C1C"/>
    <w:rsid w:val="00616516"/>
    <w:rsid w:val="00617083"/>
    <w:rsid w:val="00617424"/>
    <w:rsid w:val="006209BB"/>
    <w:rsid w:val="00621BAA"/>
    <w:rsid w:val="006244A1"/>
    <w:rsid w:val="00624D32"/>
    <w:rsid w:val="0062511F"/>
    <w:rsid w:val="00625950"/>
    <w:rsid w:val="00631465"/>
    <w:rsid w:val="00631985"/>
    <w:rsid w:val="0064052B"/>
    <w:rsid w:val="006440D0"/>
    <w:rsid w:val="0064427D"/>
    <w:rsid w:val="00644687"/>
    <w:rsid w:val="00645AC1"/>
    <w:rsid w:val="00646903"/>
    <w:rsid w:val="00647F07"/>
    <w:rsid w:val="00650EBF"/>
    <w:rsid w:val="00653A5F"/>
    <w:rsid w:val="006543D8"/>
    <w:rsid w:val="00656188"/>
    <w:rsid w:val="006571DF"/>
    <w:rsid w:val="0065725A"/>
    <w:rsid w:val="00657DB5"/>
    <w:rsid w:val="00661AA8"/>
    <w:rsid w:val="00661F5B"/>
    <w:rsid w:val="0066228A"/>
    <w:rsid w:val="0066543D"/>
    <w:rsid w:val="00673D12"/>
    <w:rsid w:val="006749A6"/>
    <w:rsid w:val="00675D84"/>
    <w:rsid w:val="00677E61"/>
    <w:rsid w:val="006804DA"/>
    <w:rsid w:val="00680F73"/>
    <w:rsid w:val="00681728"/>
    <w:rsid w:val="006820C3"/>
    <w:rsid w:val="00682B81"/>
    <w:rsid w:val="0068391F"/>
    <w:rsid w:val="00683A0A"/>
    <w:rsid w:val="00683DBB"/>
    <w:rsid w:val="00686818"/>
    <w:rsid w:val="006870A1"/>
    <w:rsid w:val="006908EC"/>
    <w:rsid w:val="00691391"/>
    <w:rsid w:val="00691ABC"/>
    <w:rsid w:val="006A27E6"/>
    <w:rsid w:val="006A386F"/>
    <w:rsid w:val="006A51A5"/>
    <w:rsid w:val="006A6152"/>
    <w:rsid w:val="006A79C4"/>
    <w:rsid w:val="006B4FD7"/>
    <w:rsid w:val="006B585C"/>
    <w:rsid w:val="006B6E5F"/>
    <w:rsid w:val="006C0D97"/>
    <w:rsid w:val="006C43E7"/>
    <w:rsid w:val="006C5B30"/>
    <w:rsid w:val="006D4F49"/>
    <w:rsid w:val="006D629C"/>
    <w:rsid w:val="006E1B75"/>
    <w:rsid w:val="006E1DBE"/>
    <w:rsid w:val="006E4C91"/>
    <w:rsid w:val="006E6911"/>
    <w:rsid w:val="006F0C6F"/>
    <w:rsid w:val="006F2CEE"/>
    <w:rsid w:val="006F361B"/>
    <w:rsid w:val="006F376E"/>
    <w:rsid w:val="006F48F8"/>
    <w:rsid w:val="006F4EA0"/>
    <w:rsid w:val="006F7509"/>
    <w:rsid w:val="00700954"/>
    <w:rsid w:val="0070095C"/>
    <w:rsid w:val="00702B93"/>
    <w:rsid w:val="00704978"/>
    <w:rsid w:val="007123C8"/>
    <w:rsid w:val="00712D0C"/>
    <w:rsid w:val="00716353"/>
    <w:rsid w:val="00716C3B"/>
    <w:rsid w:val="00717E55"/>
    <w:rsid w:val="00720D9F"/>
    <w:rsid w:val="0072177E"/>
    <w:rsid w:val="00721B32"/>
    <w:rsid w:val="007234EC"/>
    <w:rsid w:val="007248F7"/>
    <w:rsid w:val="0072551B"/>
    <w:rsid w:val="00726152"/>
    <w:rsid w:val="00735840"/>
    <w:rsid w:val="00735A52"/>
    <w:rsid w:val="00736FCD"/>
    <w:rsid w:val="007370F0"/>
    <w:rsid w:val="00737BE8"/>
    <w:rsid w:val="007412AC"/>
    <w:rsid w:val="00742A2D"/>
    <w:rsid w:val="00742EC6"/>
    <w:rsid w:val="00743879"/>
    <w:rsid w:val="00743CBC"/>
    <w:rsid w:val="007450CD"/>
    <w:rsid w:val="0074677C"/>
    <w:rsid w:val="00747B99"/>
    <w:rsid w:val="00747CA9"/>
    <w:rsid w:val="00750B3C"/>
    <w:rsid w:val="007542CF"/>
    <w:rsid w:val="00754AF1"/>
    <w:rsid w:val="007561E1"/>
    <w:rsid w:val="0075741D"/>
    <w:rsid w:val="007579EA"/>
    <w:rsid w:val="00760C68"/>
    <w:rsid w:val="00763F03"/>
    <w:rsid w:val="007643D7"/>
    <w:rsid w:val="007665A0"/>
    <w:rsid w:val="007674CB"/>
    <w:rsid w:val="00767D3F"/>
    <w:rsid w:val="00773037"/>
    <w:rsid w:val="007748B4"/>
    <w:rsid w:val="0077573D"/>
    <w:rsid w:val="00775B8B"/>
    <w:rsid w:val="00781A09"/>
    <w:rsid w:val="00781BF1"/>
    <w:rsid w:val="0078292A"/>
    <w:rsid w:val="00782C27"/>
    <w:rsid w:val="0078586A"/>
    <w:rsid w:val="0078650A"/>
    <w:rsid w:val="00787160"/>
    <w:rsid w:val="0078764B"/>
    <w:rsid w:val="007919CF"/>
    <w:rsid w:val="007934E2"/>
    <w:rsid w:val="007946F2"/>
    <w:rsid w:val="00794E6D"/>
    <w:rsid w:val="00794FBF"/>
    <w:rsid w:val="007955A2"/>
    <w:rsid w:val="0079595E"/>
    <w:rsid w:val="00796C7A"/>
    <w:rsid w:val="007975CE"/>
    <w:rsid w:val="007A33B1"/>
    <w:rsid w:val="007A3C71"/>
    <w:rsid w:val="007A4088"/>
    <w:rsid w:val="007A4735"/>
    <w:rsid w:val="007A4EBA"/>
    <w:rsid w:val="007A5641"/>
    <w:rsid w:val="007A5C6D"/>
    <w:rsid w:val="007A5E0C"/>
    <w:rsid w:val="007A69EE"/>
    <w:rsid w:val="007A705E"/>
    <w:rsid w:val="007A70C2"/>
    <w:rsid w:val="007B29AF"/>
    <w:rsid w:val="007B4833"/>
    <w:rsid w:val="007B4989"/>
    <w:rsid w:val="007B505F"/>
    <w:rsid w:val="007B7B97"/>
    <w:rsid w:val="007C0263"/>
    <w:rsid w:val="007C03E3"/>
    <w:rsid w:val="007C2E3B"/>
    <w:rsid w:val="007C6E41"/>
    <w:rsid w:val="007D23F7"/>
    <w:rsid w:val="007D3CA8"/>
    <w:rsid w:val="007D45C6"/>
    <w:rsid w:val="007D4FE2"/>
    <w:rsid w:val="007D51DF"/>
    <w:rsid w:val="007D54D3"/>
    <w:rsid w:val="007D58A2"/>
    <w:rsid w:val="007D75D5"/>
    <w:rsid w:val="007E0345"/>
    <w:rsid w:val="007E2D42"/>
    <w:rsid w:val="007E3014"/>
    <w:rsid w:val="007E4057"/>
    <w:rsid w:val="007E4669"/>
    <w:rsid w:val="007E6566"/>
    <w:rsid w:val="007E6832"/>
    <w:rsid w:val="007F22C1"/>
    <w:rsid w:val="007F22DB"/>
    <w:rsid w:val="007F3D54"/>
    <w:rsid w:val="007F5A1B"/>
    <w:rsid w:val="007F6168"/>
    <w:rsid w:val="007F7DBB"/>
    <w:rsid w:val="00802502"/>
    <w:rsid w:val="00802EF1"/>
    <w:rsid w:val="00804436"/>
    <w:rsid w:val="00811853"/>
    <w:rsid w:val="00815051"/>
    <w:rsid w:val="00815FB3"/>
    <w:rsid w:val="00817C34"/>
    <w:rsid w:val="008200E7"/>
    <w:rsid w:val="00820DBE"/>
    <w:rsid w:val="00822934"/>
    <w:rsid w:val="00822A73"/>
    <w:rsid w:val="0082424B"/>
    <w:rsid w:val="00824A82"/>
    <w:rsid w:val="00825464"/>
    <w:rsid w:val="00825769"/>
    <w:rsid w:val="0083091C"/>
    <w:rsid w:val="00833463"/>
    <w:rsid w:val="008338D8"/>
    <w:rsid w:val="00834FC0"/>
    <w:rsid w:val="008354C6"/>
    <w:rsid w:val="00836224"/>
    <w:rsid w:val="008362E3"/>
    <w:rsid w:val="008379DE"/>
    <w:rsid w:val="00837C4A"/>
    <w:rsid w:val="00837DDC"/>
    <w:rsid w:val="00842318"/>
    <w:rsid w:val="00843550"/>
    <w:rsid w:val="00852BA4"/>
    <w:rsid w:val="00853554"/>
    <w:rsid w:val="00853977"/>
    <w:rsid w:val="00854CF2"/>
    <w:rsid w:val="0085666F"/>
    <w:rsid w:val="00856D6F"/>
    <w:rsid w:val="00862317"/>
    <w:rsid w:val="00864392"/>
    <w:rsid w:val="008646B9"/>
    <w:rsid w:val="00864816"/>
    <w:rsid w:val="00870339"/>
    <w:rsid w:val="008712C8"/>
    <w:rsid w:val="00871A24"/>
    <w:rsid w:val="00871B4A"/>
    <w:rsid w:val="00875C16"/>
    <w:rsid w:val="00876600"/>
    <w:rsid w:val="00880C95"/>
    <w:rsid w:val="00881576"/>
    <w:rsid w:val="00883189"/>
    <w:rsid w:val="00884E35"/>
    <w:rsid w:val="008865A1"/>
    <w:rsid w:val="0088692F"/>
    <w:rsid w:val="0088722D"/>
    <w:rsid w:val="00887538"/>
    <w:rsid w:val="00887621"/>
    <w:rsid w:val="00891F5D"/>
    <w:rsid w:val="00893CC9"/>
    <w:rsid w:val="00894950"/>
    <w:rsid w:val="008955D5"/>
    <w:rsid w:val="00895F18"/>
    <w:rsid w:val="008966D0"/>
    <w:rsid w:val="00896B51"/>
    <w:rsid w:val="00897B69"/>
    <w:rsid w:val="008A008F"/>
    <w:rsid w:val="008A0D5F"/>
    <w:rsid w:val="008A0FAD"/>
    <w:rsid w:val="008A2F6E"/>
    <w:rsid w:val="008A3593"/>
    <w:rsid w:val="008A5A7B"/>
    <w:rsid w:val="008A71BD"/>
    <w:rsid w:val="008B0FAA"/>
    <w:rsid w:val="008B1C07"/>
    <w:rsid w:val="008B4144"/>
    <w:rsid w:val="008B4F6A"/>
    <w:rsid w:val="008B7046"/>
    <w:rsid w:val="008C085D"/>
    <w:rsid w:val="008C4C3D"/>
    <w:rsid w:val="008C55AF"/>
    <w:rsid w:val="008C66C0"/>
    <w:rsid w:val="008C712C"/>
    <w:rsid w:val="008C74BF"/>
    <w:rsid w:val="008D11FA"/>
    <w:rsid w:val="008D29F5"/>
    <w:rsid w:val="008D47B0"/>
    <w:rsid w:val="008D5E50"/>
    <w:rsid w:val="008D727F"/>
    <w:rsid w:val="008D7352"/>
    <w:rsid w:val="008E0428"/>
    <w:rsid w:val="008E35B7"/>
    <w:rsid w:val="008E596D"/>
    <w:rsid w:val="008E6417"/>
    <w:rsid w:val="008E6AE1"/>
    <w:rsid w:val="008F17CF"/>
    <w:rsid w:val="008F2B54"/>
    <w:rsid w:val="008F2DF5"/>
    <w:rsid w:val="008F30C5"/>
    <w:rsid w:val="008F396A"/>
    <w:rsid w:val="008F3E6A"/>
    <w:rsid w:val="008F44B5"/>
    <w:rsid w:val="008F4EFE"/>
    <w:rsid w:val="008F5F1F"/>
    <w:rsid w:val="008F7264"/>
    <w:rsid w:val="0090040F"/>
    <w:rsid w:val="009015B2"/>
    <w:rsid w:val="00902283"/>
    <w:rsid w:val="00906D2D"/>
    <w:rsid w:val="00907A5B"/>
    <w:rsid w:val="009113EB"/>
    <w:rsid w:val="009115C3"/>
    <w:rsid w:val="00912C96"/>
    <w:rsid w:val="00912EA1"/>
    <w:rsid w:val="00914C7E"/>
    <w:rsid w:val="00914D9F"/>
    <w:rsid w:val="00917614"/>
    <w:rsid w:val="00922D07"/>
    <w:rsid w:val="00923DC1"/>
    <w:rsid w:val="00926448"/>
    <w:rsid w:val="00930DBD"/>
    <w:rsid w:val="00931D04"/>
    <w:rsid w:val="009321DE"/>
    <w:rsid w:val="00933197"/>
    <w:rsid w:val="00936390"/>
    <w:rsid w:val="00936657"/>
    <w:rsid w:val="00936E52"/>
    <w:rsid w:val="00937173"/>
    <w:rsid w:val="009376AD"/>
    <w:rsid w:val="00940863"/>
    <w:rsid w:val="00940CB7"/>
    <w:rsid w:val="00942B20"/>
    <w:rsid w:val="00946004"/>
    <w:rsid w:val="009467FB"/>
    <w:rsid w:val="009515A6"/>
    <w:rsid w:val="00951BA5"/>
    <w:rsid w:val="00951D32"/>
    <w:rsid w:val="009520E0"/>
    <w:rsid w:val="00952ABD"/>
    <w:rsid w:val="00954504"/>
    <w:rsid w:val="00955D45"/>
    <w:rsid w:val="00956512"/>
    <w:rsid w:val="00961EE5"/>
    <w:rsid w:val="00963201"/>
    <w:rsid w:val="009635EF"/>
    <w:rsid w:val="0097127A"/>
    <w:rsid w:val="00972274"/>
    <w:rsid w:val="009745B6"/>
    <w:rsid w:val="0097611E"/>
    <w:rsid w:val="00980288"/>
    <w:rsid w:val="00980BEB"/>
    <w:rsid w:val="009811F5"/>
    <w:rsid w:val="009818F0"/>
    <w:rsid w:val="00981F40"/>
    <w:rsid w:val="009827DD"/>
    <w:rsid w:val="00982F87"/>
    <w:rsid w:val="00983236"/>
    <w:rsid w:val="009845D4"/>
    <w:rsid w:val="00984BC2"/>
    <w:rsid w:val="009865D3"/>
    <w:rsid w:val="00986E87"/>
    <w:rsid w:val="0099021D"/>
    <w:rsid w:val="0099058D"/>
    <w:rsid w:val="00992D2D"/>
    <w:rsid w:val="00993BD4"/>
    <w:rsid w:val="009941AF"/>
    <w:rsid w:val="00996197"/>
    <w:rsid w:val="00996696"/>
    <w:rsid w:val="00996F64"/>
    <w:rsid w:val="009976C2"/>
    <w:rsid w:val="009A04AF"/>
    <w:rsid w:val="009A06FD"/>
    <w:rsid w:val="009A0958"/>
    <w:rsid w:val="009A1E50"/>
    <w:rsid w:val="009A3442"/>
    <w:rsid w:val="009A4C1E"/>
    <w:rsid w:val="009A5F69"/>
    <w:rsid w:val="009A612E"/>
    <w:rsid w:val="009A61F7"/>
    <w:rsid w:val="009A6D25"/>
    <w:rsid w:val="009A6FD2"/>
    <w:rsid w:val="009B22E4"/>
    <w:rsid w:val="009B444B"/>
    <w:rsid w:val="009B5224"/>
    <w:rsid w:val="009B7C8B"/>
    <w:rsid w:val="009C1C8A"/>
    <w:rsid w:val="009C366E"/>
    <w:rsid w:val="009C469A"/>
    <w:rsid w:val="009C4B97"/>
    <w:rsid w:val="009C57C2"/>
    <w:rsid w:val="009C64B0"/>
    <w:rsid w:val="009C687C"/>
    <w:rsid w:val="009C7796"/>
    <w:rsid w:val="009C78DF"/>
    <w:rsid w:val="009C7C7D"/>
    <w:rsid w:val="009D1F5B"/>
    <w:rsid w:val="009D2267"/>
    <w:rsid w:val="009D3B66"/>
    <w:rsid w:val="009D45A4"/>
    <w:rsid w:val="009D5851"/>
    <w:rsid w:val="009D58FA"/>
    <w:rsid w:val="009D5F22"/>
    <w:rsid w:val="009D6754"/>
    <w:rsid w:val="009D7EA1"/>
    <w:rsid w:val="009E0294"/>
    <w:rsid w:val="009E056F"/>
    <w:rsid w:val="009E07D9"/>
    <w:rsid w:val="009E1EC0"/>
    <w:rsid w:val="009E29E9"/>
    <w:rsid w:val="009E2ECE"/>
    <w:rsid w:val="009E3427"/>
    <w:rsid w:val="009F05F4"/>
    <w:rsid w:val="009F0A1E"/>
    <w:rsid w:val="009F68BC"/>
    <w:rsid w:val="00A0099F"/>
    <w:rsid w:val="00A012F7"/>
    <w:rsid w:val="00A014CB"/>
    <w:rsid w:val="00A03363"/>
    <w:rsid w:val="00A04E2E"/>
    <w:rsid w:val="00A100B2"/>
    <w:rsid w:val="00A12E63"/>
    <w:rsid w:val="00A14D17"/>
    <w:rsid w:val="00A1746E"/>
    <w:rsid w:val="00A211B6"/>
    <w:rsid w:val="00A218F5"/>
    <w:rsid w:val="00A276C3"/>
    <w:rsid w:val="00A312D4"/>
    <w:rsid w:val="00A31544"/>
    <w:rsid w:val="00A315D1"/>
    <w:rsid w:val="00A3192A"/>
    <w:rsid w:val="00A32C49"/>
    <w:rsid w:val="00A33278"/>
    <w:rsid w:val="00A34385"/>
    <w:rsid w:val="00A41A66"/>
    <w:rsid w:val="00A422A8"/>
    <w:rsid w:val="00A429AE"/>
    <w:rsid w:val="00A4337D"/>
    <w:rsid w:val="00A4469B"/>
    <w:rsid w:val="00A44FE0"/>
    <w:rsid w:val="00A45032"/>
    <w:rsid w:val="00A45592"/>
    <w:rsid w:val="00A456E1"/>
    <w:rsid w:val="00A47653"/>
    <w:rsid w:val="00A51DA5"/>
    <w:rsid w:val="00A51F3A"/>
    <w:rsid w:val="00A527F8"/>
    <w:rsid w:val="00A52D4E"/>
    <w:rsid w:val="00A53927"/>
    <w:rsid w:val="00A53B03"/>
    <w:rsid w:val="00A560B9"/>
    <w:rsid w:val="00A5752A"/>
    <w:rsid w:val="00A57903"/>
    <w:rsid w:val="00A57C89"/>
    <w:rsid w:val="00A60079"/>
    <w:rsid w:val="00A631F6"/>
    <w:rsid w:val="00A63205"/>
    <w:rsid w:val="00A66135"/>
    <w:rsid w:val="00A715F8"/>
    <w:rsid w:val="00A71B5E"/>
    <w:rsid w:val="00A73202"/>
    <w:rsid w:val="00A75F5D"/>
    <w:rsid w:val="00A76637"/>
    <w:rsid w:val="00A81688"/>
    <w:rsid w:val="00A819CB"/>
    <w:rsid w:val="00A82BC3"/>
    <w:rsid w:val="00A8644E"/>
    <w:rsid w:val="00A91EB7"/>
    <w:rsid w:val="00A9266B"/>
    <w:rsid w:val="00A927BE"/>
    <w:rsid w:val="00A9380C"/>
    <w:rsid w:val="00A96B79"/>
    <w:rsid w:val="00AA068D"/>
    <w:rsid w:val="00AA0DA5"/>
    <w:rsid w:val="00AA0EDF"/>
    <w:rsid w:val="00AA41C4"/>
    <w:rsid w:val="00AA46FD"/>
    <w:rsid w:val="00AA6FFE"/>
    <w:rsid w:val="00AB280D"/>
    <w:rsid w:val="00AB29B3"/>
    <w:rsid w:val="00AB312D"/>
    <w:rsid w:val="00AB32F2"/>
    <w:rsid w:val="00AB3D56"/>
    <w:rsid w:val="00AB77A1"/>
    <w:rsid w:val="00AB7CF4"/>
    <w:rsid w:val="00AB7E64"/>
    <w:rsid w:val="00AC127D"/>
    <w:rsid w:val="00AC22D9"/>
    <w:rsid w:val="00AC296F"/>
    <w:rsid w:val="00AC2BEA"/>
    <w:rsid w:val="00AC2E8E"/>
    <w:rsid w:val="00AC4AF4"/>
    <w:rsid w:val="00AC6511"/>
    <w:rsid w:val="00AC6D93"/>
    <w:rsid w:val="00AD07D9"/>
    <w:rsid w:val="00AD0F05"/>
    <w:rsid w:val="00AD1406"/>
    <w:rsid w:val="00AD1926"/>
    <w:rsid w:val="00AD2D31"/>
    <w:rsid w:val="00AD2E40"/>
    <w:rsid w:val="00AD3820"/>
    <w:rsid w:val="00AD3D7D"/>
    <w:rsid w:val="00AD6B41"/>
    <w:rsid w:val="00AD7D1E"/>
    <w:rsid w:val="00AE0330"/>
    <w:rsid w:val="00AE188A"/>
    <w:rsid w:val="00AE1A1A"/>
    <w:rsid w:val="00AE2353"/>
    <w:rsid w:val="00AE2D5C"/>
    <w:rsid w:val="00AE47BB"/>
    <w:rsid w:val="00AE522A"/>
    <w:rsid w:val="00AE601B"/>
    <w:rsid w:val="00AE65E0"/>
    <w:rsid w:val="00AE668E"/>
    <w:rsid w:val="00AE73FB"/>
    <w:rsid w:val="00AE7888"/>
    <w:rsid w:val="00AF078C"/>
    <w:rsid w:val="00AF12B3"/>
    <w:rsid w:val="00AF2C6B"/>
    <w:rsid w:val="00AF3158"/>
    <w:rsid w:val="00AF3CDC"/>
    <w:rsid w:val="00AF5470"/>
    <w:rsid w:val="00AF5699"/>
    <w:rsid w:val="00AF6446"/>
    <w:rsid w:val="00AF649C"/>
    <w:rsid w:val="00B00C32"/>
    <w:rsid w:val="00B00ECA"/>
    <w:rsid w:val="00B00F41"/>
    <w:rsid w:val="00B01670"/>
    <w:rsid w:val="00B02AD1"/>
    <w:rsid w:val="00B039E5"/>
    <w:rsid w:val="00B03AC3"/>
    <w:rsid w:val="00B03DDF"/>
    <w:rsid w:val="00B05BB2"/>
    <w:rsid w:val="00B0660F"/>
    <w:rsid w:val="00B0740B"/>
    <w:rsid w:val="00B11740"/>
    <w:rsid w:val="00B131B6"/>
    <w:rsid w:val="00B137CC"/>
    <w:rsid w:val="00B15CFD"/>
    <w:rsid w:val="00B20397"/>
    <w:rsid w:val="00B22B3B"/>
    <w:rsid w:val="00B22BCA"/>
    <w:rsid w:val="00B23643"/>
    <w:rsid w:val="00B272B4"/>
    <w:rsid w:val="00B3067D"/>
    <w:rsid w:val="00B306AD"/>
    <w:rsid w:val="00B32A1D"/>
    <w:rsid w:val="00B32F6C"/>
    <w:rsid w:val="00B33C05"/>
    <w:rsid w:val="00B4007F"/>
    <w:rsid w:val="00B405C7"/>
    <w:rsid w:val="00B4128B"/>
    <w:rsid w:val="00B4296F"/>
    <w:rsid w:val="00B44121"/>
    <w:rsid w:val="00B441A9"/>
    <w:rsid w:val="00B4442F"/>
    <w:rsid w:val="00B45E01"/>
    <w:rsid w:val="00B4736B"/>
    <w:rsid w:val="00B47384"/>
    <w:rsid w:val="00B47B02"/>
    <w:rsid w:val="00B5078F"/>
    <w:rsid w:val="00B508A7"/>
    <w:rsid w:val="00B51461"/>
    <w:rsid w:val="00B525D5"/>
    <w:rsid w:val="00B53036"/>
    <w:rsid w:val="00B53103"/>
    <w:rsid w:val="00B53F9D"/>
    <w:rsid w:val="00B5573B"/>
    <w:rsid w:val="00B55ACF"/>
    <w:rsid w:val="00B565A2"/>
    <w:rsid w:val="00B601F5"/>
    <w:rsid w:val="00B61D41"/>
    <w:rsid w:val="00B61FBF"/>
    <w:rsid w:val="00B62768"/>
    <w:rsid w:val="00B63067"/>
    <w:rsid w:val="00B64849"/>
    <w:rsid w:val="00B650F4"/>
    <w:rsid w:val="00B66739"/>
    <w:rsid w:val="00B677A6"/>
    <w:rsid w:val="00B70E1B"/>
    <w:rsid w:val="00B72027"/>
    <w:rsid w:val="00B75F47"/>
    <w:rsid w:val="00B779E5"/>
    <w:rsid w:val="00B83117"/>
    <w:rsid w:val="00B8470F"/>
    <w:rsid w:val="00B84C6F"/>
    <w:rsid w:val="00B8614A"/>
    <w:rsid w:val="00B86920"/>
    <w:rsid w:val="00B90582"/>
    <w:rsid w:val="00B9267C"/>
    <w:rsid w:val="00B92BD5"/>
    <w:rsid w:val="00B94EEA"/>
    <w:rsid w:val="00B95A3F"/>
    <w:rsid w:val="00B95FEC"/>
    <w:rsid w:val="00B97246"/>
    <w:rsid w:val="00B97E79"/>
    <w:rsid w:val="00BA0A17"/>
    <w:rsid w:val="00BA1763"/>
    <w:rsid w:val="00BA1948"/>
    <w:rsid w:val="00BA3178"/>
    <w:rsid w:val="00BA50D6"/>
    <w:rsid w:val="00BA52EE"/>
    <w:rsid w:val="00BA5C7C"/>
    <w:rsid w:val="00BA5F25"/>
    <w:rsid w:val="00BA6B77"/>
    <w:rsid w:val="00BA792B"/>
    <w:rsid w:val="00BA7DFA"/>
    <w:rsid w:val="00BB1282"/>
    <w:rsid w:val="00BB13F1"/>
    <w:rsid w:val="00BB2103"/>
    <w:rsid w:val="00BB35C9"/>
    <w:rsid w:val="00BB52DF"/>
    <w:rsid w:val="00BB5DF4"/>
    <w:rsid w:val="00BB5E50"/>
    <w:rsid w:val="00BB611E"/>
    <w:rsid w:val="00BB64DE"/>
    <w:rsid w:val="00BB6EB7"/>
    <w:rsid w:val="00BB74F5"/>
    <w:rsid w:val="00BC183C"/>
    <w:rsid w:val="00BC4171"/>
    <w:rsid w:val="00BC4AC9"/>
    <w:rsid w:val="00BC7814"/>
    <w:rsid w:val="00BD009C"/>
    <w:rsid w:val="00BD081C"/>
    <w:rsid w:val="00BD25A0"/>
    <w:rsid w:val="00BD59E6"/>
    <w:rsid w:val="00BD5B60"/>
    <w:rsid w:val="00BD6CC2"/>
    <w:rsid w:val="00BD719F"/>
    <w:rsid w:val="00BD7470"/>
    <w:rsid w:val="00BE0D1F"/>
    <w:rsid w:val="00BE11DD"/>
    <w:rsid w:val="00BE3F11"/>
    <w:rsid w:val="00BE3F7A"/>
    <w:rsid w:val="00BE4852"/>
    <w:rsid w:val="00BE490F"/>
    <w:rsid w:val="00BE5114"/>
    <w:rsid w:val="00BE5314"/>
    <w:rsid w:val="00BF061A"/>
    <w:rsid w:val="00BF0929"/>
    <w:rsid w:val="00BF11B7"/>
    <w:rsid w:val="00BF3F6A"/>
    <w:rsid w:val="00BF5005"/>
    <w:rsid w:val="00BF786D"/>
    <w:rsid w:val="00C00614"/>
    <w:rsid w:val="00C00A66"/>
    <w:rsid w:val="00C02A1C"/>
    <w:rsid w:val="00C0369D"/>
    <w:rsid w:val="00C036FE"/>
    <w:rsid w:val="00C03A0B"/>
    <w:rsid w:val="00C03D42"/>
    <w:rsid w:val="00C057B6"/>
    <w:rsid w:val="00C067AA"/>
    <w:rsid w:val="00C06B3E"/>
    <w:rsid w:val="00C06F6D"/>
    <w:rsid w:val="00C07143"/>
    <w:rsid w:val="00C077F5"/>
    <w:rsid w:val="00C10A4E"/>
    <w:rsid w:val="00C118F1"/>
    <w:rsid w:val="00C1421B"/>
    <w:rsid w:val="00C1490F"/>
    <w:rsid w:val="00C1608C"/>
    <w:rsid w:val="00C213B2"/>
    <w:rsid w:val="00C262FE"/>
    <w:rsid w:val="00C26434"/>
    <w:rsid w:val="00C303DF"/>
    <w:rsid w:val="00C32239"/>
    <w:rsid w:val="00C32BE1"/>
    <w:rsid w:val="00C32E7B"/>
    <w:rsid w:val="00C33160"/>
    <w:rsid w:val="00C33E64"/>
    <w:rsid w:val="00C35E92"/>
    <w:rsid w:val="00C37CA4"/>
    <w:rsid w:val="00C40CC1"/>
    <w:rsid w:val="00C424FF"/>
    <w:rsid w:val="00C42FAA"/>
    <w:rsid w:val="00C43EC5"/>
    <w:rsid w:val="00C453E9"/>
    <w:rsid w:val="00C47D96"/>
    <w:rsid w:val="00C50279"/>
    <w:rsid w:val="00C55B51"/>
    <w:rsid w:val="00C57ECE"/>
    <w:rsid w:val="00C60DDC"/>
    <w:rsid w:val="00C619DB"/>
    <w:rsid w:val="00C64BD4"/>
    <w:rsid w:val="00C66505"/>
    <w:rsid w:val="00C709D7"/>
    <w:rsid w:val="00C70C05"/>
    <w:rsid w:val="00C717B4"/>
    <w:rsid w:val="00C72321"/>
    <w:rsid w:val="00C72617"/>
    <w:rsid w:val="00C75CC5"/>
    <w:rsid w:val="00C76191"/>
    <w:rsid w:val="00C76E99"/>
    <w:rsid w:val="00C77961"/>
    <w:rsid w:val="00C77E64"/>
    <w:rsid w:val="00C80B3E"/>
    <w:rsid w:val="00C80D40"/>
    <w:rsid w:val="00C81478"/>
    <w:rsid w:val="00C81F99"/>
    <w:rsid w:val="00C86F73"/>
    <w:rsid w:val="00C87C72"/>
    <w:rsid w:val="00C87CAC"/>
    <w:rsid w:val="00C91170"/>
    <w:rsid w:val="00C9141C"/>
    <w:rsid w:val="00C9245D"/>
    <w:rsid w:val="00C93994"/>
    <w:rsid w:val="00C9681C"/>
    <w:rsid w:val="00C96FC8"/>
    <w:rsid w:val="00C97763"/>
    <w:rsid w:val="00CA0B08"/>
    <w:rsid w:val="00CA3E7D"/>
    <w:rsid w:val="00CB3C45"/>
    <w:rsid w:val="00CB6794"/>
    <w:rsid w:val="00CB7E95"/>
    <w:rsid w:val="00CB7E9F"/>
    <w:rsid w:val="00CC2156"/>
    <w:rsid w:val="00CC3F52"/>
    <w:rsid w:val="00CC4D71"/>
    <w:rsid w:val="00CC50F0"/>
    <w:rsid w:val="00CC6309"/>
    <w:rsid w:val="00CD0757"/>
    <w:rsid w:val="00CD0799"/>
    <w:rsid w:val="00CD0F51"/>
    <w:rsid w:val="00CD1B36"/>
    <w:rsid w:val="00CD3838"/>
    <w:rsid w:val="00CD4FC7"/>
    <w:rsid w:val="00CD5A49"/>
    <w:rsid w:val="00CE415C"/>
    <w:rsid w:val="00CE4A67"/>
    <w:rsid w:val="00CF0AAF"/>
    <w:rsid w:val="00CF225B"/>
    <w:rsid w:val="00CF2298"/>
    <w:rsid w:val="00CF4500"/>
    <w:rsid w:val="00CF5422"/>
    <w:rsid w:val="00CF6CDE"/>
    <w:rsid w:val="00D01B30"/>
    <w:rsid w:val="00D02C0D"/>
    <w:rsid w:val="00D109D0"/>
    <w:rsid w:val="00D11A9B"/>
    <w:rsid w:val="00D13185"/>
    <w:rsid w:val="00D13CD0"/>
    <w:rsid w:val="00D150F1"/>
    <w:rsid w:val="00D155CE"/>
    <w:rsid w:val="00D17FC2"/>
    <w:rsid w:val="00D218A9"/>
    <w:rsid w:val="00D21918"/>
    <w:rsid w:val="00D219EE"/>
    <w:rsid w:val="00D230C4"/>
    <w:rsid w:val="00D234DB"/>
    <w:rsid w:val="00D2465E"/>
    <w:rsid w:val="00D252BA"/>
    <w:rsid w:val="00D2655A"/>
    <w:rsid w:val="00D270C9"/>
    <w:rsid w:val="00D27353"/>
    <w:rsid w:val="00D30952"/>
    <w:rsid w:val="00D30E6B"/>
    <w:rsid w:val="00D30F85"/>
    <w:rsid w:val="00D332C7"/>
    <w:rsid w:val="00D3381F"/>
    <w:rsid w:val="00D35752"/>
    <w:rsid w:val="00D3789C"/>
    <w:rsid w:val="00D41393"/>
    <w:rsid w:val="00D41666"/>
    <w:rsid w:val="00D4470A"/>
    <w:rsid w:val="00D44D02"/>
    <w:rsid w:val="00D44DE9"/>
    <w:rsid w:val="00D500E3"/>
    <w:rsid w:val="00D5080D"/>
    <w:rsid w:val="00D50D47"/>
    <w:rsid w:val="00D528A9"/>
    <w:rsid w:val="00D53171"/>
    <w:rsid w:val="00D54808"/>
    <w:rsid w:val="00D556A9"/>
    <w:rsid w:val="00D567A8"/>
    <w:rsid w:val="00D56A9C"/>
    <w:rsid w:val="00D60956"/>
    <w:rsid w:val="00D613F3"/>
    <w:rsid w:val="00D65815"/>
    <w:rsid w:val="00D676F3"/>
    <w:rsid w:val="00D709A4"/>
    <w:rsid w:val="00D70A10"/>
    <w:rsid w:val="00D70B65"/>
    <w:rsid w:val="00D70BF4"/>
    <w:rsid w:val="00D7124C"/>
    <w:rsid w:val="00D722D8"/>
    <w:rsid w:val="00D73FFE"/>
    <w:rsid w:val="00D745DB"/>
    <w:rsid w:val="00D74706"/>
    <w:rsid w:val="00D74C60"/>
    <w:rsid w:val="00D757DA"/>
    <w:rsid w:val="00D759CF"/>
    <w:rsid w:val="00D76234"/>
    <w:rsid w:val="00D829B5"/>
    <w:rsid w:val="00D83F04"/>
    <w:rsid w:val="00D849B0"/>
    <w:rsid w:val="00D85A63"/>
    <w:rsid w:val="00D87AD6"/>
    <w:rsid w:val="00D87D15"/>
    <w:rsid w:val="00D90A60"/>
    <w:rsid w:val="00D9200F"/>
    <w:rsid w:val="00D923D3"/>
    <w:rsid w:val="00DA01D8"/>
    <w:rsid w:val="00DA0F70"/>
    <w:rsid w:val="00DA2221"/>
    <w:rsid w:val="00DA4211"/>
    <w:rsid w:val="00DA690C"/>
    <w:rsid w:val="00DA6C40"/>
    <w:rsid w:val="00DB023D"/>
    <w:rsid w:val="00DB15FC"/>
    <w:rsid w:val="00DB2133"/>
    <w:rsid w:val="00DB307E"/>
    <w:rsid w:val="00DB4D9B"/>
    <w:rsid w:val="00DB7261"/>
    <w:rsid w:val="00DC07E1"/>
    <w:rsid w:val="00DC0AD5"/>
    <w:rsid w:val="00DC3B6B"/>
    <w:rsid w:val="00DC4E0C"/>
    <w:rsid w:val="00DC4FEF"/>
    <w:rsid w:val="00DC5DDD"/>
    <w:rsid w:val="00DD11F1"/>
    <w:rsid w:val="00DD16CE"/>
    <w:rsid w:val="00DD1C03"/>
    <w:rsid w:val="00DD30B3"/>
    <w:rsid w:val="00DD4DDD"/>
    <w:rsid w:val="00DD6B41"/>
    <w:rsid w:val="00DD72B6"/>
    <w:rsid w:val="00DE1A16"/>
    <w:rsid w:val="00DE49A8"/>
    <w:rsid w:val="00DE4C3C"/>
    <w:rsid w:val="00DE7CCD"/>
    <w:rsid w:val="00DF16C1"/>
    <w:rsid w:val="00DF4CED"/>
    <w:rsid w:val="00DF4D19"/>
    <w:rsid w:val="00DF5002"/>
    <w:rsid w:val="00DF54D5"/>
    <w:rsid w:val="00DF7F77"/>
    <w:rsid w:val="00E00040"/>
    <w:rsid w:val="00E03522"/>
    <w:rsid w:val="00E04D82"/>
    <w:rsid w:val="00E04FD3"/>
    <w:rsid w:val="00E05330"/>
    <w:rsid w:val="00E061EE"/>
    <w:rsid w:val="00E0720A"/>
    <w:rsid w:val="00E07421"/>
    <w:rsid w:val="00E10169"/>
    <w:rsid w:val="00E1091E"/>
    <w:rsid w:val="00E1193E"/>
    <w:rsid w:val="00E12CCA"/>
    <w:rsid w:val="00E12EF3"/>
    <w:rsid w:val="00E1415B"/>
    <w:rsid w:val="00E14E9F"/>
    <w:rsid w:val="00E17C0C"/>
    <w:rsid w:val="00E2292E"/>
    <w:rsid w:val="00E22A73"/>
    <w:rsid w:val="00E2461B"/>
    <w:rsid w:val="00E255F1"/>
    <w:rsid w:val="00E279D6"/>
    <w:rsid w:val="00E27F07"/>
    <w:rsid w:val="00E309A8"/>
    <w:rsid w:val="00E31140"/>
    <w:rsid w:val="00E319DA"/>
    <w:rsid w:val="00E31B28"/>
    <w:rsid w:val="00E35CDB"/>
    <w:rsid w:val="00E365F3"/>
    <w:rsid w:val="00E36B41"/>
    <w:rsid w:val="00E4036F"/>
    <w:rsid w:val="00E41133"/>
    <w:rsid w:val="00E43162"/>
    <w:rsid w:val="00E44C8A"/>
    <w:rsid w:val="00E45574"/>
    <w:rsid w:val="00E46B48"/>
    <w:rsid w:val="00E47359"/>
    <w:rsid w:val="00E50F2C"/>
    <w:rsid w:val="00E52F66"/>
    <w:rsid w:val="00E5576F"/>
    <w:rsid w:val="00E61D24"/>
    <w:rsid w:val="00E624C8"/>
    <w:rsid w:val="00E704C1"/>
    <w:rsid w:val="00E720E9"/>
    <w:rsid w:val="00E745BF"/>
    <w:rsid w:val="00E76F42"/>
    <w:rsid w:val="00E831E3"/>
    <w:rsid w:val="00E83F43"/>
    <w:rsid w:val="00E84079"/>
    <w:rsid w:val="00E85543"/>
    <w:rsid w:val="00E8586C"/>
    <w:rsid w:val="00E86AB1"/>
    <w:rsid w:val="00E9038A"/>
    <w:rsid w:val="00E90D3D"/>
    <w:rsid w:val="00E912FA"/>
    <w:rsid w:val="00E92504"/>
    <w:rsid w:val="00E93D25"/>
    <w:rsid w:val="00E94D61"/>
    <w:rsid w:val="00E95269"/>
    <w:rsid w:val="00E95B89"/>
    <w:rsid w:val="00E963E3"/>
    <w:rsid w:val="00EA161F"/>
    <w:rsid w:val="00EA181A"/>
    <w:rsid w:val="00EA2239"/>
    <w:rsid w:val="00EA2A91"/>
    <w:rsid w:val="00EA7046"/>
    <w:rsid w:val="00EB0E8E"/>
    <w:rsid w:val="00EB6FC8"/>
    <w:rsid w:val="00EC0E92"/>
    <w:rsid w:val="00EC149D"/>
    <w:rsid w:val="00EC5076"/>
    <w:rsid w:val="00EC6ABC"/>
    <w:rsid w:val="00ED103D"/>
    <w:rsid w:val="00ED167E"/>
    <w:rsid w:val="00ED272B"/>
    <w:rsid w:val="00ED47D0"/>
    <w:rsid w:val="00ED526C"/>
    <w:rsid w:val="00EE0F18"/>
    <w:rsid w:val="00EE2D29"/>
    <w:rsid w:val="00EE3630"/>
    <w:rsid w:val="00EE4C53"/>
    <w:rsid w:val="00EE5210"/>
    <w:rsid w:val="00EE5921"/>
    <w:rsid w:val="00EF0EEB"/>
    <w:rsid w:val="00EF2A57"/>
    <w:rsid w:val="00EF2B06"/>
    <w:rsid w:val="00EF2BA7"/>
    <w:rsid w:val="00EF4A5B"/>
    <w:rsid w:val="00EF64F7"/>
    <w:rsid w:val="00EF665F"/>
    <w:rsid w:val="00F018A6"/>
    <w:rsid w:val="00F02E0F"/>
    <w:rsid w:val="00F05896"/>
    <w:rsid w:val="00F05B58"/>
    <w:rsid w:val="00F06618"/>
    <w:rsid w:val="00F067A2"/>
    <w:rsid w:val="00F07934"/>
    <w:rsid w:val="00F114F7"/>
    <w:rsid w:val="00F12592"/>
    <w:rsid w:val="00F12AD4"/>
    <w:rsid w:val="00F12DB9"/>
    <w:rsid w:val="00F12DC9"/>
    <w:rsid w:val="00F13779"/>
    <w:rsid w:val="00F165E7"/>
    <w:rsid w:val="00F1707D"/>
    <w:rsid w:val="00F1715F"/>
    <w:rsid w:val="00F173F9"/>
    <w:rsid w:val="00F17D7D"/>
    <w:rsid w:val="00F17FEB"/>
    <w:rsid w:val="00F21515"/>
    <w:rsid w:val="00F22295"/>
    <w:rsid w:val="00F22FB5"/>
    <w:rsid w:val="00F23FF0"/>
    <w:rsid w:val="00F24E83"/>
    <w:rsid w:val="00F27216"/>
    <w:rsid w:val="00F3059B"/>
    <w:rsid w:val="00F308FF"/>
    <w:rsid w:val="00F32757"/>
    <w:rsid w:val="00F406AA"/>
    <w:rsid w:val="00F409A5"/>
    <w:rsid w:val="00F40FE5"/>
    <w:rsid w:val="00F43B90"/>
    <w:rsid w:val="00F43F23"/>
    <w:rsid w:val="00F454ED"/>
    <w:rsid w:val="00F459A4"/>
    <w:rsid w:val="00F45F80"/>
    <w:rsid w:val="00F4704D"/>
    <w:rsid w:val="00F52FF1"/>
    <w:rsid w:val="00F5334E"/>
    <w:rsid w:val="00F544CD"/>
    <w:rsid w:val="00F550EE"/>
    <w:rsid w:val="00F56A4E"/>
    <w:rsid w:val="00F56D17"/>
    <w:rsid w:val="00F63137"/>
    <w:rsid w:val="00F652FB"/>
    <w:rsid w:val="00F66665"/>
    <w:rsid w:val="00F70217"/>
    <w:rsid w:val="00F718F1"/>
    <w:rsid w:val="00F71C5E"/>
    <w:rsid w:val="00F7467D"/>
    <w:rsid w:val="00F76B19"/>
    <w:rsid w:val="00F80242"/>
    <w:rsid w:val="00F8039D"/>
    <w:rsid w:val="00F803FA"/>
    <w:rsid w:val="00F80A0E"/>
    <w:rsid w:val="00F80C3F"/>
    <w:rsid w:val="00F82497"/>
    <w:rsid w:val="00F86F22"/>
    <w:rsid w:val="00F87827"/>
    <w:rsid w:val="00F8782E"/>
    <w:rsid w:val="00F90416"/>
    <w:rsid w:val="00F90650"/>
    <w:rsid w:val="00F90BD6"/>
    <w:rsid w:val="00F9346F"/>
    <w:rsid w:val="00F94546"/>
    <w:rsid w:val="00F9481C"/>
    <w:rsid w:val="00F9541A"/>
    <w:rsid w:val="00F976B0"/>
    <w:rsid w:val="00FA0B1E"/>
    <w:rsid w:val="00FA16B6"/>
    <w:rsid w:val="00FA1C24"/>
    <w:rsid w:val="00FA3852"/>
    <w:rsid w:val="00FB2A82"/>
    <w:rsid w:val="00FB2F4C"/>
    <w:rsid w:val="00FB3820"/>
    <w:rsid w:val="00FB45AE"/>
    <w:rsid w:val="00FB594D"/>
    <w:rsid w:val="00FB62DE"/>
    <w:rsid w:val="00FB6B52"/>
    <w:rsid w:val="00FB6F69"/>
    <w:rsid w:val="00FC01AA"/>
    <w:rsid w:val="00FC0422"/>
    <w:rsid w:val="00FC248D"/>
    <w:rsid w:val="00FC5931"/>
    <w:rsid w:val="00FC7674"/>
    <w:rsid w:val="00FC7BCE"/>
    <w:rsid w:val="00FD00E2"/>
    <w:rsid w:val="00FD1E2F"/>
    <w:rsid w:val="00FD3B1A"/>
    <w:rsid w:val="00FD4F84"/>
    <w:rsid w:val="00FD645F"/>
    <w:rsid w:val="00FD68E0"/>
    <w:rsid w:val="00FE0A05"/>
    <w:rsid w:val="00FE3AFD"/>
    <w:rsid w:val="00FE3F75"/>
    <w:rsid w:val="00FE541D"/>
    <w:rsid w:val="00FE6E47"/>
    <w:rsid w:val="00FF083D"/>
    <w:rsid w:val="00FF2782"/>
    <w:rsid w:val="00FF33B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4B8604"/>
  <w15:chartTrackingRefBased/>
  <w15:docId w15:val="{97E38EB0-B07E-4736-B0C5-2D5690B6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53"/>
  </w:style>
  <w:style w:type="paragraph" w:styleId="Ttulo1">
    <w:name w:val="heading 1"/>
    <w:basedOn w:val="Normal"/>
    <w:link w:val="Ttulo1Car"/>
    <w:uiPriority w:val="9"/>
    <w:qFormat/>
    <w:rsid w:val="00E10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E10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next w:val="Normal"/>
    <w:link w:val="SaludoCar"/>
    <w:uiPriority w:val="99"/>
    <w:unhideWhenUsed/>
    <w:rsid w:val="009E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9E1E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aliases w:val="fn,single space,footnote text,FOOTNOTES,Footnote Text Char Char Char,Footnote Text Char Char,FT,FN,Footnotes,Footnote ak,Footnote Text English,nota,FOOTNOTES Car Car Car,FOOTNOTES Car Car,footnote text Car1 Car, Car,Car Car1"/>
    <w:basedOn w:val="Normal"/>
    <w:link w:val="TextonotapieCar"/>
    <w:uiPriority w:val="99"/>
    <w:qFormat/>
    <w:rsid w:val="00344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n Car,single space Car,footnote text Car,FOOTNOTES Car,Footnote Text Char Char Char Car,Footnote Text Char Char Car,FT Car,FN Car,Footnotes Car,Footnote ak Car,Footnote Text English Car,nota Car,FOOTNOTES Car Car Car Car, Car Car"/>
    <w:basedOn w:val="Fuentedeprrafopredeter"/>
    <w:link w:val="Textonotapie"/>
    <w:uiPriority w:val="99"/>
    <w:rsid w:val="003440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sobrescrito,Ref,de nota al pie,Ref. de nota al pi,titulo 2,Ref. de nota al pie.,FC,ftref,16 Point,Superscript 6 Point,Style 24,pie pddes,(NECG) Footnote Reference,o,fr,Style 3,Appel note de bas de p,Style 12,Style 124,Ftnt ref 2,註腳內容"/>
    <w:qFormat/>
    <w:rsid w:val="003440F7"/>
    <w:rPr>
      <w:vertAlign w:val="superscript"/>
    </w:rPr>
  </w:style>
  <w:style w:type="paragraph" w:styleId="Prrafodelista">
    <w:name w:val="List Paragraph"/>
    <w:aliases w:val="Titulo de Fígura,TITULO A,Titulo parrafo,3,Iz - Párrafo de lista,Sivsa Parrafo"/>
    <w:basedOn w:val="Normal"/>
    <w:link w:val="PrrafodelistaCar"/>
    <w:uiPriority w:val="34"/>
    <w:qFormat/>
    <w:rsid w:val="00E93D2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A1E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A1E45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A1E4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A1E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46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85D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5D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5D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D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DC4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8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1091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E1091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decretoslegislativos">
    <w:name w:val="decretoslegislativos"/>
    <w:basedOn w:val="Fuentedeprrafopredeter"/>
    <w:rsid w:val="00E1091E"/>
  </w:style>
  <w:style w:type="character" w:styleId="Hipervnculo">
    <w:name w:val="Hyperlink"/>
    <w:basedOn w:val="Fuentedeprrafopredeter"/>
    <w:uiPriority w:val="99"/>
    <w:unhideWhenUsed/>
    <w:rsid w:val="008D47B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47B0"/>
    <w:rPr>
      <w:color w:val="808080"/>
      <w:shd w:val="clear" w:color="auto" w:fill="E6E6E6"/>
    </w:rPr>
  </w:style>
  <w:style w:type="paragraph" w:customStyle="1" w:styleId="Default">
    <w:name w:val="Default"/>
    <w:rsid w:val="00D65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Titulo de Fígura Car,TITULO A Car,Titulo parrafo Car,3 Car,Iz - Párrafo de lista Car,Sivsa Parrafo Car"/>
    <w:link w:val="Prrafodelista"/>
    <w:uiPriority w:val="34"/>
    <w:rsid w:val="00037FC4"/>
  </w:style>
  <w:style w:type="paragraph" w:styleId="NormalWeb">
    <w:name w:val="Normal (Web)"/>
    <w:basedOn w:val="Normal"/>
    <w:link w:val="NormalWebCar"/>
    <w:uiPriority w:val="99"/>
    <w:unhideWhenUsed/>
    <w:rsid w:val="0089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WebCar">
    <w:name w:val="Normal (Web) Car"/>
    <w:link w:val="NormalWeb"/>
    <w:uiPriority w:val="99"/>
    <w:rsid w:val="007F7DBB"/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decretossupremos">
    <w:name w:val="decretossupremos"/>
    <w:basedOn w:val="Fuentedeprrafopredeter"/>
    <w:rsid w:val="00172C7D"/>
  </w:style>
  <w:style w:type="character" w:styleId="Textoennegrita">
    <w:name w:val="Strong"/>
    <w:basedOn w:val="Fuentedeprrafopredeter"/>
    <w:uiPriority w:val="22"/>
    <w:qFormat/>
    <w:rsid w:val="00172C7D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F17D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7D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C085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C085D"/>
  </w:style>
  <w:style w:type="paragraph" w:styleId="Encabezado">
    <w:name w:val="header"/>
    <w:basedOn w:val="Normal"/>
    <w:link w:val="EncabezadoCar"/>
    <w:uiPriority w:val="99"/>
    <w:unhideWhenUsed/>
    <w:rsid w:val="008A7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1BD"/>
  </w:style>
  <w:style w:type="paragraph" w:styleId="Ttulo">
    <w:name w:val="Title"/>
    <w:basedOn w:val="Normal"/>
    <w:link w:val="TtuloCar"/>
    <w:uiPriority w:val="99"/>
    <w:qFormat/>
    <w:rsid w:val="00151ED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151ED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modartculofecha">
    <w:name w:val="modartculofecha"/>
    <w:basedOn w:val="Fuentedeprrafopredeter"/>
    <w:rsid w:val="005D59D0"/>
  </w:style>
  <w:style w:type="paragraph" w:styleId="Revisin">
    <w:name w:val="Revision"/>
    <w:hidden/>
    <w:uiPriority w:val="99"/>
    <w:semiHidden/>
    <w:rsid w:val="00982F87"/>
    <w:pPr>
      <w:spacing w:after="0" w:line="240" w:lineRule="auto"/>
    </w:pPr>
  </w:style>
  <w:style w:type="paragraph" w:customStyle="1" w:styleId="cuerpo">
    <w:name w:val="cuerpo"/>
    <w:basedOn w:val="Normal"/>
    <w:rsid w:val="0011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115EDD"/>
  </w:style>
  <w:style w:type="character" w:customStyle="1" w:styleId="no-style-override">
    <w:name w:val="no-style-override"/>
    <w:basedOn w:val="Fuentedeprrafopredeter"/>
    <w:rsid w:val="0011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2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9C25-8F80-42D7-AA39-89CFB8B0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sunat</dc:creator>
  <cp:keywords/>
  <dc:description/>
  <cp:lastModifiedBy>Soto Zevallos Luis Enrique</cp:lastModifiedBy>
  <cp:revision>2</cp:revision>
  <cp:lastPrinted>2022-02-16T00:16:00Z</cp:lastPrinted>
  <dcterms:created xsi:type="dcterms:W3CDTF">2022-03-03T14:20:00Z</dcterms:created>
  <dcterms:modified xsi:type="dcterms:W3CDTF">2022-03-03T14:20:00Z</dcterms:modified>
</cp:coreProperties>
</file>