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C24F" w14:textId="77777777" w:rsidR="00171171" w:rsidRPr="00826DFD" w:rsidRDefault="00171171" w:rsidP="00171171">
      <w:pPr>
        <w:pStyle w:val="Textoindependiente"/>
        <w:jc w:val="center"/>
        <w:rPr>
          <w:rFonts w:ascii="Arial" w:hAnsi="Arial" w:cs="Arial"/>
          <w:sz w:val="22"/>
          <w:szCs w:val="22"/>
        </w:rPr>
      </w:pPr>
      <w:bookmarkStart w:id="0" w:name="_Hlk129938712"/>
      <w:proofErr w:type="spellStart"/>
      <w:r w:rsidRPr="00826DFD">
        <w:rPr>
          <w:rFonts w:ascii="Arial" w:hAnsi="Arial" w:cs="Arial"/>
          <w:sz w:val="22"/>
          <w:szCs w:val="22"/>
        </w:rPr>
        <w:t>N.°</w:t>
      </w:r>
      <w:proofErr w:type="spellEnd"/>
      <w:r w:rsidRPr="00826DFD">
        <w:rPr>
          <w:rFonts w:ascii="Arial" w:hAnsi="Arial" w:cs="Arial"/>
          <w:sz w:val="22"/>
          <w:szCs w:val="22"/>
        </w:rPr>
        <w:t xml:space="preserve">                                -2023/SUNAT</w:t>
      </w:r>
    </w:p>
    <w:p w14:paraId="10DC18EF" w14:textId="77777777" w:rsidR="00171171" w:rsidRPr="00826DFD" w:rsidRDefault="00171171" w:rsidP="00171171">
      <w:pPr>
        <w:pStyle w:val="Ttulo1"/>
        <w:numPr>
          <w:ilvl w:val="0"/>
          <w:numId w:val="0"/>
        </w:numPr>
        <w:spacing w:before="0"/>
        <w:jc w:val="center"/>
        <w:rPr>
          <w:rFonts w:cs="Arial"/>
          <w:caps/>
          <w:kern w:val="22"/>
          <w:sz w:val="22"/>
          <w:szCs w:val="22"/>
        </w:rPr>
      </w:pPr>
    </w:p>
    <w:p w14:paraId="66B54032" w14:textId="77777777" w:rsidR="00171171" w:rsidRPr="00826DFD" w:rsidRDefault="00171171" w:rsidP="00171171">
      <w:pPr>
        <w:ind w:left="708"/>
        <w:contextualSpacing/>
        <w:jc w:val="center"/>
        <w:rPr>
          <w:rFonts w:ascii="Arial" w:hAnsi="Arial" w:cs="Arial"/>
          <w:b/>
          <w:strike/>
          <w:sz w:val="22"/>
          <w:szCs w:val="22"/>
          <w:lang w:eastAsia="es-PE"/>
        </w:rPr>
      </w:pPr>
      <w:bookmarkStart w:id="1" w:name="_Hlk66880820"/>
      <w:r w:rsidRPr="00826DFD">
        <w:rPr>
          <w:rFonts w:ascii="Arial" w:hAnsi="Arial" w:cs="Arial"/>
          <w:b/>
          <w:bCs/>
          <w:sz w:val="22"/>
          <w:szCs w:val="22"/>
        </w:rPr>
        <w:t xml:space="preserve">PROYECTO DE RESOLUCIÓN DE SUPERINTENDENCIA QUE MODIFICA LA RESOLUCIÓN DE SUPERINTENDENCIA </w:t>
      </w:r>
      <w:proofErr w:type="spellStart"/>
      <w:r w:rsidRPr="00826DFD">
        <w:rPr>
          <w:rFonts w:ascii="Arial" w:hAnsi="Arial" w:cs="Arial"/>
          <w:b/>
          <w:bCs/>
          <w:sz w:val="22"/>
          <w:szCs w:val="22"/>
        </w:rPr>
        <w:t>N.°</w:t>
      </w:r>
      <w:proofErr w:type="spellEnd"/>
      <w:r w:rsidRPr="00826DFD">
        <w:rPr>
          <w:rFonts w:ascii="Arial" w:hAnsi="Arial" w:cs="Arial"/>
          <w:b/>
          <w:bCs/>
          <w:sz w:val="22"/>
          <w:szCs w:val="22"/>
        </w:rPr>
        <w:t xml:space="preserve"> 174-2011/SUNAT, QUE APRUEBA EL FORMULARIO VIRTUAL </w:t>
      </w:r>
      <w:proofErr w:type="spellStart"/>
      <w:r w:rsidRPr="00826DFD">
        <w:rPr>
          <w:rFonts w:ascii="Arial" w:hAnsi="Arial" w:cs="Arial"/>
          <w:b/>
          <w:bCs/>
          <w:sz w:val="22"/>
          <w:szCs w:val="22"/>
        </w:rPr>
        <w:t>N.°</w:t>
      </w:r>
      <w:proofErr w:type="spellEnd"/>
      <w:r w:rsidRPr="00826DFD">
        <w:rPr>
          <w:rFonts w:ascii="Arial" w:hAnsi="Arial" w:cs="Arial"/>
          <w:b/>
          <w:bCs/>
          <w:sz w:val="22"/>
          <w:szCs w:val="22"/>
        </w:rPr>
        <w:t xml:space="preserve"> 616 - SIMPLIFICADO TRABAJADORES INDEPENDIENTES </w:t>
      </w:r>
    </w:p>
    <w:p w14:paraId="526CA0EB" w14:textId="77777777" w:rsidR="00171171" w:rsidRPr="00826DFD" w:rsidRDefault="00171171" w:rsidP="00171171">
      <w:pPr>
        <w:pStyle w:val="Saludo"/>
        <w:jc w:val="both"/>
        <w:rPr>
          <w:rFonts w:ascii="Arial" w:hAnsi="Arial" w:cs="Arial"/>
          <w:sz w:val="22"/>
          <w:szCs w:val="22"/>
        </w:rPr>
      </w:pPr>
    </w:p>
    <w:bookmarkEnd w:id="1"/>
    <w:p w14:paraId="2C6640A6" w14:textId="77777777" w:rsidR="00171171" w:rsidRPr="00826DFD" w:rsidRDefault="00171171" w:rsidP="00171171">
      <w:pPr>
        <w:pStyle w:val="Saludo"/>
        <w:jc w:val="both"/>
        <w:rPr>
          <w:rFonts w:ascii="Arial" w:hAnsi="Arial" w:cs="Arial"/>
          <w:sz w:val="22"/>
          <w:szCs w:val="22"/>
        </w:rPr>
      </w:pPr>
      <w:r w:rsidRPr="00826DFD">
        <w:rPr>
          <w:rFonts w:ascii="Arial" w:hAnsi="Arial" w:cs="Arial"/>
          <w:sz w:val="22"/>
          <w:szCs w:val="22"/>
        </w:rPr>
        <w:t>Lima,</w:t>
      </w:r>
    </w:p>
    <w:p w14:paraId="69CADBA5" w14:textId="77777777" w:rsidR="00171171" w:rsidRPr="00826DFD" w:rsidRDefault="00171171" w:rsidP="00171171">
      <w:pPr>
        <w:jc w:val="both"/>
        <w:rPr>
          <w:rFonts w:ascii="Arial" w:hAnsi="Arial" w:cs="Arial"/>
          <w:sz w:val="22"/>
          <w:szCs w:val="22"/>
        </w:rPr>
      </w:pPr>
    </w:p>
    <w:p w14:paraId="265943C0" w14:textId="77777777" w:rsidR="00171171" w:rsidRPr="00826DFD" w:rsidRDefault="00171171" w:rsidP="00171171">
      <w:pPr>
        <w:pStyle w:val="Lneadeasunto"/>
        <w:jc w:val="both"/>
        <w:rPr>
          <w:rStyle w:val="Textoennegrita"/>
          <w:rFonts w:ascii="Arial" w:hAnsi="Arial" w:cs="Arial"/>
          <w:sz w:val="22"/>
          <w:szCs w:val="22"/>
        </w:rPr>
      </w:pPr>
      <w:r w:rsidRPr="00826DFD">
        <w:rPr>
          <w:rStyle w:val="Textoennegrita"/>
          <w:rFonts w:ascii="Arial" w:hAnsi="Arial" w:cs="Arial"/>
          <w:sz w:val="22"/>
          <w:szCs w:val="22"/>
        </w:rPr>
        <w:t>CONSIDERANDO:</w:t>
      </w:r>
    </w:p>
    <w:p w14:paraId="4988EB6D" w14:textId="77777777" w:rsidR="00171171" w:rsidRPr="00826DFD" w:rsidRDefault="00171171" w:rsidP="00171171">
      <w:pPr>
        <w:autoSpaceDE w:val="0"/>
        <w:autoSpaceDN w:val="0"/>
        <w:adjustRightInd w:val="0"/>
        <w:jc w:val="both"/>
        <w:rPr>
          <w:rFonts w:ascii="Arial" w:eastAsia="Calibri" w:hAnsi="Arial" w:cs="Arial"/>
          <w:strike/>
          <w:color w:val="000000"/>
          <w:sz w:val="22"/>
          <w:szCs w:val="22"/>
          <w:lang w:val="es-PE" w:eastAsia="es-PE"/>
        </w:rPr>
      </w:pPr>
    </w:p>
    <w:p w14:paraId="24BC83CD" w14:textId="77777777" w:rsidR="00171171" w:rsidRPr="00826DFD" w:rsidRDefault="00171171" w:rsidP="00171171">
      <w:pPr>
        <w:autoSpaceDE w:val="0"/>
        <w:autoSpaceDN w:val="0"/>
        <w:adjustRightInd w:val="0"/>
        <w:jc w:val="both"/>
        <w:rPr>
          <w:rFonts w:ascii="Arial" w:eastAsia="Calibri" w:hAnsi="Arial" w:cs="Arial"/>
          <w:sz w:val="22"/>
          <w:szCs w:val="22"/>
          <w:lang w:val="es-PE" w:eastAsia="es-PE"/>
        </w:rPr>
      </w:pPr>
      <w:r w:rsidRPr="00826DFD">
        <w:rPr>
          <w:rFonts w:ascii="Arial" w:eastAsia="Calibri" w:hAnsi="Arial" w:cs="Arial"/>
          <w:sz w:val="22"/>
          <w:szCs w:val="22"/>
          <w:lang w:val="es-PE" w:eastAsia="es-PE"/>
        </w:rPr>
        <w:t xml:space="preserve">Que mediante la Resolución de Superintendencia </w:t>
      </w:r>
      <w:proofErr w:type="spellStart"/>
      <w:r w:rsidRPr="00826DFD">
        <w:rPr>
          <w:rFonts w:ascii="Arial" w:eastAsia="Calibri" w:hAnsi="Arial" w:cs="Arial"/>
          <w:sz w:val="22"/>
          <w:szCs w:val="22"/>
          <w:lang w:val="es-PE" w:eastAsia="es-PE"/>
        </w:rPr>
        <w:t>N.°</w:t>
      </w:r>
      <w:proofErr w:type="spellEnd"/>
      <w:r w:rsidRPr="00826DFD">
        <w:rPr>
          <w:rFonts w:ascii="Arial" w:eastAsia="Calibri" w:hAnsi="Arial" w:cs="Arial"/>
          <w:sz w:val="22"/>
          <w:szCs w:val="22"/>
          <w:lang w:val="es-PE" w:eastAsia="es-PE"/>
        </w:rPr>
        <w:t xml:space="preserve"> 138-2002/SUNAT se regula la presentación de declaraciones mediante el Programa de Declaración Telemática (PDT) para los sujetos perceptores de rentas de cuarta categoría, aprobándose para tal efecto el Formulario Virtual </w:t>
      </w:r>
      <w:proofErr w:type="spellStart"/>
      <w:r w:rsidRPr="00826DFD">
        <w:rPr>
          <w:rFonts w:ascii="Arial" w:eastAsia="Calibri" w:hAnsi="Arial" w:cs="Arial"/>
          <w:sz w:val="22"/>
          <w:szCs w:val="22"/>
          <w:lang w:val="es-PE" w:eastAsia="es-PE"/>
        </w:rPr>
        <w:t>N.°</w:t>
      </w:r>
      <w:proofErr w:type="spellEnd"/>
      <w:r w:rsidRPr="00826DFD">
        <w:rPr>
          <w:rFonts w:ascii="Arial" w:eastAsia="Calibri" w:hAnsi="Arial" w:cs="Arial"/>
          <w:sz w:val="22"/>
          <w:szCs w:val="22"/>
          <w:lang w:val="es-PE" w:eastAsia="es-PE"/>
        </w:rPr>
        <w:t xml:space="preserve"> 616 - PDT Trabajadores Independientes, cuya última versión 1.6 fue aprobada por la Resolución de Superintendencia </w:t>
      </w:r>
      <w:proofErr w:type="spellStart"/>
      <w:r w:rsidRPr="00826DFD">
        <w:rPr>
          <w:rFonts w:ascii="Arial" w:eastAsia="Calibri" w:hAnsi="Arial" w:cs="Arial"/>
          <w:sz w:val="22"/>
          <w:szCs w:val="22"/>
          <w:lang w:val="es-PE" w:eastAsia="es-PE"/>
        </w:rPr>
        <w:t>N.°</w:t>
      </w:r>
      <w:proofErr w:type="spellEnd"/>
      <w:r w:rsidRPr="00826DFD">
        <w:rPr>
          <w:rFonts w:ascii="Arial" w:eastAsia="Calibri" w:hAnsi="Arial" w:cs="Arial"/>
          <w:sz w:val="22"/>
          <w:szCs w:val="22"/>
          <w:lang w:val="es-PE" w:eastAsia="es-PE"/>
        </w:rPr>
        <w:t xml:space="preserve"> 032-2015/SUNAT;</w:t>
      </w:r>
    </w:p>
    <w:p w14:paraId="6F1902B9" w14:textId="77777777" w:rsidR="00171171" w:rsidRPr="00826DFD" w:rsidRDefault="00171171" w:rsidP="00171171">
      <w:pPr>
        <w:autoSpaceDE w:val="0"/>
        <w:autoSpaceDN w:val="0"/>
        <w:adjustRightInd w:val="0"/>
        <w:jc w:val="both"/>
        <w:rPr>
          <w:rFonts w:ascii="Arial" w:eastAsia="Calibri" w:hAnsi="Arial" w:cs="Arial"/>
          <w:sz w:val="22"/>
          <w:szCs w:val="22"/>
          <w:lang w:val="es-PE" w:eastAsia="es-PE"/>
        </w:rPr>
      </w:pPr>
    </w:p>
    <w:p w14:paraId="2D8A5657" w14:textId="77777777" w:rsidR="00171171" w:rsidRPr="00826DFD" w:rsidRDefault="00171171" w:rsidP="00171171">
      <w:pPr>
        <w:autoSpaceDE w:val="0"/>
        <w:autoSpaceDN w:val="0"/>
        <w:adjustRightInd w:val="0"/>
        <w:jc w:val="both"/>
        <w:rPr>
          <w:rFonts w:ascii="Arial" w:eastAsia="Calibri" w:hAnsi="Arial" w:cs="Arial"/>
          <w:sz w:val="22"/>
          <w:szCs w:val="22"/>
          <w:lang w:val="es-PE" w:eastAsia="es-PE"/>
        </w:rPr>
      </w:pPr>
      <w:r w:rsidRPr="00826DFD">
        <w:rPr>
          <w:rFonts w:ascii="Arial" w:eastAsia="Calibri" w:hAnsi="Arial" w:cs="Arial"/>
          <w:sz w:val="22"/>
          <w:szCs w:val="22"/>
          <w:lang w:val="es-PE" w:eastAsia="es-PE"/>
        </w:rPr>
        <w:t xml:space="preserve">Que, para facilitar la presentación de declaraciones y la realización de los pagos a cuenta mensuales del Impuesto a la Renta de cuarta categoría, la Resolución de Superintendencia </w:t>
      </w:r>
      <w:proofErr w:type="spellStart"/>
      <w:r w:rsidRPr="00826DFD">
        <w:rPr>
          <w:rFonts w:ascii="Arial" w:eastAsia="Calibri" w:hAnsi="Arial" w:cs="Arial"/>
          <w:sz w:val="22"/>
          <w:szCs w:val="22"/>
          <w:lang w:val="es-PE" w:eastAsia="es-PE"/>
        </w:rPr>
        <w:t>N.°</w:t>
      </w:r>
      <w:proofErr w:type="spellEnd"/>
      <w:r w:rsidRPr="00826DFD">
        <w:rPr>
          <w:rFonts w:ascii="Arial" w:eastAsia="Calibri" w:hAnsi="Arial" w:cs="Arial"/>
          <w:sz w:val="22"/>
          <w:szCs w:val="22"/>
          <w:lang w:val="es-PE" w:eastAsia="es-PE"/>
        </w:rPr>
        <w:t xml:space="preserve"> 174-2011/SUNAT aprobó el Formulario Virtual </w:t>
      </w:r>
      <w:proofErr w:type="spellStart"/>
      <w:r w:rsidRPr="00826DFD">
        <w:rPr>
          <w:rFonts w:ascii="Arial" w:eastAsia="Calibri" w:hAnsi="Arial" w:cs="Arial"/>
          <w:sz w:val="22"/>
          <w:szCs w:val="22"/>
          <w:lang w:val="es-PE" w:eastAsia="es-PE"/>
        </w:rPr>
        <w:t>N.°</w:t>
      </w:r>
      <w:proofErr w:type="spellEnd"/>
      <w:r w:rsidRPr="00826DFD">
        <w:rPr>
          <w:rFonts w:ascii="Arial" w:eastAsia="Calibri" w:hAnsi="Arial" w:cs="Arial"/>
          <w:sz w:val="22"/>
          <w:szCs w:val="22"/>
          <w:lang w:val="es-PE" w:eastAsia="es-PE"/>
        </w:rPr>
        <w:t xml:space="preserve"> 616 - Simplificado Trabajadores Independientes, como medio alternativo al PDT Trabajadores Independientes, el cual puede ser usado por los sujetos que cumplan con lo señalado en el artículo 4 de la citada resolución, entre otro, que no necesiten consignar información relativa a créditos o saldos a favor, lo que sustentaba su carácter simplificado;  </w:t>
      </w:r>
    </w:p>
    <w:p w14:paraId="2F1F0712" w14:textId="77777777" w:rsidR="00171171" w:rsidRPr="00826DFD" w:rsidRDefault="00171171" w:rsidP="00171171">
      <w:pPr>
        <w:autoSpaceDE w:val="0"/>
        <w:autoSpaceDN w:val="0"/>
        <w:adjustRightInd w:val="0"/>
        <w:jc w:val="both"/>
        <w:rPr>
          <w:rFonts w:ascii="Arial" w:eastAsia="Calibri" w:hAnsi="Arial" w:cs="Arial"/>
          <w:sz w:val="22"/>
          <w:szCs w:val="22"/>
          <w:lang w:val="es-PE" w:eastAsia="es-PE"/>
        </w:rPr>
      </w:pPr>
    </w:p>
    <w:p w14:paraId="545F119C" w14:textId="77777777" w:rsidR="00171171" w:rsidRPr="00826DFD" w:rsidRDefault="00171171" w:rsidP="00171171">
      <w:pPr>
        <w:autoSpaceDE w:val="0"/>
        <w:autoSpaceDN w:val="0"/>
        <w:adjustRightInd w:val="0"/>
        <w:jc w:val="both"/>
        <w:rPr>
          <w:rFonts w:ascii="Arial" w:eastAsia="Calibri" w:hAnsi="Arial" w:cs="Arial"/>
          <w:sz w:val="22"/>
          <w:szCs w:val="22"/>
          <w:lang w:val="es-PE" w:eastAsia="es-PE"/>
        </w:rPr>
      </w:pPr>
      <w:r w:rsidRPr="00826DFD">
        <w:rPr>
          <w:rFonts w:ascii="Arial" w:eastAsia="Calibri" w:hAnsi="Arial" w:cs="Arial"/>
          <w:sz w:val="22"/>
          <w:szCs w:val="22"/>
          <w:lang w:val="es-PE" w:eastAsia="es-PE"/>
        </w:rPr>
        <w:t xml:space="preserve">Que, conforme a la normativa vigente, los sujetos perceptores de rentas de cuarta categoría tienen, con carácter definitivo, la calidad de emisores electrónicos y, por ende, deben emitir recibos por honorarios electrónicos y notas de crédito electrónicas utilizando el sistema de emisión electrónica (SEE) regulado por la Resolución de Superintendencia </w:t>
      </w:r>
      <w:proofErr w:type="spellStart"/>
      <w:r w:rsidRPr="00826DFD">
        <w:rPr>
          <w:rFonts w:ascii="Arial" w:eastAsia="Calibri" w:hAnsi="Arial" w:cs="Arial"/>
          <w:sz w:val="22"/>
          <w:szCs w:val="22"/>
          <w:lang w:val="es-PE" w:eastAsia="es-PE"/>
        </w:rPr>
        <w:t>N.°</w:t>
      </w:r>
      <w:proofErr w:type="spellEnd"/>
      <w:r w:rsidRPr="00826DFD">
        <w:rPr>
          <w:rFonts w:ascii="Arial" w:eastAsia="Calibri" w:hAnsi="Arial" w:cs="Arial"/>
          <w:sz w:val="22"/>
          <w:szCs w:val="22"/>
          <w:lang w:val="es-PE" w:eastAsia="es-PE"/>
        </w:rPr>
        <w:t xml:space="preserve"> 182-2008/SUNAT, desde la oportunidad en que deban emitir y otorgar recibos por honorarios. Adicionalmente, deben registrar en el SEE la información relativa a los recibos por honorarios y/o notas de crédito que emitan, por causas que no les sean imputables, en formatos impresos y/o importados por imprentas autorizadas, así como la relativa a las rentas percibidas por operaciones por las que se exceptúe de emitir comprobantes de pago, dentro del plazo establecido para ello;</w:t>
      </w:r>
    </w:p>
    <w:p w14:paraId="5E335FDE" w14:textId="77777777" w:rsidR="00171171" w:rsidRPr="00826DFD" w:rsidRDefault="00171171" w:rsidP="00171171">
      <w:pPr>
        <w:autoSpaceDE w:val="0"/>
        <w:autoSpaceDN w:val="0"/>
        <w:adjustRightInd w:val="0"/>
        <w:jc w:val="both"/>
        <w:rPr>
          <w:rFonts w:ascii="Arial" w:eastAsia="Calibri" w:hAnsi="Arial" w:cs="Arial"/>
          <w:sz w:val="22"/>
          <w:szCs w:val="22"/>
          <w:lang w:val="es-PE" w:eastAsia="es-PE"/>
        </w:rPr>
      </w:pPr>
    </w:p>
    <w:p w14:paraId="73F1AB73" w14:textId="3F1D2AAD" w:rsidR="00171171" w:rsidRPr="00826DFD" w:rsidRDefault="00171171" w:rsidP="00171171">
      <w:pPr>
        <w:autoSpaceDE w:val="0"/>
        <w:autoSpaceDN w:val="0"/>
        <w:adjustRightInd w:val="0"/>
        <w:jc w:val="both"/>
        <w:rPr>
          <w:rFonts w:ascii="Arial" w:eastAsia="Calibri" w:hAnsi="Arial" w:cs="Arial"/>
          <w:sz w:val="22"/>
          <w:szCs w:val="22"/>
          <w:lang w:val="es-PE" w:eastAsia="es-PE"/>
        </w:rPr>
      </w:pPr>
      <w:r w:rsidRPr="00826DFD">
        <w:rPr>
          <w:rFonts w:ascii="Arial" w:eastAsia="Calibri" w:hAnsi="Arial" w:cs="Arial"/>
          <w:sz w:val="22"/>
          <w:szCs w:val="22"/>
          <w:lang w:val="es-PE" w:eastAsia="es-PE"/>
        </w:rPr>
        <w:t xml:space="preserve">Que, dado que a la fecha todos los perceptores de rentas de cuarta categoría que deban emitir y otorgar recibos por honorarios son emisores electrónicos y la información del SEE se incorpora de manera automática en el rubro “Detalle de comprobantes de pago” del Formulario Virtual </w:t>
      </w:r>
      <w:proofErr w:type="spellStart"/>
      <w:r w:rsidRPr="00826DFD">
        <w:rPr>
          <w:rFonts w:ascii="Arial" w:eastAsia="Calibri" w:hAnsi="Arial" w:cs="Arial"/>
          <w:sz w:val="22"/>
          <w:szCs w:val="22"/>
          <w:lang w:val="es-PE" w:eastAsia="es-PE"/>
        </w:rPr>
        <w:t>N.°</w:t>
      </w:r>
      <w:proofErr w:type="spellEnd"/>
      <w:r w:rsidRPr="00826DFD">
        <w:rPr>
          <w:rFonts w:ascii="Arial" w:eastAsia="Calibri" w:hAnsi="Arial" w:cs="Arial"/>
          <w:sz w:val="22"/>
          <w:szCs w:val="22"/>
          <w:lang w:val="es-PE" w:eastAsia="es-PE"/>
        </w:rPr>
        <w:t xml:space="preserve"> 616 - Simplificado Trabajadores Independientes, </w:t>
      </w:r>
      <w:r w:rsidRPr="00171171">
        <w:rPr>
          <w:rFonts w:ascii="Arial" w:eastAsia="Calibri" w:hAnsi="Arial" w:cs="Arial"/>
          <w:sz w:val="22"/>
          <w:szCs w:val="22"/>
          <w:lang w:val="es-PE" w:eastAsia="es-PE"/>
        </w:rPr>
        <w:t xml:space="preserve">resulta </w:t>
      </w:r>
      <w:r w:rsidRPr="00171171">
        <w:rPr>
          <w:rFonts w:ascii="Arial" w:eastAsia="Calibri" w:hAnsi="Arial" w:cs="Arial"/>
          <w:sz w:val="22"/>
          <w:szCs w:val="22"/>
          <w:lang w:val="es-PE" w:eastAsia="es-PE"/>
        </w:rPr>
        <w:lastRenderedPageBreak/>
        <w:t>conveniente modificar la denominación de dicho formulario virtual y disponer que sea de uso obligatorio por los sujetos perceptores de rentas de cuarta categoría;</w:t>
      </w:r>
    </w:p>
    <w:p w14:paraId="194B58E2" w14:textId="77777777" w:rsidR="00171171" w:rsidRPr="00826DFD" w:rsidRDefault="00171171" w:rsidP="00171171">
      <w:pPr>
        <w:autoSpaceDE w:val="0"/>
        <w:autoSpaceDN w:val="0"/>
        <w:adjustRightInd w:val="0"/>
        <w:jc w:val="both"/>
        <w:rPr>
          <w:rFonts w:ascii="Arial" w:eastAsia="Calibri" w:hAnsi="Arial" w:cs="Arial"/>
          <w:strike/>
          <w:sz w:val="22"/>
          <w:szCs w:val="22"/>
          <w:lang w:val="es-PE" w:eastAsia="es-PE"/>
        </w:rPr>
      </w:pPr>
    </w:p>
    <w:p w14:paraId="7A9DA48C" w14:textId="77777777" w:rsidR="00171171" w:rsidRPr="00826DFD" w:rsidRDefault="00171171" w:rsidP="00171171">
      <w:pPr>
        <w:autoSpaceDE w:val="0"/>
        <w:autoSpaceDN w:val="0"/>
        <w:adjustRightInd w:val="0"/>
        <w:jc w:val="both"/>
        <w:rPr>
          <w:rFonts w:ascii="Arial" w:hAnsi="Arial" w:cs="Arial"/>
          <w:bCs/>
          <w:sz w:val="22"/>
          <w:szCs w:val="22"/>
          <w:lang w:val="es-PE" w:eastAsia="en-US"/>
        </w:rPr>
      </w:pPr>
      <w:r w:rsidRPr="00826DFD">
        <w:rPr>
          <w:rFonts w:ascii="Arial" w:hAnsi="Arial" w:cs="Arial"/>
          <w:bCs/>
          <w:sz w:val="22"/>
          <w:szCs w:val="22"/>
          <w:lang w:val="es-PE" w:eastAsia="en-US"/>
        </w:rPr>
        <w:t xml:space="preserve">En uso de las facultades conferidas por el artículo 79 del TUO de la Ley del Impuesto a la Renta, los artículos 29 y 87 del TUO del Código Tributario, el artículo 11 del Decreto Legislativo </w:t>
      </w:r>
      <w:proofErr w:type="spellStart"/>
      <w:r w:rsidRPr="00826DFD">
        <w:rPr>
          <w:rFonts w:ascii="Arial" w:hAnsi="Arial" w:cs="Arial"/>
          <w:bCs/>
          <w:sz w:val="22"/>
          <w:szCs w:val="22"/>
          <w:lang w:val="es-PE" w:eastAsia="en-US"/>
        </w:rPr>
        <w:t>N.°</w:t>
      </w:r>
      <w:proofErr w:type="spellEnd"/>
      <w:r w:rsidRPr="00826DFD">
        <w:rPr>
          <w:rFonts w:ascii="Arial" w:hAnsi="Arial" w:cs="Arial"/>
          <w:bCs/>
          <w:sz w:val="22"/>
          <w:szCs w:val="22"/>
          <w:lang w:val="es-PE" w:eastAsia="en-US"/>
        </w:rPr>
        <w:t xml:space="preserve"> 501, el artículo 5 de la Ley </w:t>
      </w:r>
      <w:proofErr w:type="spellStart"/>
      <w:r w:rsidRPr="00826DFD">
        <w:rPr>
          <w:rFonts w:ascii="Arial" w:hAnsi="Arial" w:cs="Arial"/>
          <w:bCs/>
          <w:sz w:val="22"/>
          <w:szCs w:val="22"/>
          <w:lang w:val="es-PE" w:eastAsia="en-US"/>
        </w:rPr>
        <w:t>N.°</w:t>
      </w:r>
      <w:proofErr w:type="spellEnd"/>
      <w:r w:rsidRPr="00826DFD">
        <w:rPr>
          <w:rFonts w:ascii="Arial" w:hAnsi="Arial" w:cs="Arial"/>
          <w:bCs/>
          <w:sz w:val="22"/>
          <w:szCs w:val="22"/>
          <w:lang w:val="es-PE" w:eastAsia="en-US"/>
        </w:rPr>
        <w:t xml:space="preserve"> 29816, Ley de Fortalecimiento de la SUNAT, </w:t>
      </w:r>
      <w:r w:rsidRPr="00826DFD">
        <w:rPr>
          <w:rFonts w:ascii="Arial" w:hAnsi="Arial" w:cs="Arial"/>
          <w:color w:val="000000"/>
          <w:sz w:val="22"/>
          <w:szCs w:val="22"/>
        </w:rPr>
        <w:t xml:space="preserve">y el inciso k) del artículo 10 del Documento de Organización y Funciones Provisional de la SUNAT, aprobado por la Resolución de Superintendencia </w:t>
      </w:r>
      <w:proofErr w:type="spellStart"/>
      <w:r w:rsidRPr="00826DFD">
        <w:rPr>
          <w:rFonts w:ascii="Arial" w:hAnsi="Arial" w:cs="Arial"/>
          <w:color w:val="000000"/>
          <w:sz w:val="22"/>
          <w:szCs w:val="22"/>
        </w:rPr>
        <w:t>N.°</w:t>
      </w:r>
      <w:proofErr w:type="spellEnd"/>
      <w:r w:rsidRPr="00826DFD">
        <w:rPr>
          <w:rFonts w:ascii="Arial" w:hAnsi="Arial" w:cs="Arial"/>
          <w:color w:val="000000"/>
          <w:sz w:val="22"/>
          <w:szCs w:val="22"/>
        </w:rPr>
        <w:t xml:space="preserve"> 000042-2022/SUNAT;</w:t>
      </w:r>
    </w:p>
    <w:p w14:paraId="0CBE95E2" w14:textId="77777777" w:rsidR="00171171" w:rsidRPr="00826DFD" w:rsidRDefault="00171171" w:rsidP="00171171">
      <w:pPr>
        <w:pStyle w:val="Lneadeasunto"/>
        <w:jc w:val="both"/>
        <w:rPr>
          <w:rFonts w:ascii="Arial" w:eastAsia="Calibri" w:hAnsi="Arial" w:cs="Arial"/>
          <w:color w:val="000000"/>
          <w:sz w:val="22"/>
          <w:szCs w:val="22"/>
          <w:lang w:val="es-PE" w:eastAsia="es-PE"/>
        </w:rPr>
      </w:pPr>
    </w:p>
    <w:p w14:paraId="0688BEDF" w14:textId="77777777" w:rsidR="00171171" w:rsidRPr="00826DFD" w:rsidRDefault="00171171" w:rsidP="00171171">
      <w:pPr>
        <w:pStyle w:val="Lneadeasunto"/>
        <w:jc w:val="both"/>
        <w:rPr>
          <w:rFonts w:ascii="Arial" w:hAnsi="Arial" w:cs="Arial"/>
          <w:b/>
          <w:sz w:val="22"/>
          <w:szCs w:val="22"/>
        </w:rPr>
      </w:pPr>
      <w:r w:rsidRPr="00826DFD">
        <w:rPr>
          <w:rFonts w:ascii="Arial" w:hAnsi="Arial" w:cs="Arial"/>
          <w:b/>
          <w:sz w:val="22"/>
          <w:szCs w:val="22"/>
        </w:rPr>
        <w:t>SE RESUELVE:</w:t>
      </w:r>
    </w:p>
    <w:p w14:paraId="470F143A" w14:textId="77777777" w:rsidR="00171171" w:rsidRPr="00826DFD" w:rsidRDefault="00171171" w:rsidP="00171171">
      <w:pPr>
        <w:pStyle w:val="NormalWeb"/>
        <w:jc w:val="both"/>
        <w:rPr>
          <w:rFonts w:ascii="Arial" w:hAnsi="Arial" w:cs="Arial"/>
          <w:b/>
          <w:sz w:val="22"/>
          <w:szCs w:val="22"/>
        </w:rPr>
      </w:pPr>
      <w:r w:rsidRPr="00826DFD">
        <w:rPr>
          <w:rFonts w:ascii="Arial" w:hAnsi="Arial" w:cs="Arial"/>
          <w:b/>
          <w:sz w:val="22"/>
          <w:szCs w:val="22"/>
        </w:rPr>
        <w:t>Artículo 1. Objeto y finalidad</w:t>
      </w:r>
    </w:p>
    <w:p w14:paraId="2887DD26" w14:textId="2677AEE1" w:rsidR="00171171" w:rsidRPr="00826DFD" w:rsidRDefault="00171171" w:rsidP="00171171">
      <w:pPr>
        <w:pStyle w:val="NormalWeb"/>
        <w:jc w:val="both"/>
        <w:rPr>
          <w:rFonts w:ascii="Arial" w:hAnsi="Arial" w:cs="Arial"/>
          <w:bCs/>
          <w:sz w:val="22"/>
          <w:szCs w:val="22"/>
        </w:rPr>
      </w:pPr>
      <w:r w:rsidRPr="00826DFD">
        <w:rPr>
          <w:rFonts w:ascii="Arial" w:hAnsi="Arial" w:cs="Arial"/>
          <w:bCs/>
          <w:sz w:val="22"/>
          <w:szCs w:val="22"/>
        </w:rPr>
        <w:t>La presente resolución de superintendencia tiene por objeto</w:t>
      </w:r>
      <w:r w:rsidRPr="00826DFD">
        <w:rPr>
          <w:rFonts w:ascii="Arial" w:eastAsia="Calibri" w:hAnsi="Arial" w:cs="Arial"/>
          <w:bCs/>
          <w:sz w:val="22"/>
          <w:szCs w:val="22"/>
          <w:lang w:eastAsia="es-PE"/>
        </w:rPr>
        <w:t xml:space="preserve"> modificar la Resolución de Superintendencia </w:t>
      </w:r>
      <w:proofErr w:type="spellStart"/>
      <w:r w:rsidRPr="00826DFD">
        <w:rPr>
          <w:rFonts w:ascii="Arial" w:eastAsia="Calibri" w:hAnsi="Arial" w:cs="Arial"/>
          <w:bCs/>
          <w:sz w:val="22"/>
          <w:szCs w:val="22"/>
          <w:lang w:eastAsia="es-PE"/>
        </w:rPr>
        <w:t>N.°</w:t>
      </w:r>
      <w:proofErr w:type="spellEnd"/>
      <w:r w:rsidRPr="00826DFD">
        <w:rPr>
          <w:rFonts w:ascii="Arial" w:eastAsia="Calibri" w:hAnsi="Arial" w:cs="Arial"/>
          <w:bCs/>
          <w:sz w:val="22"/>
          <w:szCs w:val="22"/>
          <w:lang w:eastAsia="es-PE"/>
        </w:rPr>
        <w:t xml:space="preserve"> 174-2011/SUNAT, que aprueba el Formulario Virtual </w:t>
      </w:r>
      <w:proofErr w:type="spellStart"/>
      <w:r w:rsidRPr="00826DFD">
        <w:rPr>
          <w:rFonts w:ascii="Arial" w:eastAsia="Calibri" w:hAnsi="Arial" w:cs="Arial"/>
          <w:bCs/>
          <w:sz w:val="22"/>
          <w:szCs w:val="22"/>
          <w:lang w:eastAsia="es-PE"/>
        </w:rPr>
        <w:t>N.°</w:t>
      </w:r>
      <w:proofErr w:type="spellEnd"/>
      <w:r w:rsidRPr="00826DFD">
        <w:rPr>
          <w:rFonts w:ascii="Arial" w:eastAsia="Calibri" w:hAnsi="Arial" w:cs="Arial"/>
          <w:bCs/>
          <w:sz w:val="22"/>
          <w:szCs w:val="22"/>
          <w:lang w:eastAsia="es-PE"/>
        </w:rPr>
        <w:t xml:space="preserve"> 616 - Simplificado Trabajadores Independientes para la declaración y el pago a cuenta mensual a través de SUNAT Virtual de los sujetos perceptores de rentas de cuarta categoría,</w:t>
      </w:r>
      <w:r>
        <w:rPr>
          <w:rFonts w:ascii="Arial" w:eastAsia="Calibri" w:hAnsi="Arial" w:cs="Arial"/>
          <w:bCs/>
          <w:sz w:val="22"/>
          <w:szCs w:val="22"/>
          <w:lang w:eastAsia="es-PE"/>
        </w:rPr>
        <w:t xml:space="preserve"> </w:t>
      </w:r>
      <w:r w:rsidRPr="00171171">
        <w:rPr>
          <w:rFonts w:ascii="Arial" w:eastAsia="Calibri" w:hAnsi="Arial" w:cs="Arial"/>
          <w:bCs/>
          <w:sz w:val="22"/>
          <w:szCs w:val="22"/>
          <w:lang w:eastAsia="es-PE"/>
        </w:rPr>
        <w:t xml:space="preserve">a fin de modificar la denominación de dicho formulario y disponer su uso obligatorio. </w:t>
      </w:r>
    </w:p>
    <w:p w14:paraId="7F3BB9BE" w14:textId="77777777" w:rsidR="00171171" w:rsidRPr="00826DFD" w:rsidRDefault="00171171" w:rsidP="00171171">
      <w:pPr>
        <w:pStyle w:val="NormalWeb"/>
        <w:spacing w:after="240" w:afterAutospacing="0"/>
        <w:jc w:val="both"/>
        <w:rPr>
          <w:rFonts w:ascii="Arial" w:eastAsia="Calibri" w:hAnsi="Arial" w:cs="Arial"/>
          <w:b/>
          <w:sz w:val="22"/>
          <w:szCs w:val="22"/>
          <w:lang w:val="es-PE" w:eastAsia="es-PE"/>
        </w:rPr>
      </w:pPr>
      <w:r w:rsidRPr="00826DFD">
        <w:rPr>
          <w:rFonts w:ascii="Arial" w:eastAsia="Calibri" w:hAnsi="Arial" w:cs="Arial"/>
          <w:b/>
          <w:sz w:val="22"/>
          <w:szCs w:val="22"/>
          <w:lang w:val="es-PE" w:eastAsia="es-PE"/>
        </w:rPr>
        <w:t xml:space="preserve">Artículo 2. Modificación de la denominación del Formulario Virtual </w:t>
      </w:r>
      <w:proofErr w:type="spellStart"/>
      <w:r w:rsidRPr="00826DFD">
        <w:rPr>
          <w:rFonts w:ascii="Arial" w:eastAsia="Calibri" w:hAnsi="Arial" w:cs="Arial"/>
          <w:b/>
          <w:sz w:val="22"/>
          <w:szCs w:val="22"/>
          <w:lang w:val="es-PE" w:eastAsia="es-PE"/>
        </w:rPr>
        <w:t>N.°</w:t>
      </w:r>
      <w:proofErr w:type="spellEnd"/>
      <w:r w:rsidRPr="00826DFD">
        <w:rPr>
          <w:rFonts w:ascii="Arial" w:eastAsia="Calibri" w:hAnsi="Arial" w:cs="Arial"/>
          <w:b/>
          <w:sz w:val="22"/>
          <w:szCs w:val="22"/>
          <w:lang w:val="es-PE" w:eastAsia="es-PE"/>
        </w:rPr>
        <w:t xml:space="preserve"> 616 - Simplificado Trabajadores Independientes </w:t>
      </w:r>
    </w:p>
    <w:p w14:paraId="31519E0B" w14:textId="77777777" w:rsidR="00171171" w:rsidRPr="00826DFD" w:rsidRDefault="00171171" w:rsidP="00171171">
      <w:pPr>
        <w:pStyle w:val="NormalWeb"/>
        <w:spacing w:after="240" w:afterAutospacing="0"/>
        <w:jc w:val="both"/>
        <w:rPr>
          <w:rFonts w:ascii="Arial" w:eastAsia="Calibri" w:hAnsi="Arial" w:cs="Arial"/>
          <w:bCs/>
          <w:sz w:val="22"/>
          <w:szCs w:val="22"/>
          <w:lang w:val="es-PE" w:eastAsia="es-PE"/>
        </w:rPr>
      </w:pPr>
      <w:r w:rsidRPr="00826DFD">
        <w:rPr>
          <w:rFonts w:ascii="Arial" w:eastAsia="Calibri" w:hAnsi="Arial" w:cs="Arial"/>
          <w:bCs/>
          <w:sz w:val="22"/>
          <w:szCs w:val="22"/>
          <w:lang w:val="es-PE" w:eastAsia="es-PE"/>
        </w:rPr>
        <w:t xml:space="preserve">2.1. Modifíquese la denominación del Formulario Virtual </w:t>
      </w:r>
      <w:proofErr w:type="spellStart"/>
      <w:r w:rsidRPr="00826DFD">
        <w:rPr>
          <w:rFonts w:ascii="Arial" w:eastAsia="Calibri" w:hAnsi="Arial" w:cs="Arial"/>
          <w:bCs/>
          <w:sz w:val="22"/>
          <w:szCs w:val="22"/>
          <w:lang w:val="es-PE" w:eastAsia="es-PE"/>
        </w:rPr>
        <w:t>N.°</w:t>
      </w:r>
      <w:proofErr w:type="spellEnd"/>
      <w:r w:rsidRPr="00826DFD">
        <w:rPr>
          <w:rFonts w:ascii="Arial" w:eastAsia="Calibri" w:hAnsi="Arial" w:cs="Arial"/>
          <w:bCs/>
          <w:sz w:val="22"/>
          <w:szCs w:val="22"/>
          <w:lang w:val="es-PE" w:eastAsia="es-PE"/>
        </w:rPr>
        <w:t xml:space="preserve"> 616 - Simplificado Trabajadores Independientes, por la de “Formulario Virtual </w:t>
      </w:r>
      <w:proofErr w:type="spellStart"/>
      <w:r w:rsidRPr="00826DFD">
        <w:rPr>
          <w:rFonts w:ascii="Arial" w:eastAsia="Calibri" w:hAnsi="Arial" w:cs="Arial"/>
          <w:bCs/>
          <w:sz w:val="22"/>
          <w:szCs w:val="22"/>
          <w:lang w:val="es-PE" w:eastAsia="es-PE"/>
        </w:rPr>
        <w:t>N.°</w:t>
      </w:r>
      <w:proofErr w:type="spellEnd"/>
      <w:r w:rsidRPr="00826DFD">
        <w:rPr>
          <w:rFonts w:ascii="Arial" w:eastAsia="Calibri" w:hAnsi="Arial" w:cs="Arial"/>
          <w:bCs/>
          <w:sz w:val="22"/>
          <w:szCs w:val="22"/>
          <w:lang w:val="es-PE" w:eastAsia="es-PE"/>
        </w:rPr>
        <w:t xml:space="preserve"> 616 - Trabajadores Independientes”.</w:t>
      </w:r>
    </w:p>
    <w:p w14:paraId="2328D4C1" w14:textId="77777777" w:rsidR="00171171" w:rsidRPr="00826DFD" w:rsidRDefault="00171171" w:rsidP="00171171">
      <w:pPr>
        <w:pStyle w:val="NormalWeb"/>
        <w:spacing w:after="240" w:afterAutospacing="0"/>
        <w:jc w:val="both"/>
        <w:rPr>
          <w:rFonts w:ascii="Arial" w:eastAsia="Calibri" w:hAnsi="Arial" w:cs="Arial"/>
          <w:bCs/>
          <w:sz w:val="22"/>
          <w:szCs w:val="22"/>
          <w:lang w:val="es-PE" w:eastAsia="es-PE"/>
        </w:rPr>
      </w:pPr>
      <w:r w:rsidRPr="00826DFD">
        <w:rPr>
          <w:rFonts w:ascii="Arial" w:eastAsia="Calibri" w:hAnsi="Arial" w:cs="Arial"/>
          <w:bCs/>
          <w:sz w:val="22"/>
          <w:szCs w:val="22"/>
          <w:lang w:val="es-PE" w:eastAsia="es-PE"/>
        </w:rPr>
        <w:t xml:space="preserve">2.2. Toda referencia a la utilización del Formulario Virtual </w:t>
      </w:r>
      <w:proofErr w:type="spellStart"/>
      <w:r w:rsidRPr="00826DFD">
        <w:rPr>
          <w:rFonts w:ascii="Arial" w:eastAsia="Calibri" w:hAnsi="Arial" w:cs="Arial"/>
          <w:bCs/>
          <w:sz w:val="22"/>
          <w:szCs w:val="22"/>
          <w:lang w:val="es-PE" w:eastAsia="es-PE"/>
        </w:rPr>
        <w:t>N.°</w:t>
      </w:r>
      <w:proofErr w:type="spellEnd"/>
      <w:r w:rsidRPr="00826DFD">
        <w:rPr>
          <w:rFonts w:ascii="Arial" w:eastAsia="Calibri" w:hAnsi="Arial" w:cs="Arial"/>
          <w:bCs/>
          <w:sz w:val="22"/>
          <w:szCs w:val="22"/>
          <w:lang w:val="es-PE" w:eastAsia="es-PE"/>
        </w:rPr>
        <w:t xml:space="preserve"> 616 - Simplificado Trabajadores Independientes en la Resolución de Superintendencia </w:t>
      </w:r>
      <w:proofErr w:type="spellStart"/>
      <w:r w:rsidRPr="00826DFD">
        <w:rPr>
          <w:rFonts w:ascii="Arial" w:eastAsia="Calibri" w:hAnsi="Arial" w:cs="Arial"/>
          <w:bCs/>
          <w:sz w:val="22"/>
          <w:szCs w:val="22"/>
          <w:lang w:val="es-PE" w:eastAsia="es-PE"/>
        </w:rPr>
        <w:t>N.°</w:t>
      </w:r>
      <w:proofErr w:type="spellEnd"/>
      <w:r w:rsidRPr="00826DFD">
        <w:rPr>
          <w:rFonts w:ascii="Arial" w:eastAsia="Calibri" w:hAnsi="Arial" w:cs="Arial"/>
          <w:bCs/>
          <w:sz w:val="22"/>
          <w:szCs w:val="22"/>
          <w:lang w:val="es-PE" w:eastAsia="es-PE"/>
        </w:rPr>
        <w:t xml:space="preserve"> 174-2011/SUNAT y en otras resoluciones de superintendencia, entiéndase efectuada al Formulario Virtual </w:t>
      </w:r>
      <w:proofErr w:type="spellStart"/>
      <w:r w:rsidRPr="00826DFD">
        <w:rPr>
          <w:rFonts w:ascii="Arial" w:eastAsia="Calibri" w:hAnsi="Arial" w:cs="Arial"/>
          <w:bCs/>
          <w:sz w:val="22"/>
          <w:szCs w:val="22"/>
          <w:lang w:val="es-PE" w:eastAsia="es-PE"/>
        </w:rPr>
        <w:t>N.°</w:t>
      </w:r>
      <w:proofErr w:type="spellEnd"/>
      <w:r w:rsidRPr="00826DFD">
        <w:rPr>
          <w:rFonts w:ascii="Arial" w:eastAsia="Calibri" w:hAnsi="Arial" w:cs="Arial"/>
          <w:bCs/>
          <w:sz w:val="22"/>
          <w:szCs w:val="22"/>
          <w:lang w:val="es-PE" w:eastAsia="es-PE"/>
        </w:rPr>
        <w:t xml:space="preserve"> 616 - Trabajadores Independientes.</w:t>
      </w:r>
    </w:p>
    <w:p w14:paraId="7076B1E6" w14:textId="77777777" w:rsidR="00171171" w:rsidRPr="00826DFD" w:rsidRDefault="00171171" w:rsidP="00171171">
      <w:pPr>
        <w:pStyle w:val="NormalWeb"/>
        <w:jc w:val="both"/>
        <w:rPr>
          <w:rFonts w:ascii="Arial" w:hAnsi="Arial" w:cs="Arial"/>
          <w:b/>
          <w:sz w:val="22"/>
          <w:szCs w:val="22"/>
        </w:rPr>
      </w:pPr>
      <w:r w:rsidRPr="00826DFD">
        <w:rPr>
          <w:rFonts w:ascii="Arial" w:hAnsi="Arial" w:cs="Arial"/>
          <w:b/>
          <w:sz w:val="22"/>
          <w:szCs w:val="22"/>
        </w:rPr>
        <w:t xml:space="preserve">Artículo 3. Modificaciones a la Resolución de Superintendencia </w:t>
      </w:r>
      <w:proofErr w:type="spellStart"/>
      <w:r w:rsidRPr="00826DFD">
        <w:rPr>
          <w:rFonts w:ascii="Arial" w:hAnsi="Arial" w:cs="Arial"/>
          <w:b/>
          <w:sz w:val="22"/>
          <w:szCs w:val="22"/>
        </w:rPr>
        <w:t>N.°</w:t>
      </w:r>
      <w:proofErr w:type="spellEnd"/>
      <w:r w:rsidRPr="00826DFD">
        <w:rPr>
          <w:rFonts w:ascii="Arial" w:hAnsi="Arial" w:cs="Arial"/>
          <w:b/>
          <w:sz w:val="22"/>
          <w:szCs w:val="22"/>
        </w:rPr>
        <w:t xml:space="preserve"> 174-2011/SUNAT</w:t>
      </w:r>
    </w:p>
    <w:p w14:paraId="1493B0D4" w14:textId="77777777" w:rsidR="00171171" w:rsidRPr="00826DFD" w:rsidRDefault="00171171" w:rsidP="00171171">
      <w:pPr>
        <w:pStyle w:val="NormalWeb"/>
        <w:jc w:val="both"/>
        <w:rPr>
          <w:rFonts w:ascii="Arial" w:hAnsi="Arial" w:cs="Arial"/>
          <w:bCs/>
          <w:sz w:val="22"/>
          <w:szCs w:val="22"/>
        </w:rPr>
      </w:pPr>
      <w:proofErr w:type="spellStart"/>
      <w:r w:rsidRPr="00826DFD">
        <w:rPr>
          <w:rFonts w:ascii="Arial" w:hAnsi="Arial" w:cs="Arial"/>
          <w:bCs/>
          <w:sz w:val="22"/>
          <w:szCs w:val="22"/>
        </w:rPr>
        <w:t>Modifícase</w:t>
      </w:r>
      <w:proofErr w:type="spellEnd"/>
      <w:r w:rsidRPr="00826DFD">
        <w:rPr>
          <w:rFonts w:ascii="Arial" w:hAnsi="Arial" w:cs="Arial"/>
          <w:bCs/>
          <w:sz w:val="22"/>
          <w:szCs w:val="22"/>
        </w:rPr>
        <w:t xml:space="preserve"> los incisos b) y c) del artículo 1; el artículo 2; el numeral 5.1, el encabezado y el literal b) del numeral 5.2 del artículo 5 y el artículo 9 de la Resolución de Superintendencia </w:t>
      </w:r>
      <w:proofErr w:type="spellStart"/>
      <w:r w:rsidRPr="00826DFD">
        <w:rPr>
          <w:rFonts w:ascii="Arial" w:hAnsi="Arial" w:cs="Arial"/>
          <w:bCs/>
          <w:sz w:val="22"/>
          <w:szCs w:val="22"/>
        </w:rPr>
        <w:t>N.°</w:t>
      </w:r>
      <w:proofErr w:type="spellEnd"/>
      <w:r w:rsidRPr="00826DFD">
        <w:rPr>
          <w:rFonts w:ascii="Arial" w:hAnsi="Arial" w:cs="Arial"/>
          <w:bCs/>
          <w:sz w:val="22"/>
          <w:szCs w:val="22"/>
        </w:rPr>
        <w:t xml:space="preserve"> 174-2011/SUNAT, en los siguientes términos:</w:t>
      </w:r>
    </w:p>
    <w:p w14:paraId="00F37AA1" w14:textId="77777777" w:rsidR="00171171" w:rsidRPr="00826DFD" w:rsidRDefault="00171171" w:rsidP="00171171">
      <w:pPr>
        <w:pStyle w:val="NormalWeb"/>
        <w:jc w:val="both"/>
        <w:rPr>
          <w:rFonts w:ascii="Arial" w:hAnsi="Arial" w:cs="Arial"/>
          <w:bCs/>
          <w:sz w:val="22"/>
          <w:szCs w:val="22"/>
        </w:rPr>
      </w:pPr>
      <w:r w:rsidRPr="00826DFD">
        <w:rPr>
          <w:rFonts w:ascii="Arial" w:hAnsi="Arial" w:cs="Arial"/>
          <w:bCs/>
          <w:sz w:val="22"/>
          <w:szCs w:val="22"/>
        </w:rPr>
        <w:t>“Artículo 1.- DEFINICIONES</w:t>
      </w:r>
    </w:p>
    <w:p w14:paraId="17B41C27" w14:textId="77777777" w:rsidR="00171171" w:rsidRPr="00826DFD" w:rsidRDefault="00171171" w:rsidP="00171171">
      <w:pPr>
        <w:pStyle w:val="NormalWeb"/>
        <w:jc w:val="both"/>
        <w:rPr>
          <w:rFonts w:ascii="Arial" w:hAnsi="Arial" w:cs="Arial"/>
          <w:bCs/>
          <w:sz w:val="22"/>
          <w:szCs w:val="22"/>
        </w:rPr>
      </w:pPr>
      <w:r w:rsidRPr="00826DFD">
        <w:rPr>
          <w:rFonts w:ascii="Arial" w:hAnsi="Arial" w:cs="Arial"/>
          <w:bCs/>
          <w:sz w:val="22"/>
          <w:szCs w:val="22"/>
        </w:rPr>
        <w:lastRenderedPageBreak/>
        <w:t>(…)</w:t>
      </w:r>
    </w:p>
    <w:tbl>
      <w:tblPr>
        <w:tblW w:w="9030" w:type="dxa"/>
        <w:tblCellSpacing w:w="0" w:type="dxa"/>
        <w:tblInd w:w="142" w:type="dxa"/>
        <w:tblCellMar>
          <w:top w:w="36" w:type="dxa"/>
          <w:left w:w="36" w:type="dxa"/>
          <w:bottom w:w="36" w:type="dxa"/>
          <w:right w:w="36" w:type="dxa"/>
        </w:tblCellMar>
        <w:tblLook w:val="04A0" w:firstRow="1" w:lastRow="0" w:firstColumn="1" w:lastColumn="0" w:noHBand="0" w:noVBand="1"/>
      </w:tblPr>
      <w:tblGrid>
        <w:gridCol w:w="841"/>
        <w:gridCol w:w="2106"/>
        <w:gridCol w:w="560"/>
        <w:gridCol w:w="100"/>
        <w:gridCol w:w="560"/>
        <w:gridCol w:w="4215"/>
        <w:gridCol w:w="648"/>
      </w:tblGrid>
      <w:tr w:rsidR="00171171" w:rsidRPr="00826DFD" w14:paraId="280F6460" w14:textId="77777777" w:rsidTr="00E13976">
        <w:trPr>
          <w:gridAfter w:val="1"/>
          <w:wAfter w:w="667" w:type="dxa"/>
          <w:tblCellSpacing w:w="0" w:type="dxa"/>
        </w:trPr>
        <w:tc>
          <w:tcPr>
            <w:tcW w:w="694" w:type="dxa"/>
          </w:tcPr>
          <w:p w14:paraId="73A8B758" w14:textId="77777777" w:rsidR="00171171" w:rsidRPr="00826DFD" w:rsidRDefault="00171171" w:rsidP="00E13976">
            <w:pPr>
              <w:pStyle w:val="NormalWeb"/>
              <w:spacing w:before="0" w:beforeAutospacing="0" w:after="0" w:afterAutospacing="0"/>
              <w:ind w:left="268"/>
              <w:rPr>
                <w:rFonts w:ascii="Arial" w:hAnsi="Arial" w:cs="Arial"/>
                <w:sz w:val="22"/>
                <w:szCs w:val="22"/>
              </w:rPr>
            </w:pPr>
            <w:r w:rsidRPr="00826DFD">
              <w:rPr>
                <w:rFonts w:ascii="Arial" w:hAnsi="Arial" w:cs="Arial"/>
                <w:sz w:val="22"/>
                <w:szCs w:val="22"/>
              </w:rPr>
              <w:t>b)</w:t>
            </w:r>
          </w:p>
        </w:tc>
        <w:tc>
          <w:tcPr>
            <w:tcW w:w="2141" w:type="dxa"/>
          </w:tcPr>
          <w:p w14:paraId="2A8E92A2" w14:textId="77777777" w:rsidR="00171171" w:rsidRPr="00826DFD" w:rsidRDefault="00171171" w:rsidP="00E13976">
            <w:pPr>
              <w:pStyle w:val="NormalWeb"/>
              <w:spacing w:before="0" w:beforeAutospacing="0" w:after="0" w:afterAutospacing="0"/>
              <w:ind w:left="117"/>
              <w:jc w:val="both"/>
              <w:rPr>
                <w:rFonts w:ascii="Arial" w:hAnsi="Arial" w:cs="Arial"/>
                <w:sz w:val="22"/>
                <w:szCs w:val="22"/>
              </w:rPr>
            </w:pPr>
            <w:r w:rsidRPr="00826DFD">
              <w:rPr>
                <w:rFonts w:ascii="Arial" w:hAnsi="Arial" w:cs="Arial"/>
                <w:sz w:val="22"/>
                <w:szCs w:val="22"/>
              </w:rPr>
              <w:t>Clave SOL</w:t>
            </w:r>
          </w:p>
        </w:tc>
        <w:tc>
          <w:tcPr>
            <w:tcW w:w="560" w:type="dxa"/>
          </w:tcPr>
          <w:p w14:paraId="3A9C230C" w14:textId="77777777" w:rsidR="00171171" w:rsidRPr="00826DFD" w:rsidRDefault="00171171" w:rsidP="00E13976">
            <w:pPr>
              <w:pStyle w:val="NormalWeb"/>
              <w:spacing w:before="0" w:beforeAutospacing="0" w:after="0" w:afterAutospacing="0"/>
              <w:ind w:left="426"/>
              <w:jc w:val="both"/>
              <w:rPr>
                <w:rFonts w:ascii="Arial" w:hAnsi="Arial" w:cs="Arial"/>
                <w:sz w:val="22"/>
                <w:szCs w:val="22"/>
              </w:rPr>
            </w:pPr>
            <w:r w:rsidRPr="00826DFD">
              <w:rPr>
                <w:rFonts w:ascii="Arial" w:hAnsi="Arial" w:cs="Arial"/>
                <w:sz w:val="22"/>
                <w:szCs w:val="22"/>
              </w:rPr>
              <w:t>:</w:t>
            </w:r>
          </w:p>
        </w:tc>
        <w:tc>
          <w:tcPr>
            <w:tcW w:w="4968" w:type="dxa"/>
            <w:gridSpan w:val="3"/>
          </w:tcPr>
          <w:p w14:paraId="12F9672B" w14:textId="77777777" w:rsidR="00171171" w:rsidRPr="00826DFD" w:rsidRDefault="00171171" w:rsidP="00E13976">
            <w:pPr>
              <w:pStyle w:val="NormalWeb"/>
              <w:spacing w:before="0" w:beforeAutospacing="0" w:after="0" w:afterAutospacing="0"/>
              <w:ind w:left="426"/>
              <w:jc w:val="both"/>
              <w:rPr>
                <w:rFonts w:ascii="Arial" w:hAnsi="Arial" w:cs="Arial"/>
                <w:sz w:val="22"/>
                <w:szCs w:val="22"/>
              </w:rPr>
            </w:pPr>
            <w:r w:rsidRPr="00826DFD">
              <w:rPr>
                <w:rFonts w:ascii="Arial" w:hAnsi="Arial" w:cs="Arial"/>
                <w:sz w:val="22"/>
                <w:szCs w:val="22"/>
              </w:rPr>
              <w:t>Al texto conformado por números y/o letras de conocimiento exclusivo del usuario, que asociado al código de usuario o al número del documento nacional de identidad (DNI), según corresponda, otorga privacidad en el acceso a SUNAT Operaciones en Línea.</w:t>
            </w:r>
          </w:p>
          <w:p w14:paraId="04F78E01" w14:textId="77777777" w:rsidR="00171171" w:rsidRPr="00826DFD" w:rsidRDefault="00171171" w:rsidP="00E13976">
            <w:pPr>
              <w:pStyle w:val="NormalWeb"/>
              <w:spacing w:before="0" w:beforeAutospacing="0" w:after="0" w:afterAutospacing="0"/>
              <w:ind w:left="426"/>
              <w:jc w:val="both"/>
              <w:rPr>
                <w:rFonts w:ascii="Arial" w:hAnsi="Arial" w:cs="Arial"/>
                <w:sz w:val="22"/>
                <w:szCs w:val="22"/>
              </w:rPr>
            </w:pPr>
          </w:p>
        </w:tc>
      </w:tr>
      <w:tr w:rsidR="00171171" w:rsidRPr="00826DFD" w14:paraId="1FCF464F" w14:textId="77777777" w:rsidTr="00E13976">
        <w:trPr>
          <w:gridAfter w:val="1"/>
          <w:wAfter w:w="667" w:type="dxa"/>
          <w:tblCellSpacing w:w="0" w:type="dxa"/>
        </w:trPr>
        <w:tc>
          <w:tcPr>
            <w:tcW w:w="694" w:type="dxa"/>
          </w:tcPr>
          <w:p w14:paraId="718A9090" w14:textId="77777777" w:rsidR="00171171" w:rsidRPr="00826DFD" w:rsidRDefault="00171171" w:rsidP="00E13976">
            <w:pPr>
              <w:pStyle w:val="NormalWeb"/>
              <w:spacing w:before="0" w:beforeAutospacing="0" w:after="0" w:afterAutospacing="0"/>
              <w:ind w:left="268"/>
              <w:rPr>
                <w:rFonts w:ascii="Arial" w:hAnsi="Arial" w:cs="Arial"/>
                <w:sz w:val="22"/>
                <w:szCs w:val="22"/>
              </w:rPr>
            </w:pPr>
            <w:r w:rsidRPr="00826DFD">
              <w:rPr>
                <w:rFonts w:ascii="Arial" w:hAnsi="Arial" w:cs="Arial"/>
                <w:sz w:val="22"/>
                <w:szCs w:val="22"/>
              </w:rPr>
              <w:t>c)</w:t>
            </w:r>
          </w:p>
        </w:tc>
        <w:tc>
          <w:tcPr>
            <w:tcW w:w="2141" w:type="dxa"/>
            <w:hideMark/>
          </w:tcPr>
          <w:p w14:paraId="6BD8CE69" w14:textId="77777777" w:rsidR="00171171" w:rsidRPr="00826DFD" w:rsidRDefault="00171171" w:rsidP="00E13976">
            <w:pPr>
              <w:pStyle w:val="NormalWeb"/>
              <w:spacing w:before="0" w:beforeAutospacing="0" w:after="0" w:afterAutospacing="0"/>
              <w:ind w:left="117"/>
              <w:jc w:val="both"/>
              <w:rPr>
                <w:rFonts w:ascii="Arial" w:eastAsiaTheme="minorEastAsia" w:hAnsi="Arial" w:cs="Arial"/>
                <w:sz w:val="22"/>
                <w:szCs w:val="22"/>
              </w:rPr>
            </w:pPr>
            <w:r w:rsidRPr="00826DFD">
              <w:rPr>
                <w:rFonts w:ascii="Arial" w:hAnsi="Arial" w:cs="Arial"/>
                <w:sz w:val="22"/>
                <w:szCs w:val="22"/>
              </w:rPr>
              <w:t>Código de Usuario</w:t>
            </w:r>
          </w:p>
        </w:tc>
        <w:tc>
          <w:tcPr>
            <w:tcW w:w="560" w:type="dxa"/>
            <w:hideMark/>
          </w:tcPr>
          <w:p w14:paraId="777373C6" w14:textId="77777777" w:rsidR="00171171" w:rsidRPr="00826DFD" w:rsidRDefault="00171171" w:rsidP="00E13976">
            <w:pPr>
              <w:pStyle w:val="NormalWeb"/>
              <w:spacing w:before="0" w:beforeAutospacing="0" w:after="0" w:afterAutospacing="0"/>
              <w:ind w:left="426"/>
              <w:jc w:val="both"/>
              <w:rPr>
                <w:rFonts w:ascii="Arial" w:hAnsi="Arial" w:cs="Arial"/>
                <w:sz w:val="22"/>
                <w:szCs w:val="22"/>
              </w:rPr>
            </w:pPr>
            <w:r w:rsidRPr="00826DFD">
              <w:rPr>
                <w:rFonts w:ascii="Arial" w:hAnsi="Arial" w:cs="Arial"/>
                <w:sz w:val="22"/>
                <w:szCs w:val="22"/>
              </w:rPr>
              <w:t>:</w:t>
            </w:r>
          </w:p>
        </w:tc>
        <w:tc>
          <w:tcPr>
            <w:tcW w:w="4968" w:type="dxa"/>
            <w:gridSpan w:val="3"/>
            <w:hideMark/>
          </w:tcPr>
          <w:p w14:paraId="232D66D9" w14:textId="77777777" w:rsidR="00171171" w:rsidRPr="00826DFD" w:rsidRDefault="00171171" w:rsidP="00E13976">
            <w:pPr>
              <w:pStyle w:val="NormalWeb"/>
              <w:spacing w:before="0" w:beforeAutospacing="0" w:after="0" w:afterAutospacing="0"/>
              <w:ind w:left="426"/>
              <w:jc w:val="both"/>
              <w:rPr>
                <w:rFonts w:ascii="Arial" w:hAnsi="Arial" w:cs="Arial"/>
                <w:sz w:val="22"/>
                <w:szCs w:val="22"/>
              </w:rPr>
            </w:pPr>
            <w:r w:rsidRPr="00826DFD">
              <w:rPr>
                <w:rFonts w:ascii="Arial" w:hAnsi="Arial" w:cs="Arial"/>
                <w:sz w:val="22"/>
                <w:szCs w:val="22"/>
              </w:rPr>
              <w:t>Al texto conformado por números y/o letras, que permite identificar al usuario que ingresa a SUNAT Operaciones en Línea.</w:t>
            </w:r>
          </w:p>
        </w:tc>
      </w:tr>
      <w:tr w:rsidR="00171171" w:rsidRPr="00826DFD" w14:paraId="4EDA7A08" w14:textId="77777777" w:rsidTr="00E13976">
        <w:trPr>
          <w:tblCellSpacing w:w="0" w:type="dxa"/>
        </w:trPr>
        <w:tc>
          <w:tcPr>
            <w:tcW w:w="694" w:type="dxa"/>
          </w:tcPr>
          <w:p w14:paraId="6DC9165E" w14:textId="77777777" w:rsidR="00171171" w:rsidRPr="00826DFD" w:rsidRDefault="00171171" w:rsidP="00E13976">
            <w:pPr>
              <w:ind w:left="268"/>
              <w:rPr>
                <w:rFonts w:ascii="Arial" w:hAnsi="Arial" w:cs="Arial"/>
                <w:sz w:val="22"/>
                <w:szCs w:val="22"/>
              </w:rPr>
            </w:pPr>
            <w:r w:rsidRPr="00826DFD">
              <w:rPr>
                <w:rFonts w:ascii="Arial" w:hAnsi="Arial" w:cs="Arial"/>
                <w:sz w:val="22"/>
                <w:szCs w:val="22"/>
              </w:rPr>
              <w:t>(…)”.</w:t>
            </w:r>
          </w:p>
        </w:tc>
        <w:tc>
          <w:tcPr>
            <w:tcW w:w="2803" w:type="dxa"/>
            <w:gridSpan w:val="3"/>
            <w:hideMark/>
          </w:tcPr>
          <w:p w14:paraId="566C13E6" w14:textId="77777777" w:rsidR="00171171" w:rsidRPr="00826DFD" w:rsidRDefault="00171171" w:rsidP="00E13976">
            <w:pPr>
              <w:ind w:left="426"/>
              <w:jc w:val="both"/>
              <w:rPr>
                <w:rFonts w:ascii="Arial" w:hAnsi="Arial" w:cs="Arial"/>
                <w:sz w:val="22"/>
                <w:szCs w:val="22"/>
              </w:rPr>
            </w:pPr>
            <w:r w:rsidRPr="00826DFD">
              <w:rPr>
                <w:rFonts w:ascii="Arial" w:hAnsi="Arial" w:cs="Arial"/>
                <w:sz w:val="22"/>
                <w:szCs w:val="22"/>
              </w:rPr>
              <w:t> </w:t>
            </w:r>
          </w:p>
        </w:tc>
        <w:tc>
          <w:tcPr>
            <w:tcW w:w="560" w:type="dxa"/>
            <w:hideMark/>
          </w:tcPr>
          <w:p w14:paraId="0B445339" w14:textId="77777777" w:rsidR="00171171" w:rsidRPr="00826DFD" w:rsidRDefault="00171171" w:rsidP="00E13976">
            <w:pPr>
              <w:ind w:left="426"/>
              <w:jc w:val="both"/>
              <w:rPr>
                <w:rFonts w:ascii="Arial" w:hAnsi="Arial" w:cs="Arial"/>
                <w:sz w:val="22"/>
                <w:szCs w:val="22"/>
              </w:rPr>
            </w:pPr>
            <w:r w:rsidRPr="00826DFD">
              <w:rPr>
                <w:rFonts w:ascii="Arial" w:hAnsi="Arial" w:cs="Arial"/>
                <w:sz w:val="22"/>
                <w:szCs w:val="22"/>
              </w:rPr>
              <w:t> </w:t>
            </w:r>
          </w:p>
        </w:tc>
        <w:tc>
          <w:tcPr>
            <w:tcW w:w="4973" w:type="dxa"/>
            <w:gridSpan w:val="2"/>
            <w:hideMark/>
          </w:tcPr>
          <w:p w14:paraId="57395E10" w14:textId="77777777" w:rsidR="00171171" w:rsidRPr="00826DFD" w:rsidRDefault="00171171" w:rsidP="00E13976">
            <w:pPr>
              <w:ind w:left="426"/>
              <w:jc w:val="both"/>
              <w:rPr>
                <w:rFonts w:ascii="Arial" w:hAnsi="Arial" w:cs="Arial"/>
                <w:sz w:val="22"/>
                <w:szCs w:val="22"/>
              </w:rPr>
            </w:pPr>
            <w:r w:rsidRPr="00826DFD">
              <w:rPr>
                <w:rFonts w:ascii="Arial" w:hAnsi="Arial" w:cs="Arial"/>
                <w:sz w:val="22"/>
                <w:szCs w:val="22"/>
              </w:rPr>
              <w:t> </w:t>
            </w:r>
          </w:p>
        </w:tc>
      </w:tr>
    </w:tbl>
    <w:p w14:paraId="2E88662A" w14:textId="77777777" w:rsidR="00171171" w:rsidRPr="00826DFD" w:rsidRDefault="00171171" w:rsidP="00171171">
      <w:pPr>
        <w:pStyle w:val="NormalWeb"/>
        <w:jc w:val="both"/>
        <w:rPr>
          <w:rFonts w:ascii="Arial" w:hAnsi="Arial" w:cs="Arial"/>
          <w:bCs/>
          <w:sz w:val="22"/>
          <w:szCs w:val="22"/>
        </w:rPr>
      </w:pPr>
      <w:r w:rsidRPr="00826DFD">
        <w:rPr>
          <w:rFonts w:ascii="Arial" w:hAnsi="Arial" w:cs="Arial"/>
          <w:bCs/>
          <w:sz w:val="22"/>
          <w:szCs w:val="22"/>
        </w:rPr>
        <w:t>“Artículo 2.- ÁMBITO DE APLICACIÓN</w:t>
      </w:r>
    </w:p>
    <w:p w14:paraId="41C42A41" w14:textId="77777777" w:rsidR="00171171" w:rsidRPr="00826DFD" w:rsidRDefault="00171171" w:rsidP="00171171">
      <w:pPr>
        <w:pStyle w:val="NormalWeb"/>
        <w:jc w:val="both"/>
        <w:rPr>
          <w:rFonts w:ascii="Arial" w:hAnsi="Arial" w:cs="Arial"/>
          <w:bCs/>
          <w:sz w:val="22"/>
          <w:szCs w:val="22"/>
        </w:rPr>
      </w:pPr>
      <w:r w:rsidRPr="00826DFD">
        <w:rPr>
          <w:rFonts w:ascii="Arial" w:hAnsi="Arial" w:cs="Arial"/>
          <w:bCs/>
          <w:sz w:val="22"/>
          <w:szCs w:val="22"/>
        </w:rPr>
        <w:t>La presente resolución tiene por finalidad aprobar las normas para que los sujetos perceptores de rentas de cuarta categoría utilicen el formulario virtual que se aprueba en el artículo 3, siempre que se encuentren obligados a cumplir con declarar y realizar el pago a cuenta mensual del Impuesto a la Renta de cuarta categoría.”</w:t>
      </w:r>
    </w:p>
    <w:p w14:paraId="1D95E704" w14:textId="77777777" w:rsidR="00171171" w:rsidRPr="00826DFD" w:rsidRDefault="00171171" w:rsidP="00171171">
      <w:pPr>
        <w:pStyle w:val="NormalWeb"/>
        <w:jc w:val="both"/>
        <w:rPr>
          <w:rFonts w:ascii="Arial" w:hAnsi="Arial" w:cs="Arial"/>
          <w:bCs/>
          <w:sz w:val="22"/>
          <w:szCs w:val="22"/>
        </w:rPr>
      </w:pPr>
      <w:r w:rsidRPr="00826DFD">
        <w:rPr>
          <w:rFonts w:ascii="Arial" w:hAnsi="Arial" w:cs="Arial"/>
          <w:bCs/>
          <w:sz w:val="22"/>
          <w:szCs w:val="22"/>
        </w:rPr>
        <w:t>“Artículo 5.- FORMA Y CONDICIONES PARA LA PRESENTACIÓN DE LA DECLARACIÓN Y PAGO A CUENTA MENSUAL DEL IMPUESTO A LA RENTA DE CUARTA CATEGORÍA</w:t>
      </w:r>
    </w:p>
    <w:p w14:paraId="1ACC5168" w14:textId="77777777" w:rsidR="00171171" w:rsidRPr="00826DFD" w:rsidRDefault="00171171" w:rsidP="00171171">
      <w:pPr>
        <w:pStyle w:val="NormalWeb"/>
        <w:ind w:left="567" w:hanging="567"/>
        <w:jc w:val="both"/>
        <w:rPr>
          <w:rFonts w:ascii="Arial" w:hAnsi="Arial" w:cs="Arial"/>
          <w:bCs/>
          <w:sz w:val="22"/>
          <w:szCs w:val="22"/>
        </w:rPr>
      </w:pPr>
      <w:r w:rsidRPr="00826DFD">
        <w:rPr>
          <w:rFonts w:ascii="Arial" w:hAnsi="Arial" w:cs="Arial"/>
          <w:bCs/>
          <w:sz w:val="22"/>
          <w:szCs w:val="22"/>
        </w:rPr>
        <w:t>5.1.</w:t>
      </w:r>
      <w:r w:rsidRPr="00826DFD">
        <w:rPr>
          <w:rFonts w:ascii="Arial" w:hAnsi="Arial" w:cs="Arial"/>
          <w:bCs/>
          <w:sz w:val="22"/>
          <w:szCs w:val="22"/>
        </w:rPr>
        <w:tab/>
        <w:t xml:space="preserve">El Formulario Virtual </w:t>
      </w:r>
      <w:proofErr w:type="spellStart"/>
      <w:r w:rsidRPr="00826DFD">
        <w:rPr>
          <w:rFonts w:ascii="Arial" w:hAnsi="Arial" w:cs="Arial"/>
          <w:bCs/>
          <w:sz w:val="22"/>
          <w:szCs w:val="22"/>
        </w:rPr>
        <w:t>N.°</w:t>
      </w:r>
      <w:proofErr w:type="spellEnd"/>
      <w:r w:rsidRPr="00826DFD">
        <w:rPr>
          <w:rFonts w:ascii="Arial" w:hAnsi="Arial" w:cs="Arial"/>
          <w:bCs/>
          <w:sz w:val="22"/>
          <w:szCs w:val="22"/>
        </w:rPr>
        <w:t xml:space="preserve"> 616 - Trabajadores Independientes es utilizado para la presentación de las declaraciones originales, sustitutorias o </w:t>
      </w:r>
      <w:proofErr w:type="spellStart"/>
      <w:r w:rsidRPr="00826DFD">
        <w:rPr>
          <w:rFonts w:ascii="Arial" w:hAnsi="Arial" w:cs="Arial"/>
          <w:bCs/>
          <w:sz w:val="22"/>
          <w:szCs w:val="22"/>
        </w:rPr>
        <w:t>rectificatorias</w:t>
      </w:r>
      <w:proofErr w:type="spellEnd"/>
      <w:r w:rsidRPr="00826DFD">
        <w:rPr>
          <w:rFonts w:ascii="Arial" w:hAnsi="Arial" w:cs="Arial"/>
          <w:bCs/>
          <w:sz w:val="22"/>
          <w:szCs w:val="22"/>
        </w:rPr>
        <w:t xml:space="preserve"> del pago a cuenta mensual del Impuesto a la Renta de cuarta categoría.</w:t>
      </w:r>
    </w:p>
    <w:p w14:paraId="2B5BCB2A" w14:textId="77777777" w:rsidR="00171171" w:rsidRPr="00826DFD" w:rsidRDefault="00171171" w:rsidP="00171171">
      <w:pPr>
        <w:pStyle w:val="NormalWeb"/>
        <w:ind w:left="567" w:hanging="567"/>
        <w:jc w:val="both"/>
        <w:rPr>
          <w:rFonts w:ascii="Arial" w:hAnsi="Arial" w:cs="Arial"/>
          <w:bCs/>
          <w:sz w:val="22"/>
          <w:szCs w:val="22"/>
        </w:rPr>
      </w:pPr>
      <w:r w:rsidRPr="00826DFD">
        <w:rPr>
          <w:rFonts w:ascii="Arial" w:hAnsi="Arial" w:cs="Arial"/>
          <w:bCs/>
          <w:sz w:val="22"/>
          <w:szCs w:val="22"/>
        </w:rPr>
        <w:t>5.2.</w:t>
      </w:r>
      <w:r w:rsidRPr="00826DFD">
        <w:rPr>
          <w:rFonts w:ascii="Arial" w:hAnsi="Arial" w:cs="Arial"/>
          <w:bCs/>
          <w:sz w:val="22"/>
          <w:szCs w:val="22"/>
        </w:rPr>
        <w:tab/>
        <w:t xml:space="preserve">La presentación de la declaración mediante el Formulario Virtual </w:t>
      </w:r>
      <w:proofErr w:type="spellStart"/>
      <w:r w:rsidRPr="00826DFD">
        <w:rPr>
          <w:rFonts w:ascii="Arial" w:hAnsi="Arial" w:cs="Arial"/>
          <w:bCs/>
          <w:sz w:val="22"/>
          <w:szCs w:val="22"/>
        </w:rPr>
        <w:t>N.°</w:t>
      </w:r>
      <w:proofErr w:type="spellEnd"/>
      <w:r w:rsidRPr="00826DFD">
        <w:rPr>
          <w:rFonts w:ascii="Arial" w:hAnsi="Arial" w:cs="Arial"/>
          <w:bCs/>
          <w:sz w:val="22"/>
          <w:szCs w:val="22"/>
        </w:rPr>
        <w:t xml:space="preserve"> 616 Trabajadores Independientes se realiza a través de SUNAT Virtual, para lo cual el sujeto perceptor de rentas de cuarta categoría debe:</w:t>
      </w:r>
    </w:p>
    <w:p w14:paraId="7B8DCF90" w14:textId="77777777" w:rsidR="00171171" w:rsidRPr="00826DFD" w:rsidRDefault="00171171" w:rsidP="00171171">
      <w:pPr>
        <w:pStyle w:val="NormalWeb"/>
        <w:ind w:left="567" w:hanging="119"/>
        <w:jc w:val="both"/>
        <w:rPr>
          <w:rFonts w:ascii="Arial" w:hAnsi="Arial" w:cs="Arial"/>
          <w:bCs/>
          <w:sz w:val="22"/>
          <w:szCs w:val="22"/>
        </w:rPr>
      </w:pPr>
      <w:r w:rsidRPr="00826DFD">
        <w:rPr>
          <w:rFonts w:ascii="Arial" w:hAnsi="Arial" w:cs="Arial"/>
          <w:bCs/>
          <w:sz w:val="22"/>
          <w:szCs w:val="22"/>
        </w:rPr>
        <w:tab/>
        <w:t xml:space="preserve">(…) </w:t>
      </w:r>
    </w:p>
    <w:p w14:paraId="0A60C831" w14:textId="77777777" w:rsidR="00171171" w:rsidRPr="00826DFD" w:rsidRDefault="00171171" w:rsidP="00171171">
      <w:pPr>
        <w:pStyle w:val="NormalWeb"/>
        <w:ind w:left="851" w:hanging="284"/>
        <w:jc w:val="both"/>
        <w:rPr>
          <w:rFonts w:ascii="Arial" w:hAnsi="Arial" w:cs="Arial"/>
          <w:bCs/>
          <w:sz w:val="22"/>
          <w:szCs w:val="22"/>
        </w:rPr>
      </w:pPr>
      <w:r w:rsidRPr="00826DFD">
        <w:rPr>
          <w:rFonts w:ascii="Arial" w:hAnsi="Arial" w:cs="Arial"/>
          <w:bCs/>
          <w:sz w:val="22"/>
          <w:szCs w:val="22"/>
        </w:rPr>
        <w:t xml:space="preserve">b) Ubicar el Formulario Virtual </w:t>
      </w:r>
      <w:proofErr w:type="spellStart"/>
      <w:r w:rsidRPr="00826DFD">
        <w:rPr>
          <w:rFonts w:ascii="Arial" w:hAnsi="Arial" w:cs="Arial"/>
          <w:bCs/>
          <w:sz w:val="22"/>
          <w:szCs w:val="22"/>
        </w:rPr>
        <w:t>N.°</w:t>
      </w:r>
      <w:proofErr w:type="spellEnd"/>
      <w:r w:rsidRPr="00826DFD">
        <w:rPr>
          <w:rFonts w:ascii="Arial" w:hAnsi="Arial" w:cs="Arial"/>
          <w:bCs/>
          <w:sz w:val="22"/>
          <w:szCs w:val="22"/>
        </w:rPr>
        <w:t xml:space="preserve"> 616 - Trabajadores Independientes e ingresar la información que corresponda al período tributario a declarar siguiendo las indicaciones que se detallan en dicho formulario, teniendo en cuenta que: </w:t>
      </w:r>
    </w:p>
    <w:p w14:paraId="3DECC376" w14:textId="77777777" w:rsidR="00171171" w:rsidRPr="00826DFD" w:rsidRDefault="00171171" w:rsidP="00171171">
      <w:pPr>
        <w:pStyle w:val="NormalWeb"/>
        <w:tabs>
          <w:tab w:val="left" w:pos="1414"/>
        </w:tabs>
        <w:ind w:left="1414" w:hanging="563"/>
        <w:jc w:val="both"/>
        <w:rPr>
          <w:rFonts w:ascii="Arial" w:hAnsi="Arial" w:cs="Arial"/>
          <w:bCs/>
          <w:sz w:val="22"/>
          <w:szCs w:val="22"/>
        </w:rPr>
      </w:pPr>
      <w:r w:rsidRPr="00826DFD">
        <w:rPr>
          <w:rFonts w:ascii="Arial" w:hAnsi="Arial" w:cs="Arial"/>
          <w:bCs/>
          <w:sz w:val="22"/>
          <w:szCs w:val="22"/>
        </w:rPr>
        <w:lastRenderedPageBreak/>
        <w:t xml:space="preserve">b.1) </w:t>
      </w:r>
      <w:r w:rsidRPr="00826DFD">
        <w:rPr>
          <w:rFonts w:ascii="Arial" w:hAnsi="Arial" w:cs="Arial"/>
          <w:bCs/>
          <w:sz w:val="22"/>
          <w:szCs w:val="22"/>
        </w:rPr>
        <w:tab/>
        <w:t>En el rubro “Detalle de comprobantes de pago” se incorpora de manera automática la información registrada en el Sistema de Emisión Electrónica.</w:t>
      </w:r>
    </w:p>
    <w:p w14:paraId="3F136088" w14:textId="77777777" w:rsidR="00171171" w:rsidRPr="00826DFD" w:rsidRDefault="00171171" w:rsidP="00171171">
      <w:pPr>
        <w:pStyle w:val="NormalWeb"/>
        <w:tabs>
          <w:tab w:val="left" w:pos="1442"/>
        </w:tabs>
        <w:ind w:left="1418" w:hanging="567"/>
        <w:jc w:val="both"/>
        <w:rPr>
          <w:rFonts w:ascii="Arial" w:hAnsi="Arial" w:cs="Arial"/>
          <w:bCs/>
          <w:sz w:val="22"/>
          <w:szCs w:val="22"/>
        </w:rPr>
      </w:pPr>
      <w:r w:rsidRPr="00826DFD">
        <w:rPr>
          <w:rFonts w:ascii="Arial" w:hAnsi="Arial" w:cs="Arial"/>
          <w:bCs/>
          <w:sz w:val="22"/>
          <w:szCs w:val="22"/>
        </w:rPr>
        <w:t>b.2)   De no haber tenido la calidad de emisor electrónico en el periodo omitido por declarar o a rectificar, debe informar:</w:t>
      </w:r>
    </w:p>
    <w:p w14:paraId="656B1300" w14:textId="77777777" w:rsidR="00171171" w:rsidRPr="00826DFD" w:rsidRDefault="00171171" w:rsidP="00171171">
      <w:pPr>
        <w:pStyle w:val="NormalWeb"/>
        <w:ind w:left="1750" w:hanging="334"/>
        <w:jc w:val="both"/>
        <w:rPr>
          <w:rFonts w:ascii="Arial" w:hAnsi="Arial" w:cs="Arial"/>
          <w:bCs/>
          <w:sz w:val="22"/>
          <w:szCs w:val="22"/>
        </w:rPr>
      </w:pPr>
      <w:r w:rsidRPr="00826DFD">
        <w:rPr>
          <w:rFonts w:ascii="Arial" w:hAnsi="Arial" w:cs="Arial"/>
          <w:bCs/>
          <w:sz w:val="22"/>
          <w:szCs w:val="22"/>
        </w:rPr>
        <w:t>i)  los recibos por honorarios y notas de crédito emitidas en formatos impresos o importados por imprenta autorizada; y,</w:t>
      </w:r>
    </w:p>
    <w:p w14:paraId="57C4DFC9" w14:textId="77777777" w:rsidR="00171171" w:rsidRPr="00826DFD" w:rsidRDefault="00171171" w:rsidP="00171171">
      <w:pPr>
        <w:pStyle w:val="NormalWeb"/>
        <w:tabs>
          <w:tab w:val="left" w:pos="1750"/>
        </w:tabs>
        <w:ind w:left="1750" w:hanging="322"/>
        <w:jc w:val="both"/>
        <w:rPr>
          <w:rFonts w:ascii="Arial" w:hAnsi="Arial" w:cs="Arial"/>
          <w:bCs/>
          <w:sz w:val="22"/>
          <w:szCs w:val="22"/>
        </w:rPr>
      </w:pPr>
      <w:proofErr w:type="spellStart"/>
      <w:r w:rsidRPr="00826DFD">
        <w:rPr>
          <w:rFonts w:ascii="Arial" w:hAnsi="Arial" w:cs="Arial"/>
          <w:bCs/>
          <w:sz w:val="22"/>
          <w:szCs w:val="22"/>
        </w:rPr>
        <w:t>ii</w:t>
      </w:r>
      <w:proofErr w:type="spellEnd"/>
      <w:r w:rsidRPr="00826DFD">
        <w:rPr>
          <w:rFonts w:ascii="Arial" w:hAnsi="Arial" w:cs="Arial"/>
          <w:bCs/>
          <w:sz w:val="22"/>
          <w:szCs w:val="22"/>
        </w:rPr>
        <w:t xml:space="preserve">) </w:t>
      </w:r>
      <w:r w:rsidRPr="00826DFD">
        <w:rPr>
          <w:rFonts w:ascii="Arial" w:hAnsi="Arial" w:cs="Arial"/>
          <w:bCs/>
          <w:sz w:val="22"/>
          <w:szCs w:val="22"/>
        </w:rPr>
        <w:tab/>
        <w:t>los ingresos percibidos por las funciones de director de empresas, albacea, síndico, gestor de negocios, mandatario y actividades similares, incluyendo el desempeño de funciones de regidor municipal o consejero regional, por las cuales perciba dietas y se encuentre exceptuado de la obligación de emitir comprobantes de pago.</w:t>
      </w:r>
    </w:p>
    <w:p w14:paraId="36C9F45E" w14:textId="77777777" w:rsidR="00171171" w:rsidRPr="00826DFD" w:rsidRDefault="00171171" w:rsidP="00171171">
      <w:pPr>
        <w:pStyle w:val="NormalWeb"/>
        <w:ind w:left="1418" w:hanging="567"/>
        <w:jc w:val="both"/>
        <w:rPr>
          <w:rFonts w:ascii="Arial" w:hAnsi="Arial" w:cs="Arial"/>
          <w:bCs/>
          <w:strike/>
          <w:sz w:val="22"/>
          <w:szCs w:val="22"/>
        </w:rPr>
      </w:pPr>
      <w:r w:rsidRPr="00826DFD">
        <w:rPr>
          <w:rFonts w:ascii="Arial" w:hAnsi="Arial" w:cs="Arial"/>
          <w:bCs/>
          <w:sz w:val="22"/>
          <w:szCs w:val="22"/>
        </w:rPr>
        <w:tab/>
        <w:t>(…)”.</w:t>
      </w:r>
    </w:p>
    <w:p w14:paraId="7CB08586" w14:textId="77777777" w:rsidR="00171171" w:rsidRPr="00826DFD" w:rsidRDefault="00171171" w:rsidP="00171171">
      <w:pPr>
        <w:pStyle w:val="NormalWeb"/>
        <w:jc w:val="both"/>
        <w:rPr>
          <w:rFonts w:ascii="Arial" w:hAnsi="Arial" w:cs="Arial"/>
          <w:bCs/>
          <w:sz w:val="22"/>
          <w:szCs w:val="22"/>
        </w:rPr>
      </w:pPr>
      <w:r w:rsidRPr="00826DFD">
        <w:rPr>
          <w:rFonts w:ascii="Arial" w:hAnsi="Arial" w:cs="Arial"/>
          <w:bCs/>
          <w:sz w:val="22"/>
          <w:szCs w:val="22"/>
        </w:rPr>
        <w:t>“Artículo 9.- DECLARACIÓN SUSTITUTORIA O RECTIFICATORIA</w:t>
      </w:r>
    </w:p>
    <w:p w14:paraId="1AFF5B8B" w14:textId="77777777" w:rsidR="00171171" w:rsidRPr="00826DFD" w:rsidRDefault="00171171" w:rsidP="00171171">
      <w:pPr>
        <w:pStyle w:val="NormalWeb"/>
        <w:ind w:left="560" w:hanging="518"/>
        <w:jc w:val="both"/>
        <w:rPr>
          <w:rFonts w:ascii="Arial" w:hAnsi="Arial" w:cs="Arial"/>
          <w:color w:val="000000"/>
          <w:sz w:val="22"/>
          <w:szCs w:val="22"/>
        </w:rPr>
      </w:pPr>
      <w:r w:rsidRPr="00826DFD">
        <w:rPr>
          <w:rFonts w:ascii="Arial" w:hAnsi="Arial" w:cs="Arial"/>
          <w:color w:val="000000"/>
          <w:sz w:val="22"/>
          <w:szCs w:val="22"/>
        </w:rPr>
        <w:t xml:space="preserve">9.1. El sujeto perceptor de rentas de cuarta categoría utiliza el Formulario Virtual </w:t>
      </w:r>
      <w:proofErr w:type="spellStart"/>
      <w:r w:rsidRPr="00826DFD">
        <w:rPr>
          <w:rFonts w:ascii="Arial" w:hAnsi="Arial" w:cs="Arial"/>
          <w:color w:val="000000"/>
          <w:sz w:val="22"/>
          <w:szCs w:val="22"/>
        </w:rPr>
        <w:t>N.°</w:t>
      </w:r>
      <w:proofErr w:type="spellEnd"/>
      <w:r w:rsidRPr="00826DFD">
        <w:rPr>
          <w:rFonts w:ascii="Arial" w:hAnsi="Arial" w:cs="Arial"/>
          <w:color w:val="000000"/>
          <w:sz w:val="22"/>
          <w:szCs w:val="22"/>
        </w:rPr>
        <w:t xml:space="preserve"> 616 - Trabajadores Independientes para sustituir o rectificar su declaración original, independientemente del periodo a que se refiera y del formulario que se hubiera utilizado para la presentación de dicha declaración. </w:t>
      </w:r>
    </w:p>
    <w:p w14:paraId="5167B2B2" w14:textId="77777777" w:rsidR="00171171" w:rsidRPr="00826DFD" w:rsidRDefault="00171171" w:rsidP="00171171">
      <w:pPr>
        <w:pStyle w:val="NormalWeb"/>
        <w:ind w:left="560" w:hanging="518"/>
        <w:jc w:val="both"/>
        <w:rPr>
          <w:rFonts w:ascii="Arial" w:hAnsi="Arial" w:cs="Arial"/>
          <w:color w:val="000000"/>
          <w:sz w:val="22"/>
          <w:szCs w:val="22"/>
        </w:rPr>
      </w:pPr>
      <w:r w:rsidRPr="00826DFD">
        <w:rPr>
          <w:rFonts w:ascii="Arial" w:hAnsi="Arial" w:cs="Arial"/>
          <w:color w:val="000000"/>
          <w:sz w:val="22"/>
          <w:szCs w:val="22"/>
        </w:rPr>
        <w:t>9.2.</w:t>
      </w:r>
      <w:r w:rsidRPr="00826DFD">
        <w:rPr>
          <w:rFonts w:ascii="Arial" w:hAnsi="Arial" w:cs="Arial"/>
          <w:color w:val="000000"/>
          <w:sz w:val="22"/>
          <w:szCs w:val="22"/>
        </w:rPr>
        <w:tab/>
        <w:t xml:space="preserve">Para sustituir o rectificar la declaración se debe consignar todos los datos del Formulario Virtual </w:t>
      </w:r>
      <w:proofErr w:type="spellStart"/>
      <w:r w:rsidRPr="00826DFD">
        <w:rPr>
          <w:rFonts w:ascii="Arial" w:hAnsi="Arial" w:cs="Arial"/>
          <w:color w:val="000000"/>
          <w:sz w:val="22"/>
          <w:szCs w:val="22"/>
        </w:rPr>
        <w:t>N.°</w:t>
      </w:r>
      <w:proofErr w:type="spellEnd"/>
      <w:r w:rsidRPr="00826DFD">
        <w:rPr>
          <w:rFonts w:ascii="Arial" w:hAnsi="Arial" w:cs="Arial"/>
          <w:color w:val="000000"/>
          <w:sz w:val="22"/>
          <w:szCs w:val="22"/>
        </w:rPr>
        <w:t xml:space="preserve"> 616 - Trabajadores Independientes, inclusive aquella información que no se desea sustituir o rectificar.”</w:t>
      </w:r>
    </w:p>
    <w:p w14:paraId="123F3048" w14:textId="77777777" w:rsidR="00171171" w:rsidRPr="00826DFD" w:rsidRDefault="00171171" w:rsidP="00171171">
      <w:pPr>
        <w:pStyle w:val="NormalWeb"/>
        <w:tabs>
          <w:tab w:val="left" w:pos="3020"/>
        </w:tabs>
        <w:spacing w:after="240" w:afterAutospacing="0"/>
        <w:ind w:left="434" w:hanging="434"/>
        <w:jc w:val="center"/>
        <w:rPr>
          <w:rFonts w:ascii="Arial" w:eastAsia="Calibri" w:hAnsi="Arial" w:cs="Arial"/>
          <w:b/>
          <w:color w:val="000000"/>
          <w:sz w:val="22"/>
          <w:szCs w:val="22"/>
          <w:lang w:val="es-PE" w:eastAsia="es-PE"/>
        </w:rPr>
      </w:pPr>
      <w:r w:rsidRPr="00826DFD">
        <w:rPr>
          <w:rFonts w:ascii="Arial" w:eastAsia="Calibri" w:hAnsi="Arial" w:cs="Arial"/>
          <w:b/>
          <w:sz w:val="22"/>
          <w:szCs w:val="22"/>
          <w:lang w:val="es-PE" w:eastAsia="es-PE"/>
        </w:rPr>
        <w:t xml:space="preserve">DISPOSICIÓN </w:t>
      </w:r>
      <w:r w:rsidRPr="00826DFD">
        <w:rPr>
          <w:rFonts w:ascii="Arial" w:eastAsia="Calibri" w:hAnsi="Arial" w:cs="Arial"/>
          <w:b/>
          <w:color w:val="000000"/>
          <w:sz w:val="22"/>
          <w:szCs w:val="22"/>
          <w:lang w:val="es-PE" w:eastAsia="es-PE"/>
        </w:rPr>
        <w:t>COMPLEMENTARIA FINAL</w:t>
      </w:r>
    </w:p>
    <w:p w14:paraId="1D2BF6ED" w14:textId="77777777" w:rsidR="00171171" w:rsidRPr="00826DFD" w:rsidRDefault="00171171" w:rsidP="00171171">
      <w:pPr>
        <w:autoSpaceDE w:val="0"/>
        <w:autoSpaceDN w:val="0"/>
        <w:adjustRightInd w:val="0"/>
        <w:jc w:val="both"/>
        <w:rPr>
          <w:rFonts w:ascii="Arial" w:eastAsia="Calibri" w:hAnsi="Arial" w:cs="Arial"/>
          <w:b/>
          <w:color w:val="000000"/>
          <w:sz w:val="22"/>
          <w:szCs w:val="22"/>
          <w:lang w:val="es-PE" w:eastAsia="es-PE"/>
        </w:rPr>
      </w:pPr>
      <w:r w:rsidRPr="00826DFD">
        <w:rPr>
          <w:rFonts w:ascii="Arial" w:eastAsia="Calibri" w:hAnsi="Arial" w:cs="Arial"/>
          <w:b/>
          <w:color w:val="000000"/>
          <w:sz w:val="22"/>
          <w:szCs w:val="22"/>
          <w:lang w:val="es-PE" w:eastAsia="es-PE"/>
        </w:rPr>
        <w:t>Única. Vigencia</w:t>
      </w:r>
    </w:p>
    <w:p w14:paraId="3AACA17D" w14:textId="77777777" w:rsidR="00171171" w:rsidRPr="00826DFD" w:rsidRDefault="00171171" w:rsidP="00171171">
      <w:pPr>
        <w:autoSpaceDE w:val="0"/>
        <w:autoSpaceDN w:val="0"/>
        <w:adjustRightInd w:val="0"/>
        <w:jc w:val="both"/>
        <w:rPr>
          <w:rFonts w:ascii="Arial" w:eastAsia="Calibri" w:hAnsi="Arial" w:cs="Arial"/>
          <w:b/>
          <w:color w:val="000000"/>
          <w:sz w:val="22"/>
          <w:szCs w:val="22"/>
          <w:lang w:val="es-PE" w:eastAsia="es-PE"/>
        </w:rPr>
      </w:pPr>
    </w:p>
    <w:p w14:paraId="0BBC0584" w14:textId="77777777" w:rsidR="00171171" w:rsidRPr="00826DFD" w:rsidRDefault="00171171" w:rsidP="00171171">
      <w:pPr>
        <w:autoSpaceDE w:val="0"/>
        <w:autoSpaceDN w:val="0"/>
        <w:adjustRightInd w:val="0"/>
        <w:jc w:val="both"/>
        <w:rPr>
          <w:rFonts w:ascii="Arial" w:eastAsia="Calibri" w:hAnsi="Arial" w:cs="Arial"/>
          <w:color w:val="000000"/>
          <w:sz w:val="22"/>
          <w:szCs w:val="22"/>
          <w:lang w:val="es-PE" w:eastAsia="es-PE"/>
        </w:rPr>
      </w:pPr>
      <w:r w:rsidRPr="00826DFD">
        <w:rPr>
          <w:rFonts w:ascii="Arial" w:eastAsia="Calibri" w:hAnsi="Arial" w:cs="Arial"/>
          <w:color w:val="000000"/>
          <w:sz w:val="22"/>
          <w:szCs w:val="22"/>
          <w:lang w:val="es-PE" w:eastAsia="es-PE"/>
        </w:rPr>
        <w:t xml:space="preserve">La presente resolución </w:t>
      </w:r>
      <w:proofErr w:type="gramStart"/>
      <w:r w:rsidRPr="00826DFD">
        <w:rPr>
          <w:rFonts w:ascii="Arial" w:eastAsia="Calibri" w:hAnsi="Arial" w:cs="Arial"/>
          <w:color w:val="000000"/>
          <w:sz w:val="22"/>
          <w:szCs w:val="22"/>
          <w:lang w:val="es-PE" w:eastAsia="es-PE"/>
        </w:rPr>
        <w:t>entra en vigencia</w:t>
      </w:r>
      <w:proofErr w:type="gramEnd"/>
      <w:r w:rsidRPr="00826DFD">
        <w:rPr>
          <w:rFonts w:ascii="Arial" w:eastAsia="Calibri" w:hAnsi="Arial" w:cs="Arial"/>
          <w:color w:val="000000"/>
          <w:sz w:val="22"/>
          <w:szCs w:val="22"/>
          <w:lang w:val="es-PE" w:eastAsia="es-PE"/>
        </w:rPr>
        <w:t xml:space="preserve"> a partir del 1.1.2024. </w:t>
      </w:r>
    </w:p>
    <w:p w14:paraId="472C48E8" w14:textId="77777777" w:rsidR="00171171" w:rsidRPr="00826DFD" w:rsidRDefault="00171171" w:rsidP="00171171">
      <w:pPr>
        <w:autoSpaceDE w:val="0"/>
        <w:autoSpaceDN w:val="0"/>
        <w:adjustRightInd w:val="0"/>
        <w:jc w:val="both"/>
        <w:rPr>
          <w:rFonts w:ascii="Arial" w:eastAsia="Calibri" w:hAnsi="Arial" w:cs="Arial"/>
          <w:color w:val="000000"/>
          <w:sz w:val="22"/>
          <w:szCs w:val="22"/>
          <w:lang w:val="es-PE" w:eastAsia="es-PE"/>
        </w:rPr>
      </w:pPr>
    </w:p>
    <w:p w14:paraId="08F5CFB7" w14:textId="77777777" w:rsidR="00171171" w:rsidRPr="00826DFD" w:rsidRDefault="00171171" w:rsidP="00171171">
      <w:pPr>
        <w:autoSpaceDE w:val="0"/>
        <w:autoSpaceDN w:val="0"/>
        <w:adjustRightInd w:val="0"/>
        <w:jc w:val="center"/>
        <w:rPr>
          <w:rFonts w:ascii="Arial" w:eastAsia="Calibri" w:hAnsi="Arial" w:cs="Arial"/>
          <w:b/>
          <w:color w:val="000000"/>
          <w:sz w:val="22"/>
          <w:szCs w:val="22"/>
          <w:lang w:val="es-PE" w:eastAsia="es-PE"/>
        </w:rPr>
      </w:pPr>
      <w:r w:rsidRPr="00826DFD">
        <w:rPr>
          <w:rFonts w:ascii="Arial" w:eastAsia="Calibri" w:hAnsi="Arial" w:cs="Arial"/>
          <w:b/>
          <w:color w:val="000000"/>
          <w:sz w:val="22"/>
          <w:szCs w:val="22"/>
          <w:lang w:val="es-PE" w:eastAsia="es-PE"/>
        </w:rPr>
        <w:t>DISPOSICIONES COMPLEMENTARIAS DEROGATORIAS</w:t>
      </w:r>
    </w:p>
    <w:p w14:paraId="592E5461" w14:textId="77777777" w:rsidR="00171171" w:rsidRPr="00826DFD" w:rsidRDefault="00171171" w:rsidP="00171171">
      <w:pPr>
        <w:pStyle w:val="NormalWeb"/>
        <w:jc w:val="both"/>
        <w:rPr>
          <w:rFonts w:ascii="Arial" w:hAnsi="Arial" w:cs="Arial"/>
          <w:b/>
          <w:sz w:val="22"/>
          <w:szCs w:val="22"/>
        </w:rPr>
      </w:pPr>
      <w:r w:rsidRPr="00826DFD">
        <w:rPr>
          <w:rFonts w:ascii="Arial" w:eastAsia="Calibri" w:hAnsi="Arial" w:cs="Arial"/>
          <w:b/>
          <w:bCs/>
          <w:sz w:val="22"/>
          <w:szCs w:val="22"/>
          <w:lang w:eastAsia="es-PE"/>
        </w:rPr>
        <w:t xml:space="preserve">PRIMERA. Derogatorias en la Resolución de Superintendencia </w:t>
      </w:r>
      <w:proofErr w:type="spellStart"/>
      <w:r w:rsidRPr="00826DFD">
        <w:rPr>
          <w:rFonts w:ascii="Arial" w:hAnsi="Arial" w:cs="Arial"/>
          <w:b/>
          <w:sz w:val="22"/>
          <w:szCs w:val="22"/>
        </w:rPr>
        <w:t>N.°</w:t>
      </w:r>
      <w:proofErr w:type="spellEnd"/>
      <w:r w:rsidRPr="00826DFD">
        <w:rPr>
          <w:rFonts w:ascii="Arial" w:hAnsi="Arial" w:cs="Arial"/>
          <w:b/>
          <w:sz w:val="22"/>
          <w:szCs w:val="22"/>
        </w:rPr>
        <w:t xml:space="preserve"> 174-2011/SUNAT</w:t>
      </w:r>
    </w:p>
    <w:p w14:paraId="6167F038" w14:textId="77777777" w:rsidR="00171171" w:rsidRPr="00826DFD" w:rsidRDefault="00171171" w:rsidP="00171171">
      <w:pPr>
        <w:pStyle w:val="NormalWeb"/>
        <w:jc w:val="both"/>
        <w:rPr>
          <w:rFonts w:ascii="Arial" w:eastAsia="Calibri" w:hAnsi="Arial" w:cs="Arial"/>
          <w:bCs/>
          <w:sz w:val="22"/>
          <w:szCs w:val="22"/>
          <w:lang w:eastAsia="es-PE"/>
        </w:rPr>
      </w:pPr>
      <w:r w:rsidRPr="00826DFD">
        <w:rPr>
          <w:rFonts w:ascii="Arial" w:eastAsia="Calibri" w:hAnsi="Arial" w:cs="Arial"/>
          <w:bCs/>
          <w:sz w:val="22"/>
          <w:szCs w:val="22"/>
          <w:lang w:eastAsia="es-PE"/>
        </w:rPr>
        <w:lastRenderedPageBreak/>
        <w:t xml:space="preserve">Deróguese los artículos 4 y 8 de la Resolución de Superintendencia </w:t>
      </w:r>
      <w:proofErr w:type="spellStart"/>
      <w:r w:rsidRPr="00826DFD">
        <w:rPr>
          <w:rFonts w:ascii="Arial" w:eastAsia="Calibri" w:hAnsi="Arial" w:cs="Arial"/>
          <w:bCs/>
          <w:sz w:val="22"/>
          <w:szCs w:val="22"/>
          <w:lang w:eastAsia="es-PE"/>
        </w:rPr>
        <w:t>N.°</w:t>
      </w:r>
      <w:proofErr w:type="spellEnd"/>
      <w:r w:rsidRPr="00826DFD">
        <w:rPr>
          <w:rFonts w:ascii="Arial" w:eastAsia="Calibri" w:hAnsi="Arial" w:cs="Arial"/>
          <w:bCs/>
          <w:sz w:val="22"/>
          <w:szCs w:val="22"/>
          <w:lang w:eastAsia="es-PE"/>
        </w:rPr>
        <w:t xml:space="preserve"> 174-2011/SUNAT.</w:t>
      </w:r>
    </w:p>
    <w:p w14:paraId="6B776C28" w14:textId="77777777" w:rsidR="00171171" w:rsidRPr="00826DFD" w:rsidRDefault="00171171" w:rsidP="00171171">
      <w:pPr>
        <w:pStyle w:val="NormalWeb"/>
        <w:jc w:val="both"/>
        <w:rPr>
          <w:rFonts w:ascii="Arial" w:eastAsia="Calibri" w:hAnsi="Arial" w:cs="Arial"/>
          <w:b/>
          <w:sz w:val="22"/>
          <w:szCs w:val="22"/>
          <w:lang w:eastAsia="es-PE"/>
        </w:rPr>
      </w:pPr>
      <w:r w:rsidRPr="00826DFD">
        <w:rPr>
          <w:rFonts w:ascii="Arial" w:eastAsia="Calibri" w:hAnsi="Arial" w:cs="Arial"/>
          <w:b/>
          <w:sz w:val="22"/>
          <w:szCs w:val="22"/>
          <w:lang w:eastAsia="es-PE"/>
        </w:rPr>
        <w:t xml:space="preserve">SEGUNDA. Derogatoria de la Resolución de Superintendencia </w:t>
      </w:r>
      <w:proofErr w:type="spellStart"/>
      <w:r w:rsidRPr="00826DFD">
        <w:rPr>
          <w:rFonts w:ascii="Arial" w:eastAsia="Calibri" w:hAnsi="Arial" w:cs="Arial"/>
          <w:b/>
          <w:sz w:val="22"/>
          <w:szCs w:val="22"/>
          <w:lang w:eastAsia="es-PE"/>
        </w:rPr>
        <w:t>N.°</w:t>
      </w:r>
      <w:proofErr w:type="spellEnd"/>
      <w:r w:rsidRPr="00826DFD">
        <w:rPr>
          <w:rFonts w:ascii="Arial" w:eastAsia="Calibri" w:hAnsi="Arial" w:cs="Arial"/>
          <w:b/>
          <w:sz w:val="22"/>
          <w:szCs w:val="22"/>
          <w:lang w:eastAsia="es-PE"/>
        </w:rPr>
        <w:t xml:space="preserve"> 138-2002/SUNAT</w:t>
      </w:r>
    </w:p>
    <w:p w14:paraId="5F7D363C" w14:textId="77777777" w:rsidR="00171171" w:rsidRPr="00826DFD" w:rsidRDefault="00171171" w:rsidP="00171171">
      <w:pPr>
        <w:pStyle w:val="NormalWeb"/>
        <w:jc w:val="both"/>
        <w:rPr>
          <w:rFonts w:ascii="Arial" w:eastAsia="Calibri" w:hAnsi="Arial" w:cs="Arial"/>
          <w:bCs/>
          <w:sz w:val="22"/>
          <w:szCs w:val="22"/>
          <w:lang w:eastAsia="es-PE"/>
        </w:rPr>
      </w:pPr>
      <w:r w:rsidRPr="00826DFD">
        <w:rPr>
          <w:rFonts w:ascii="Arial" w:eastAsia="Calibri" w:hAnsi="Arial" w:cs="Arial"/>
          <w:bCs/>
          <w:sz w:val="22"/>
          <w:szCs w:val="22"/>
          <w:lang w:eastAsia="es-PE"/>
        </w:rPr>
        <w:t>Deróguese la Resolución de Superintendencia N. 138-2002/SUNAT que norma la presentación de declaraciones mediante el programa de declaración telemática (PDT) para los sujetos perceptores de rentas de cuarta categoría.</w:t>
      </w:r>
    </w:p>
    <w:p w14:paraId="619697CD" w14:textId="77777777" w:rsidR="00171171" w:rsidRPr="003416E5" w:rsidRDefault="00171171" w:rsidP="00171171">
      <w:pPr>
        <w:pStyle w:val="NormalWeb"/>
        <w:jc w:val="both"/>
        <w:rPr>
          <w:rFonts w:ascii="Arial" w:hAnsi="Arial" w:cs="Arial"/>
          <w:sz w:val="22"/>
          <w:szCs w:val="22"/>
        </w:rPr>
      </w:pPr>
      <w:r w:rsidRPr="00826DFD">
        <w:rPr>
          <w:rFonts w:ascii="Arial" w:eastAsia="Calibri" w:hAnsi="Arial" w:cs="Arial"/>
          <w:bCs/>
          <w:sz w:val="22"/>
          <w:szCs w:val="22"/>
          <w:lang w:eastAsia="es-PE"/>
        </w:rPr>
        <w:t>Regístrese, comuníquese y publíquese.</w:t>
      </w:r>
      <w:bookmarkEnd w:id="0"/>
    </w:p>
    <w:p w14:paraId="694A84E9" w14:textId="77777777" w:rsidR="00171171" w:rsidRPr="003416E5" w:rsidRDefault="00171171" w:rsidP="00171171">
      <w:pPr>
        <w:rPr>
          <w:rFonts w:ascii="Arial" w:hAnsi="Arial" w:cs="Arial"/>
          <w:sz w:val="22"/>
          <w:szCs w:val="22"/>
        </w:rPr>
      </w:pPr>
    </w:p>
    <w:p w14:paraId="6AD9DEFF" w14:textId="77777777" w:rsidR="00171171" w:rsidRPr="003416E5" w:rsidRDefault="00171171" w:rsidP="00171171">
      <w:pPr>
        <w:rPr>
          <w:rFonts w:ascii="Arial" w:hAnsi="Arial" w:cs="Arial"/>
          <w:sz w:val="22"/>
          <w:szCs w:val="22"/>
        </w:rPr>
      </w:pPr>
    </w:p>
    <w:p w14:paraId="434CBC3F" w14:textId="77777777" w:rsidR="00171171" w:rsidRPr="003416E5" w:rsidRDefault="00171171" w:rsidP="00171171">
      <w:pPr>
        <w:rPr>
          <w:rFonts w:ascii="Arial" w:hAnsi="Arial" w:cs="Arial"/>
          <w:sz w:val="22"/>
          <w:szCs w:val="22"/>
        </w:rPr>
      </w:pPr>
    </w:p>
    <w:p w14:paraId="71DE8E08" w14:textId="77777777" w:rsidR="00171171" w:rsidRPr="003416E5" w:rsidRDefault="00171171" w:rsidP="00171171">
      <w:pPr>
        <w:rPr>
          <w:rFonts w:ascii="Arial" w:hAnsi="Arial" w:cs="Arial"/>
          <w:sz w:val="22"/>
          <w:szCs w:val="22"/>
        </w:rPr>
      </w:pPr>
    </w:p>
    <w:p w14:paraId="01FBBE40" w14:textId="77777777" w:rsidR="00171171" w:rsidRPr="003416E5" w:rsidRDefault="00171171" w:rsidP="00171171">
      <w:pPr>
        <w:rPr>
          <w:rFonts w:ascii="Arial" w:hAnsi="Arial" w:cs="Arial"/>
          <w:sz w:val="22"/>
          <w:szCs w:val="22"/>
        </w:rPr>
      </w:pPr>
    </w:p>
    <w:p w14:paraId="31BE3BBF" w14:textId="77777777" w:rsidR="00171171" w:rsidRPr="003416E5" w:rsidRDefault="00171171" w:rsidP="00171171">
      <w:pPr>
        <w:rPr>
          <w:rFonts w:ascii="Arial" w:hAnsi="Arial" w:cs="Arial"/>
          <w:sz w:val="22"/>
          <w:szCs w:val="22"/>
        </w:rPr>
      </w:pPr>
    </w:p>
    <w:p w14:paraId="6A06E574" w14:textId="77777777" w:rsidR="00171171" w:rsidRDefault="00171171" w:rsidP="00171171"/>
    <w:p w14:paraId="47F257AB" w14:textId="77777777" w:rsidR="0065429F" w:rsidRDefault="0065429F"/>
    <w:sectPr w:rsidR="0065429F" w:rsidSect="006E25FA">
      <w:pgSz w:w="11907" w:h="16840" w:code="9"/>
      <w:pgMar w:top="4536"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CEA"/>
    <w:multiLevelType w:val="hybridMultilevel"/>
    <w:tmpl w:val="4E2C4108"/>
    <w:lvl w:ilvl="0" w:tplc="7908A8A4">
      <w:start w:val="1"/>
      <w:numFmt w:val="decimal"/>
      <w:pStyle w:val="Ttulo1"/>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71"/>
    <w:rsid w:val="00171171"/>
    <w:rsid w:val="0065429F"/>
    <w:rsid w:val="00FD19E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29ED"/>
  <w15:chartTrackingRefBased/>
  <w15:docId w15:val="{8AF82CCB-DD3B-441C-9E6F-31579AA0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17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Encabezado"/>
    <w:next w:val="Normal"/>
    <w:link w:val="Ttulo1Car"/>
    <w:qFormat/>
    <w:rsid w:val="00171171"/>
    <w:pPr>
      <w:keepNext/>
      <w:keepLines/>
      <w:numPr>
        <w:numId w:val="1"/>
      </w:numPr>
      <w:tabs>
        <w:tab w:val="clear" w:pos="4252"/>
        <w:tab w:val="clear" w:pos="8504"/>
      </w:tabs>
      <w:spacing w:before="480"/>
      <w:outlineLvl w:val="0"/>
    </w:pPr>
    <w:rPr>
      <w:rFonts w:ascii="Arial" w:hAnsi="Arial"/>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71171"/>
    <w:rPr>
      <w:rFonts w:ascii="Arial" w:eastAsia="Times New Roman" w:hAnsi="Arial" w:cs="Times New Roman"/>
      <w:b/>
      <w:bCs/>
      <w:sz w:val="24"/>
      <w:szCs w:val="28"/>
      <w:lang w:val="es-ES" w:eastAsia="es-ES"/>
    </w:rPr>
  </w:style>
  <w:style w:type="character" w:styleId="Textoennegrita">
    <w:name w:val="Strong"/>
    <w:uiPriority w:val="22"/>
    <w:qFormat/>
    <w:rsid w:val="00171171"/>
    <w:rPr>
      <w:b/>
      <w:bCs/>
    </w:rPr>
  </w:style>
  <w:style w:type="paragraph" w:styleId="Textoindependiente">
    <w:name w:val="Body Text"/>
    <w:basedOn w:val="Normal"/>
    <w:link w:val="TextoindependienteCar"/>
    <w:rsid w:val="00171171"/>
    <w:pPr>
      <w:tabs>
        <w:tab w:val="left" w:pos="4253"/>
      </w:tabs>
    </w:pPr>
    <w:rPr>
      <w:rFonts w:ascii="Calibri" w:hAnsi="Calibri"/>
      <w:b/>
      <w:sz w:val="20"/>
      <w:szCs w:val="20"/>
      <w:lang w:val="es-ES_tradnl"/>
    </w:rPr>
  </w:style>
  <w:style w:type="character" w:customStyle="1" w:styleId="TextoindependienteCar">
    <w:name w:val="Texto independiente Car"/>
    <w:basedOn w:val="Fuentedeprrafopredeter"/>
    <w:link w:val="Textoindependiente"/>
    <w:rsid w:val="00171171"/>
    <w:rPr>
      <w:rFonts w:ascii="Calibri" w:eastAsia="Times New Roman" w:hAnsi="Calibri" w:cs="Times New Roman"/>
      <w:b/>
      <w:sz w:val="20"/>
      <w:szCs w:val="20"/>
      <w:lang w:val="es-ES_tradnl" w:eastAsia="es-ES"/>
    </w:rPr>
  </w:style>
  <w:style w:type="paragraph" w:styleId="NormalWeb">
    <w:name w:val="Normal (Web)"/>
    <w:basedOn w:val="Normal"/>
    <w:link w:val="NormalWebCar"/>
    <w:uiPriority w:val="99"/>
    <w:rsid w:val="00171171"/>
    <w:pPr>
      <w:spacing w:before="100" w:beforeAutospacing="1" w:after="100" w:afterAutospacing="1"/>
    </w:pPr>
    <w:rPr>
      <w:rFonts w:eastAsia="Arial Unicode MS"/>
      <w:sz w:val="20"/>
      <w:szCs w:val="20"/>
    </w:rPr>
  </w:style>
  <w:style w:type="paragraph" w:styleId="Saludo">
    <w:name w:val="Salutation"/>
    <w:basedOn w:val="Normal"/>
    <w:next w:val="Normal"/>
    <w:link w:val="SaludoCar"/>
    <w:semiHidden/>
    <w:rsid w:val="00171171"/>
  </w:style>
  <w:style w:type="character" w:customStyle="1" w:styleId="SaludoCar">
    <w:name w:val="Saludo Car"/>
    <w:basedOn w:val="Fuentedeprrafopredeter"/>
    <w:link w:val="Saludo"/>
    <w:semiHidden/>
    <w:rsid w:val="00171171"/>
    <w:rPr>
      <w:rFonts w:ascii="Times New Roman" w:eastAsia="Times New Roman" w:hAnsi="Times New Roman" w:cs="Times New Roman"/>
      <w:sz w:val="24"/>
      <w:szCs w:val="24"/>
      <w:lang w:val="es-ES" w:eastAsia="es-ES"/>
    </w:rPr>
  </w:style>
  <w:style w:type="paragraph" w:customStyle="1" w:styleId="Lneadeasunto">
    <w:name w:val="Línea de asunto"/>
    <w:basedOn w:val="Normal"/>
    <w:rsid w:val="00171171"/>
  </w:style>
  <w:style w:type="character" w:customStyle="1" w:styleId="NormalWebCar">
    <w:name w:val="Normal (Web) Car"/>
    <w:link w:val="NormalWeb"/>
    <w:uiPriority w:val="99"/>
    <w:rsid w:val="00171171"/>
    <w:rPr>
      <w:rFonts w:ascii="Times New Roman" w:eastAsia="Arial Unicode MS" w:hAnsi="Times New Roman" w:cs="Times New Roman"/>
      <w:sz w:val="20"/>
      <w:szCs w:val="20"/>
      <w:lang w:val="es-ES" w:eastAsia="es-ES"/>
    </w:rPr>
  </w:style>
  <w:style w:type="character" w:styleId="Refdecomentario">
    <w:name w:val="annotation reference"/>
    <w:basedOn w:val="Fuentedeprrafopredeter"/>
    <w:uiPriority w:val="99"/>
    <w:semiHidden/>
    <w:unhideWhenUsed/>
    <w:rsid w:val="00171171"/>
    <w:rPr>
      <w:sz w:val="16"/>
      <w:szCs w:val="16"/>
    </w:rPr>
  </w:style>
  <w:style w:type="paragraph" w:styleId="Textocomentario">
    <w:name w:val="annotation text"/>
    <w:basedOn w:val="Normal"/>
    <w:link w:val="TextocomentarioCar"/>
    <w:uiPriority w:val="99"/>
    <w:semiHidden/>
    <w:unhideWhenUsed/>
    <w:rsid w:val="00171171"/>
    <w:rPr>
      <w:sz w:val="20"/>
      <w:szCs w:val="20"/>
    </w:rPr>
  </w:style>
  <w:style w:type="character" w:customStyle="1" w:styleId="TextocomentarioCar">
    <w:name w:val="Texto comentario Car"/>
    <w:basedOn w:val="Fuentedeprrafopredeter"/>
    <w:link w:val="Textocomentario"/>
    <w:uiPriority w:val="99"/>
    <w:semiHidden/>
    <w:rsid w:val="00171171"/>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171171"/>
    <w:pPr>
      <w:tabs>
        <w:tab w:val="center" w:pos="4252"/>
        <w:tab w:val="right" w:pos="8504"/>
      </w:tabs>
    </w:pPr>
  </w:style>
  <w:style w:type="character" w:customStyle="1" w:styleId="EncabezadoCar">
    <w:name w:val="Encabezado Car"/>
    <w:basedOn w:val="Fuentedeprrafopredeter"/>
    <w:link w:val="Encabezado"/>
    <w:uiPriority w:val="99"/>
    <w:semiHidden/>
    <w:rsid w:val="0017117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6820</Characters>
  <Application>Microsoft Office Word</Application>
  <DocSecurity>0</DocSecurity>
  <Lines>56</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Aguirre Infante Emilio Eduardo</dc:creator>
  <cp:keywords/>
  <dc:description/>
  <cp:lastModifiedBy>Soto Zevallos Luis Enrique</cp:lastModifiedBy>
  <cp:revision>2</cp:revision>
  <dcterms:created xsi:type="dcterms:W3CDTF">2023-09-29T22:12:00Z</dcterms:created>
  <dcterms:modified xsi:type="dcterms:W3CDTF">2023-09-29T22:12:00Z</dcterms:modified>
</cp:coreProperties>
</file>