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167D" w14:textId="77777777" w:rsidR="00864FE7" w:rsidRDefault="00864FE7"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6D7EABB5" w14:textId="77777777" w:rsidR="00864FE7" w:rsidRDefault="00864FE7"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7E8DD4B2" w14:textId="77777777" w:rsidR="00864FE7" w:rsidRDefault="00864FE7"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1BA2DEF4" w14:textId="77777777" w:rsidR="00864FE7" w:rsidRDefault="00864FE7"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5E0EFB7E" w14:textId="77777777" w:rsidR="00864FE7" w:rsidRDefault="00864FE7"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334F37C9" w14:textId="77777777" w:rsidR="0045741B" w:rsidRDefault="0045741B"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2428817B" w14:textId="77777777" w:rsidR="0045741B" w:rsidRDefault="0045741B"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21E27DC1" w14:textId="77777777" w:rsidR="0045741B" w:rsidRDefault="0045741B"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3F128B53" w14:textId="77777777" w:rsidR="0045741B" w:rsidRDefault="0045741B"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1E21B890" w14:textId="77777777" w:rsidR="0045741B" w:rsidRDefault="0045741B"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633531A6" w14:textId="77777777" w:rsidR="0045741B" w:rsidRDefault="0045741B"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4A5C07BA" w14:textId="77777777" w:rsidR="0045741B" w:rsidRDefault="0045741B"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0CDC3FC6" w14:textId="2B9F335A" w:rsidR="00EE7689" w:rsidRPr="00864FE7" w:rsidRDefault="00EE7689"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r w:rsidRPr="00864FE7">
        <w:rPr>
          <w:rFonts w:ascii="Arial Narrow" w:eastAsia="Times New Roman" w:hAnsi="Arial Narrow" w:cs="Arial"/>
          <w:b/>
          <w:bCs/>
          <w:color w:val="000000"/>
          <w:sz w:val="16"/>
          <w:szCs w:val="16"/>
          <w:lang w:eastAsia="es-PE"/>
        </w:rPr>
        <w:t>SUPERINTENDENCIA NACIONAL DE ADUANAS Y DE ADMINISTRACIÓN TRIBUTARIA</w:t>
      </w:r>
    </w:p>
    <w:p w14:paraId="78873FB4" w14:textId="352AEBAF" w:rsidR="00EE7689" w:rsidRPr="00864FE7" w:rsidRDefault="00EE7689"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r w:rsidRPr="00864FE7">
        <w:rPr>
          <w:rFonts w:ascii="Arial Narrow" w:eastAsia="Times New Roman" w:hAnsi="Arial Narrow" w:cs="Arial"/>
          <w:b/>
          <w:bCs/>
          <w:color w:val="000000"/>
          <w:sz w:val="16"/>
          <w:szCs w:val="16"/>
          <w:lang w:eastAsia="es-PE"/>
        </w:rPr>
        <w:t xml:space="preserve">INTENDENCIA </w:t>
      </w:r>
      <w:r w:rsidR="00FA133D" w:rsidRPr="00864FE7">
        <w:rPr>
          <w:rFonts w:ascii="Arial Narrow" w:eastAsia="Times New Roman" w:hAnsi="Arial Narrow" w:cs="Arial"/>
          <w:b/>
          <w:bCs/>
          <w:color w:val="000000"/>
          <w:sz w:val="16"/>
          <w:szCs w:val="16"/>
          <w:lang w:eastAsia="es-PE"/>
        </w:rPr>
        <w:t>DE ADUANAS DE CHICLAYO</w:t>
      </w:r>
    </w:p>
    <w:p w14:paraId="4AA073D6" w14:textId="77777777" w:rsidR="00E93FFE" w:rsidRPr="00864FE7" w:rsidRDefault="00E93FFE"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p>
    <w:p w14:paraId="77A3E61B" w14:textId="50CACB32" w:rsidR="00EE7689" w:rsidRPr="00864FE7" w:rsidRDefault="00EE7689" w:rsidP="00864FE7">
      <w:pPr>
        <w:tabs>
          <w:tab w:val="left" w:pos="10271"/>
        </w:tabs>
        <w:spacing w:after="0" w:line="0" w:lineRule="atLeast"/>
        <w:ind w:left="851" w:right="1266"/>
        <w:contextualSpacing/>
        <w:jc w:val="center"/>
        <w:rPr>
          <w:rFonts w:ascii="Arial Narrow" w:eastAsia="Times New Roman" w:hAnsi="Arial Narrow" w:cs="Arial"/>
          <w:b/>
          <w:bCs/>
          <w:color w:val="000000"/>
          <w:sz w:val="16"/>
          <w:szCs w:val="16"/>
          <w:lang w:eastAsia="es-PE"/>
        </w:rPr>
      </w:pPr>
      <w:r w:rsidRPr="00864FE7">
        <w:rPr>
          <w:rFonts w:ascii="Arial Narrow" w:eastAsia="Times New Roman" w:hAnsi="Arial Narrow" w:cs="Arial"/>
          <w:b/>
          <w:bCs/>
          <w:color w:val="000000"/>
          <w:sz w:val="16"/>
          <w:szCs w:val="16"/>
          <w:lang w:eastAsia="es-PE"/>
        </w:rPr>
        <w:t>NOTIFICACION DE ACTO ADMINISTRATIVO</w:t>
      </w:r>
      <w:r w:rsidR="00741C20">
        <w:rPr>
          <w:rFonts w:ascii="Arial Narrow" w:eastAsia="Times New Roman" w:hAnsi="Arial Narrow" w:cs="Arial"/>
          <w:b/>
          <w:bCs/>
          <w:color w:val="000000"/>
          <w:sz w:val="16"/>
          <w:szCs w:val="16"/>
          <w:lang w:eastAsia="es-PE"/>
        </w:rPr>
        <w:br/>
      </w:r>
      <w:r w:rsidR="00741C20" w:rsidRPr="00EC0EF1">
        <w:rPr>
          <w:rFonts w:ascii="Arial Narrow" w:hAnsi="Arial Narrow"/>
          <w:bCs/>
          <w:sz w:val="16"/>
          <w:szCs w:val="16"/>
        </w:rPr>
        <w:t>(Publicada en el Boletín del Diario Oficial El Peruano el</w:t>
      </w:r>
      <w:r w:rsidR="00741C20" w:rsidRPr="00814C93">
        <w:rPr>
          <w:rFonts w:ascii="Arial Narrow" w:hAnsi="Arial Narrow"/>
          <w:sz w:val="16"/>
          <w:szCs w:val="16"/>
        </w:rPr>
        <w:t xml:space="preserve"> 1</w:t>
      </w:r>
      <w:r w:rsidR="00741C20">
        <w:rPr>
          <w:rFonts w:ascii="Arial Narrow" w:hAnsi="Arial Narrow"/>
          <w:sz w:val="16"/>
          <w:szCs w:val="16"/>
        </w:rPr>
        <w:t>8</w:t>
      </w:r>
      <w:r w:rsidR="00741C20" w:rsidRPr="00EC0EF1">
        <w:rPr>
          <w:rFonts w:ascii="Arial Narrow" w:hAnsi="Arial Narrow"/>
          <w:bCs/>
          <w:sz w:val="16"/>
          <w:szCs w:val="16"/>
        </w:rPr>
        <w:t>.01.2024)</w:t>
      </w:r>
    </w:p>
    <w:p w14:paraId="65BF949D" w14:textId="77777777" w:rsidR="00EE7689" w:rsidRPr="00864FE7" w:rsidRDefault="00EE7689" w:rsidP="00864FE7">
      <w:pPr>
        <w:tabs>
          <w:tab w:val="left" w:pos="10271"/>
        </w:tabs>
        <w:spacing w:after="0" w:line="0" w:lineRule="atLeast"/>
        <w:ind w:left="851" w:right="1266"/>
        <w:contextualSpacing/>
        <w:jc w:val="center"/>
        <w:rPr>
          <w:rFonts w:ascii="Arial Narrow" w:eastAsia="Times New Roman" w:hAnsi="Arial Narrow" w:cs="Arial"/>
          <w:color w:val="000000"/>
          <w:sz w:val="16"/>
          <w:szCs w:val="16"/>
          <w:lang w:eastAsia="es-PE"/>
        </w:rPr>
      </w:pPr>
    </w:p>
    <w:p w14:paraId="216AC7F9" w14:textId="0DD2734F" w:rsidR="00EE7689" w:rsidRPr="00864FE7" w:rsidRDefault="00EE7689" w:rsidP="00170F4B">
      <w:pPr>
        <w:pStyle w:val="Textoindependiente2"/>
        <w:tabs>
          <w:tab w:val="left" w:pos="1418"/>
        </w:tabs>
        <w:spacing w:line="0" w:lineRule="atLeast"/>
        <w:ind w:left="851" w:right="1266"/>
        <w:contextualSpacing/>
        <w:rPr>
          <w:rFonts w:ascii="Arial Narrow" w:hAnsi="Arial Narrow" w:cs="Arial"/>
          <w:sz w:val="16"/>
          <w:szCs w:val="16"/>
        </w:rPr>
      </w:pPr>
      <w:r w:rsidRPr="00864FE7">
        <w:rPr>
          <w:rFonts w:ascii="Arial Narrow" w:hAnsi="Arial Narrow" w:cs="Arial"/>
          <w:color w:val="000000"/>
          <w:sz w:val="16"/>
          <w:szCs w:val="16"/>
          <w:lang w:eastAsia="es-PE"/>
        </w:rPr>
        <w:t xml:space="preserve">La División de </w:t>
      </w:r>
      <w:r w:rsidR="00FA133D" w:rsidRPr="00864FE7">
        <w:rPr>
          <w:rFonts w:ascii="Arial Narrow" w:hAnsi="Arial Narrow" w:cs="Arial"/>
          <w:color w:val="000000"/>
          <w:sz w:val="16"/>
          <w:szCs w:val="16"/>
          <w:lang w:eastAsia="es-PE"/>
        </w:rPr>
        <w:t>Control Operativo</w:t>
      </w:r>
      <w:r w:rsidRPr="00864FE7">
        <w:rPr>
          <w:rFonts w:ascii="Arial Narrow" w:hAnsi="Arial Narrow" w:cs="Arial"/>
          <w:color w:val="000000"/>
          <w:sz w:val="16"/>
          <w:szCs w:val="16"/>
          <w:lang w:eastAsia="es-PE"/>
        </w:rPr>
        <w:t xml:space="preserve"> de la Intendencia </w:t>
      </w:r>
      <w:r w:rsidR="00FA133D" w:rsidRPr="00864FE7">
        <w:rPr>
          <w:rFonts w:ascii="Arial Narrow" w:hAnsi="Arial Narrow" w:cs="Arial"/>
          <w:color w:val="000000"/>
          <w:sz w:val="16"/>
          <w:szCs w:val="16"/>
          <w:lang w:eastAsia="es-PE"/>
        </w:rPr>
        <w:t>de Aduanas de Chiclayo</w:t>
      </w:r>
      <w:r w:rsidRPr="00864FE7">
        <w:rPr>
          <w:rFonts w:ascii="Arial Narrow" w:hAnsi="Arial Narrow" w:cs="Arial"/>
          <w:color w:val="000000"/>
          <w:sz w:val="16"/>
          <w:szCs w:val="16"/>
          <w:lang w:eastAsia="es-PE"/>
        </w:rPr>
        <w:t xml:space="preserve">, cumple con notificar el Acta de Incautación </w:t>
      </w:r>
      <w:proofErr w:type="spellStart"/>
      <w:r w:rsidRPr="00864FE7">
        <w:rPr>
          <w:rFonts w:ascii="Arial Narrow" w:hAnsi="Arial Narrow" w:cs="Arial"/>
          <w:color w:val="000000"/>
          <w:sz w:val="16"/>
          <w:szCs w:val="16"/>
          <w:lang w:eastAsia="es-PE"/>
        </w:rPr>
        <w:t>N°</w:t>
      </w:r>
      <w:proofErr w:type="spellEnd"/>
      <w:r w:rsidRPr="00864FE7">
        <w:rPr>
          <w:rFonts w:ascii="Arial Narrow" w:hAnsi="Arial Narrow" w:cs="Arial"/>
          <w:color w:val="000000"/>
          <w:sz w:val="16"/>
          <w:szCs w:val="16"/>
          <w:lang w:eastAsia="es-PE"/>
        </w:rPr>
        <w:t xml:space="preserve"> </w:t>
      </w:r>
      <w:r w:rsidR="00FA133D" w:rsidRPr="00864FE7">
        <w:rPr>
          <w:rFonts w:ascii="Arial Narrow" w:hAnsi="Arial Narrow" w:cs="Arial"/>
          <w:color w:val="000000"/>
          <w:sz w:val="16"/>
          <w:szCs w:val="16"/>
          <w:lang w:eastAsia="es-PE"/>
        </w:rPr>
        <w:t>055-0300-2023-0001</w:t>
      </w:r>
      <w:r w:rsidR="00AA1CFE" w:rsidRPr="00864FE7">
        <w:rPr>
          <w:rFonts w:ascii="Arial Narrow" w:hAnsi="Arial Narrow" w:cs="Arial"/>
          <w:color w:val="000000"/>
          <w:sz w:val="16"/>
          <w:szCs w:val="16"/>
          <w:lang w:eastAsia="es-PE"/>
        </w:rPr>
        <w:t>20</w:t>
      </w:r>
      <w:r w:rsidRPr="00864FE7">
        <w:rPr>
          <w:rFonts w:ascii="Arial Narrow" w:hAnsi="Arial Narrow" w:cs="Arial"/>
          <w:color w:val="000000"/>
          <w:sz w:val="16"/>
          <w:szCs w:val="16"/>
          <w:lang w:eastAsia="es-PE"/>
        </w:rPr>
        <w:t xml:space="preserve"> a</w:t>
      </w:r>
      <w:r w:rsidR="004E1B8D" w:rsidRPr="00864FE7">
        <w:rPr>
          <w:rFonts w:ascii="Arial Narrow" w:hAnsi="Arial Narrow" w:cs="Arial"/>
          <w:color w:val="000000"/>
          <w:sz w:val="16"/>
          <w:szCs w:val="16"/>
          <w:lang w:eastAsia="es-PE"/>
        </w:rPr>
        <w:t>l</w:t>
      </w:r>
      <w:r w:rsidRPr="00864FE7">
        <w:rPr>
          <w:rFonts w:ascii="Arial Narrow" w:hAnsi="Arial Narrow" w:cs="Arial"/>
          <w:color w:val="000000"/>
          <w:sz w:val="16"/>
          <w:szCs w:val="16"/>
          <w:lang w:eastAsia="es-PE"/>
        </w:rPr>
        <w:t xml:space="preserve"> Sr. </w:t>
      </w:r>
      <w:r w:rsidR="004E1B8D" w:rsidRPr="00864FE7">
        <w:rPr>
          <w:rFonts w:ascii="Arial Narrow" w:hAnsi="Arial Narrow" w:cs="Arial"/>
          <w:color w:val="000000"/>
          <w:sz w:val="16"/>
          <w:szCs w:val="16"/>
          <w:lang w:eastAsia="es-PE"/>
        </w:rPr>
        <w:t xml:space="preserve">Edgar </w:t>
      </w:r>
      <w:proofErr w:type="spellStart"/>
      <w:r w:rsidR="004E1B8D" w:rsidRPr="00864FE7">
        <w:rPr>
          <w:rFonts w:ascii="Arial Narrow" w:hAnsi="Arial Narrow" w:cs="Arial"/>
          <w:color w:val="000000"/>
          <w:sz w:val="16"/>
          <w:szCs w:val="16"/>
          <w:lang w:eastAsia="es-PE"/>
        </w:rPr>
        <w:t>Ferdinan</w:t>
      </w:r>
      <w:proofErr w:type="spellEnd"/>
      <w:r w:rsidR="004E1B8D" w:rsidRPr="00864FE7">
        <w:rPr>
          <w:rFonts w:ascii="Arial Narrow" w:hAnsi="Arial Narrow" w:cs="Arial"/>
          <w:color w:val="000000"/>
          <w:sz w:val="16"/>
          <w:szCs w:val="16"/>
          <w:lang w:eastAsia="es-PE"/>
        </w:rPr>
        <w:t xml:space="preserve"> Onofre Condori</w:t>
      </w:r>
      <w:r w:rsidRPr="00864FE7">
        <w:rPr>
          <w:rFonts w:ascii="Arial Narrow" w:hAnsi="Arial Narrow" w:cs="Arial"/>
          <w:color w:val="000000"/>
          <w:sz w:val="16"/>
          <w:szCs w:val="16"/>
          <w:lang w:eastAsia="es-PE"/>
        </w:rPr>
        <w:t>, identificad</w:t>
      </w:r>
      <w:r w:rsidR="004E1B8D" w:rsidRPr="00864FE7">
        <w:rPr>
          <w:rFonts w:ascii="Arial Narrow" w:hAnsi="Arial Narrow" w:cs="Arial"/>
          <w:color w:val="000000"/>
          <w:sz w:val="16"/>
          <w:szCs w:val="16"/>
          <w:lang w:eastAsia="es-PE"/>
        </w:rPr>
        <w:t>o</w:t>
      </w:r>
      <w:r w:rsidRPr="00864FE7">
        <w:rPr>
          <w:rFonts w:ascii="Arial Narrow" w:hAnsi="Arial Narrow" w:cs="Arial"/>
          <w:color w:val="000000"/>
          <w:sz w:val="16"/>
          <w:szCs w:val="16"/>
          <w:lang w:eastAsia="es-PE"/>
        </w:rPr>
        <w:t xml:space="preserve"> con </w:t>
      </w:r>
      <w:r w:rsidR="000968DB" w:rsidRPr="00864FE7">
        <w:rPr>
          <w:rFonts w:ascii="Arial Narrow" w:hAnsi="Arial Narrow" w:cs="Arial"/>
          <w:color w:val="000000"/>
          <w:sz w:val="16"/>
          <w:szCs w:val="16"/>
          <w:lang w:eastAsia="es-PE"/>
        </w:rPr>
        <w:t>DNI</w:t>
      </w:r>
      <w:r w:rsidRPr="00864FE7">
        <w:rPr>
          <w:rFonts w:ascii="Arial Narrow" w:hAnsi="Arial Narrow" w:cs="Arial"/>
          <w:color w:val="000000"/>
          <w:sz w:val="16"/>
          <w:szCs w:val="16"/>
          <w:lang w:eastAsia="es-PE"/>
        </w:rPr>
        <w:t xml:space="preserve"> </w:t>
      </w:r>
      <w:proofErr w:type="spellStart"/>
      <w:r w:rsidRPr="00864FE7">
        <w:rPr>
          <w:rFonts w:ascii="Arial Narrow" w:hAnsi="Arial Narrow" w:cs="Arial"/>
          <w:color w:val="000000"/>
          <w:sz w:val="16"/>
          <w:szCs w:val="16"/>
          <w:lang w:eastAsia="es-PE"/>
        </w:rPr>
        <w:t>N°</w:t>
      </w:r>
      <w:proofErr w:type="spellEnd"/>
      <w:r w:rsidRPr="00864FE7">
        <w:rPr>
          <w:rFonts w:ascii="Arial Narrow" w:hAnsi="Arial Narrow" w:cs="Arial"/>
          <w:color w:val="000000"/>
          <w:sz w:val="16"/>
          <w:szCs w:val="16"/>
          <w:lang w:eastAsia="es-PE"/>
        </w:rPr>
        <w:t xml:space="preserve"> </w:t>
      </w:r>
      <w:r w:rsidR="004E1B8D" w:rsidRPr="00864FE7">
        <w:rPr>
          <w:rFonts w:ascii="Arial Narrow" w:hAnsi="Arial Narrow" w:cs="Arial"/>
          <w:color w:val="000000"/>
          <w:sz w:val="16"/>
          <w:szCs w:val="16"/>
          <w:lang w:eastAsia="es-PE"/>
        </w:rPr>
        <w:t xml:space="preserve">72455173 y el  Acta de Incautación </w:t>
      </w:r>
      <w:proofErr w:type="spellStart"/>
      <w:r w:rsidR="004E1B8D" w:rsidRPr="00864FE7">
        <w:rPr>
          <w:rFonts w:ascii="Arial Narrow" w:hAnsi="Arial Narrow" w:cs="Arial"/>
          <w:color w:val="000000"/>
          <w:sz w:val="16"/>
          <w:szCs w:val="16"/>
          <w:lang w:eastAsia="es-PE"/>
        </w:rPr>
        <w:t>N°</w:t>
      </w:r>
      <w:proofErr w:type="spellEnd"/>
      <w:r w:rsidR="004E1B8D" w:rsidRPr="00864FE7">
        <w:rPr>
          <w:rFonts w:ascii="Arial Narrow" w:hAnsi="Arial Narrow" w:cs="Arial"/>
          <w:color w:val="000000"/>
          <w:sz w:val="16"/>
          <w:szCs w:val="16"/>
          <w:lang w:eastAsia="es-PE"/>
        </w:rPr>
        <w:t xml:space="preserve"> 055-0300-2023-000136 a la Sra. Diana Pillaca Huaman identificada con DNI </w:t>
      </w:r>
      <w:proofErr w:type="spellStart"/>
      <w:r w:rsidR="004E1B8D" w:rsidRPr="00864FE7">
        <w:rPr>
          <w:rFonts w:ascii="Arial Narrow" w:hAnsi="Arial Narrow" w:cs="Arial"/>
          <w:color w:val="000000"/>
          <w:sz w:val="16"/>
          <w:szCs w:val="16"/>
          <w:lang w:eastAsia="es-PE"/>
        </w:rPr>
        <w:t>N°</w:t>
      </w:r>
      <w:proofErr w:type="spellEnd"/>
      <w:r w:rsidR="004E1B8D" w:rsidRPr="00864FE7">
        <w:rPr>
          <w:rFonts w:ascii="Arial Narrow" w:hAnsi="Arial Narrow" w:cs="Arial"/>
          <w:color w:val="000000"/>
          <w:sz w:val="16"/>
          <w:szCs w:val="16"/>
          <w:lang w:eastAsia="es-PE"/>
        </w:rPr>
        <w:t xml:space="preserve"> 43129553</w:t>
      </w:r>
      <w:r w:rsidRPr="00864FE7">
        <w:rPr>
          <w:rFonts w:ascii="Arial Narrow" w:hAnsi="Arial Narrow" w:cs="Arial"/>
          <w:color w:val="000000"/>
          <w:sz w:val="16"/>
          <w:szCs w:val="16"/>
          <w:lang w:eastAsia="es-PE"/>
        </w:rPr>
        <w:t xml:space="preserve">, conforme a lo dispuesto en el </w:t>
      </w:r>
      <w:r w:rsidR="000968DB" w:rsidRPr="00864FE7">
        <w:rPr>
          <w:rFonts w:ascii="Arial Narrow" w:hAnsi="Arial Narrow" w:cs="Arial"/>
          <w:color w:val="000000"/>
          <w:sz w:val="16"/>
          <w:szCs w:val="16"/>
          <w:lang w:eastAsia="es-PE"/>
        </w:rPr>
        <w:t xml:space="preserve">último párrafo del </w:t>
      </w:r>
      <w:r w:rsidRPr="00864FE7">
        <w:rPr>
          <w:rFonts w:ascii="Arial Narrow" w:hAnsi="Arial Narrow" w:cs="Arial"/>
          <w:color w:val="000000"/>
          <w:sz w:val="16"/>
          <w:szCs w:val="16"/>
          <w:lang w:eastAsia="es-PE"/>
        </w:rPr>
        <w:t>numeral e) del artículo 104° del Texto Único Ordenado del Código Tributario - Decreto Supremo 133-</w:t>
      </w:r>
      <w:r w:rsidR="005D53F9" w:rsidRPr="00864FE7">
        <w:rPr>
          <w:rFonts w:ascii="Arial Narrow" w:hAnsi="Arial Narrow" w:cs="Arial"/>
          <w:color w:val="000000"/>
          <w:sz w:val="16"/>
          <w:szCs w:val="16"/>
          <w:lang w:eastAsia="es-PE"/>
        </w:rPr>
        <w:t>20</w:t>
      </w:r>
      <w:r w:rsidRPr="00864FE7">
        <w:rPr>
          <w:rFonts w:ascii="Arial Narrow" w:hAnsi="Arial Narrow" w:cs="Arial"/>
          <w:color w:val="000000"/>
          <w:sz w:val="16"/>
          <w:szCs w:val="16"/>
          <w:lang w:eastAsia="es-PE"/>
        </w:rPr>
        <w:t xml:space="preserve">13-EF y normas modificatorias, toda vez que </w:t>
      </w:r>
      <w:r w:rsidRPr="00864FE7">
        <w:rPr>
          <w:rFonts w:ascii="Arial Narrow" w:hAnsi="Arial Narrow" w:cs="Arial"/>
          <w:sz w:val="16"/>
          <w:szCs w:val="16"/>
        </w:rPr>
        <w:t>no fue posible notificar en su domicilio fiscal</w:t>
      </w:r>
      <w:r w:rsidR="000968DB" w:rsidRPr="00864FE7">
        <w:rPr>
          <w:rFonts w:ascii="Arial Narrow" w:hAnsi="Arial Narrow" w:cs="Arial"/>
          <w:sz w:val="16"/>
          <w:szCs w:val="16"/>
        </w:rPr>
        <w:t xml:space="preserve"> presunto</w:t>
      </w:r>
      <w:r w:rsidRPr="00864FE7">
        <w:rPr>
          <w:rFonts w:ascii="Arial Narrow" w:hAnsi="Arial Narrow" w:cs="Arial"/>
          <w:sz w:val="16"/>
          <w:szCs w:val="16"/>
        </w:rPr>
        <w:t xml:space="preserve">, </w:t>
      </w:r>
      <w:r w:rsidR="005D53F9" w:rsidRPr="00864FE7">
        <w:rPr>
          <w:rFonts w:ascii="Arial Narrow" w:hAnsi="Arial Narrow" w:cs="Arial"/>
          <w:sz w:val="16"/>
          <w:szCs w:val="16"/>
        </w:rPr>
        <w:t>por causa imputable al administrado</w:t>
      </w:r>
      <w:r w:rsidRPr="00864FE7">
        <w:rPr>
          <w:rFonts w:ascii="Arial Narrow" w:hAnsi="Arial Narrow" w:cs="Arial"/>
          <w:color w:val="000000"/>
          <w:sz w:val="16"/>
          <w:szCs w:val="16"/>
          <w:lang w:eastAsia="es-PE"/>
        </w:rPr>
        <w:t>; pudiendo apersonarse a recoger las copias correspondientes de las citadas actas, en la Sede Aduanera</w:t>
      </w:r>
      <w:r w:rsidRPr="00864FE7">
        <w:rPr>
          <w:rFonts w:ascii="Arial Narrow" w:hAnsi="Arial Narrow" w:cs="Arial"/>
          <w:sz w:val="16"/>
          <w:szCs w:val="16"/>
        </w:rPr>
        <w:t xml:space="preserve"> ubicada en Av. </w:t>
      </w:r>
      <w:r w:rsidR="00FA133D" w:rsidRPr="00864FE7">
        <w:rPr>
          <w:rFonts w:ascii="Arial Narrow" w:hAnsi="Arial Narrow" w:cs="Arial"/>
          <w:sz w:val="16"/>
          <w:szCs w:val="16"/>
        </w:rPr>
        <w:t>Jos</w:t>
      </w:r>
      <w:r w:rsidR="00170F4B">
        <w:rPr>
          <w:rFonts w:ascii="Arial Narrow" w:hAnsi="Arial Narrow" w:cs="Arial"/>
          <w:sz w:val="16"/>
          <w:szCs w:val="16"/>
        </w:rPr>
        <w:t>é</w:t>
      </w:r>
      <w:r w:rsidR="00FA133D" w:rsidRPr="00864FE7">
        <w:rPr>
          <w:rFonts w:ascii="Arial Narrow" w:hAnsi="Arial Narrow" w:cs="Arial"/>
          <w:sz w:val="16"/>
          <w:szCs w:val="16"/>
        </w:rPr>
        <w:t xml:space="preserve"> Leonardo Ortiz </w:t>
      </w:r>
      <w:proofErr w:type="spellStart"/>
      <w:r w:rsidR="00FA133D" w:rsidRPr="00864FE7">
        <w:rPr>
          <w:rFonts w:ascii="Arial Narrow" w:hAnsi="Arial Narrow" w:cs="Arial"/>
          <w:sz w:val="16"/>
          <w:szCs w:val="16"/>
        </w:rPr>
        <w:t>N°</w:t>
      </w:r>
      <w:proofErr w:type="spellEnd"/>
      <w:r w:rsidR="00FA133D" w:rsidRPr="00864FE7">
        <w:rPr>
          <w:rFonts w:ascii="Arial Narrow" w:hAnsi="Arial Narrow" w:cs="Arial"/>
          <w:sz w:val="16"/>
          <w:szCs w:val="16"/>
        </w:rPr>
        <w:t xml:space="preserve"> 195, Chiclayo, Chiclayo, Lambayeque</w:t>
      </w:r>
      <w:r w:rsidRPr="00864FE7">
        <w:rPr>
          <w:rFonts w:ascii="Arial Narrow" w:hAnsi="Arial Narrow" w:cs="Arial"/>
          <w:sz w:val="16"/>
          <w:szCs w:val="16"/>
        </w:rPr>
        <w:t xml:space="preserve">, en el siguiente horario: Lunes a Viernes de 8:30 hrs. a 16:30 hrs. Adicionalmente cualquier coordinación puede realizarla comunicándose a la Central Telefónica 01 6343600 anexo </w:t>
      </w:r>
      <w:r w:rsidR="00FA133D" w:rsidRPr="00864FE7">
        <w:rPr>
          <w:rFonts w:ascii="Arial Narrow" w:hAnsi="Arial Narrow" w:cs="Arial"/>
          <w:sz w:val="16"/>
          <w:szCs w:val="16"/>
        </w:rPr>
        <w:t>40821.</w:t>
      </w:r>
      <w:r w:rsidRPr="00864FE7">
        <w:rPr>
          <w:rFonts w:ascii="Arial Narrow" w:hAnsi="Arial Narrow" w:cs="Arial"/>
          <w:sz w:val="16"/>
          <w:szCs w:val="16"/>
        </w:rPr>
        <w:t xml:space="preserve"> </w:t>
      </w:r>
    </w:p>
    <w:p w14:paraId="469A8246" w14:textId="299C71B1" w:rsidR="004E1B8D" w:rsidRPr="00864FE7" w:rsidRDefault="00FA133D" w:rsidP="00864FE7">
      <w:pPr>
        <w:spacing w:after="0" w:line="0" w:lineRule="atLeast"/>
        <w:ind w:left="851" w:right="1266"/>
        <w:jc w:val="both"/>
        <w:rPr>
          <w:rFonts w:ascii="Arial Narrow" w:hAnsi="Arial Narrow" w:cs="Arial"/>
          <w:sz w:val="16"/>
          <w:szCs w:val="16"/>
        </w:rPr>
      </w:pPr>
      <w:r w:rsidRPr="00864FE7">
        <w:rPr>
          <w:rFonts w:ascii="Arial Narrow" w:hAnsi="Arial Narrow" w:cs="Arial"/>
          <w:sz w:val="16"/>
          <w:szCs w:val="16"/>
        </w:rPr>
        <w:t xml:space="preserve">La referida medida preventiva de incautación ha recaído sobre mercancías que se encontraban, al momento de la intervención, siendo trasladadas en la bodega del bus con la </w:t>
      </w:r>
      <w:r w:rsidR="004E1B8D" w:rsidRPr="00864FE7">
        <w:rPr>
          <w:rFonts w:ascii="Arial Narrow" w:hAnsi="Arial Narrow" w:cs="Arial"/>
          <w:sz w:val="16"/>
          <w:szCs w:val="16"/>
        </w:rPr>
        <w:t>siguiente documentación:</w:t>
      </w:r>
    </w:p>
    <w:tbl>
      <w:tblPr>
        <w:tblStyle w:val="Tablaconcuadrculaclara"/>
        <w:tblW w:w="6417" w:type="dxa"/>
        <w:tblInd w:w="846" w:type="dxa"/>
        <w:tblLook w:val="04A0" w:firstRow="1" w:lastRow="0" w:firstColumn="1" w:lastColumn="0" w:noHBand="0" w:noVBand="1"/>
      </w:tblPr>
      <w:tblGrid>
        <w:gridCol w:w="1838"/>
        <w:gridCol w:w="4579"/>
      </w:tblGrid>
      <w:tr w:rsidR="00864FE7" w:rsidRPr="00864FE7" w14:paraId="5AE58119" w14:textId="77777777" w:rsidTr="00864FE7">
        <w:trPr>
          <w:trHeight w:val="20"/>
        </w:trPr>
        <w:tc>
          <w:tcPr>
            <w:tcW w:w="1838" w:type="dxa"/>
            <w:vAlign w:val="center"/>
          </w:tcPr>
          <w:p w14:paraId="4B1B4D2A" w14:textId="21A71B7D"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Acta de Incautación</w:t>
            </w:r>
          </w:p>
        </w:tc>
        <w:tc>
          <w:tcPr>
            <w:tcW w:w="4579" w:type="dxa"/>
            <w:vAlign w:val="center"/>
          </w:tcPr>
          <w:p w14:paraId="716C181A" w14:textId="59A8DA30"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Documento de traslado</w:t>
            </w:r>
          </w:p>
        </w:tc>
      </w:tr>
      <w:tr w:rsidR="00864FE7" w:rsidRPr="00864FE7" w14:paraId="2B9E765F" w14:textId="77777777" w:rsidTr="00864FE7">
        <w:trPr>
          <w:trHeight w:val="20"/>
        </w:trPr>
        <w:tc>
          <w:tcPr>
            <w:tcW w:w="1838" w:type="dxa"/>
            <w:vAlign w:val="center"/>
          </w:tcPr>
          <w:p w14:paraId="31968C67" w14:textId="5F2E0460"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hAnsi="Arial Narrow" w:cs="Arial"/>
                <w:color w:val="000000"/>
                <w:sz w:val="16"/>
                <w:szCs w:val="16"/>
                <w:lang w:eastAsia="es-PE"/>
              </w:rPr>
              <w:t>N° 055-0300-2023-000120</w:t>
            </w:r>
          </w:p>
        </w:tc>
        <w:tc>
          <w:tcPr>
            <w:tcW w:w="4579" w:type="dxa"/>
            <w:vAlign w:val="center"/>
          </w:tcPr>
          <w:p w14:paraId="7795099B" w14:textId="6FB169B7"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Boleta de Venta Electrónica N° BE07-00734770 emitida por la empresa de transportes AVE FENIX SAC</w:t>
            </w:r>
          </w:p>
        </w:tc>
      </w:tr>
      <w:tr w:rsidR="00864FE7" w:rsidRPr="00864FE7" w14:paraId="4E645D2F" w14:textId="77777777" w:rsidTr="00864FE7">
        <w:trPr>
          <w:trHeight w:val="20"/>
        </w:trPr>
        <w:tc>
          <w:tcPr>
            <w:tcW w:w="1838" w:type="dxa"/>
            <w:vAlign w:val="center"/>
          </w:tcPr>
          <w:p w14:paraId="7B7AA769" w14:textId="461F405D" w:rsidR="004E1B8D" w:rsidRPr="00864FE7" w:rsidRDefault="004E1B8D" w:rsidP="00864FE7">
            <w:pPr>
              <w:spacing w:after="0" w:line="0" w:lineRule="atLeast"/>
              <w:jc w:val="center"/>
              <w:rPr>
                <w:rFonts w:ascii="Arial Narrow" w:hAnsi="Arial Narrow" w:cs="Arial"/>
                <w:color w:val="000000"/>
                <w:sz w:val="16"/>
                <w:szCs w:val="16"/>
                <w:lang w:eastAsia="es-PE"/>
              </w:rPr>
            </w:pPr>
            <w:r w:rsidRPr="00864FE7">
              <w:rPr>
                <w:rFonts w:ascii="Arial Narrow" w:hAnsi="Arial Narrow" w:cs="Arial"/>
                <w:color w:val="000000"/>
                <w:sz w:val="16"/>
                <w:szCs w:val="16"/>
                <w:lang w:eastAsia="es-PE"/>
              </w:rPr>
              <w:t>N° 055-0300-2023-000136</w:t>
            </w:r>
          </w:p>
        </w:tc>
        <w:tc>
          <w:tcPr>
            <w:tcW w:w="4579" w:type="dxa"/>
            <w:vAlign w:val="center"/>
          </w:tcPr>
          <w:p w14:paraId="2B754EFF" w14:textId="595B244E"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Guía Interna de traslado 2003-00025556 emitida por la empresa de transportes FLORES HNOS SRL</w:t>
            </w:r>
          </w:p>
        </w:tc>
      </w:tr>
    </w:tbl>
    <w:p w14:paraId="63323C2F" w14:textId="098D25EB" w:rsidR="00EE7689" w:rsidRPr="00864FE7" w:rsidRDefault="000968DB" w:rsidP="00864FE7">
      <w:pPr>
        <w:spacing w:after="0" w:line="0" w:lineRule="atLeast"/>
        <w:ind w:left="851" w:right="1266"/>
        <w:jc w:val="both"/>
        <w:rPr>
          <w:rFonts w:ascii="Arial Narrow" w:eastAsia="Times New Roman" w:hAnsi="Arial Narrow" w:cs="Arial"/>
          <w:sz w:val="16"/>
          <w:szCs w:val="16"/>
          <w:lang w:val="es-ES" w:eastAsia="es-ES"/>
        </w:rPr>
      </w:pPr>
      <w:r w:rsidRPr="00864FE7">
        <w:rPr>
          <w:rFonts w:ascii="Arial Narrow" w:eastAsia="Times New Roman" w:hAnsi="Arial Narrow" w:cs="Arial"/>
          <w:sz w:val="16"/>
          <w:szCs w:val="16"/>
          <w:lang w:val="es-ES" w:eastAsia="es-ES"/>
        </w:rPr>
        <w:t>Asimismo, se hace de conocimiento que de conformidad con lo dispuesto en el numeral VII literal E) inciso 3 y 4 del Procedimiento Específico: CONTROL-PE.00.01: INMOVILIZACION-INCAUTACION Y</w:t>
      </w:r>
      <w:r w:rsidR="00170F4B">
        <w:rPr>
          <w:rFonts w:ascii="Arial Narrow" w:eastAsia="Times New Roman" w:hAnsi="Arial Narrow" w:cs="Arial"/>
          <w:sz w:val="16"/>
          <w:szCs w:val="16"/>
          <w:lang w:val="es-ES" w:eastAsia="es-ES"/>
        </w:rPr>
        <w:t xml:space="preserve"> </w:t>
      </w:r>
      <w:r w:rsidRPr="00864FE7">
        <w:rPr>
          <w:rFonts w:ascii="Arial Narrow" w:eastAsia="Times New Roman" w:hAnsi="Arial Narrow" w:cs="Arial"/>
          <w:sz w:val="16"/>
          <w:szCs w:val="16"/>
          <w:lang w:val="es-ES" w:eastAsia="es-ES"/>
        </w:rPr>
        <w:t xml:space="preserve">DETERMINACION LEGAL DE MERCANCÍAS, el plazo para solicitar la devolución de las mercancías incautadas por la comisión de las infracciones administrativas tipificadas en la legislación aduanera es de veinte (20) días hábiles, contados a partir del día siguiente de </w:t>
      </w:r>
      <w:r w:rsidR="005D53F9" w:rsidRPr="00864FE7">
        <w:rPr>
          <w:rFonts w:ascii="Arial Narrow" w:eastAsia="Times New Roman" w:hAnsi="Arial Narrow" w:cs="Arial"/>
          <w:sz w:val="16"/>
          <w:szCs w:val="16"/>
          <w:lang w:val="es-ES" w:eastAsia="es-ES"/>
        </w:rPr>
        <w:t>publicada la presente notificación</w:t>
      </w:r>
      <w:r w:rsidRPr="00864FE7">
        <w:rPr>
          <w:rFonts w:ascii="Arial Narrow" w:eastAsia="Times New Roman" w:hAnsi="Arial Narrow" w:cs="Arial"/>
          <w:sz w:val="16"/>
          <w:szCs w:val="16"/>
          <w:lang w:val="es-ES" w:eastAsia="es-ES"/>
        </w:rPr>
        <w:t>.</w:t>
      </w:r>
    </w:p>
    <w:tbl>
      <w:tblPr>
        <w:tblStyle w:val="Tablaconcuadrculaclara"/>
        <w:tblW w:w="6374" w:type="dxa"/>
        <w:tblInd w:w="846" w:type="dxa"/>
        <w:tblLook w:val="04A0" w:firstRow="1" w:lastRow="0" w:firstColumn="1" w:lastColumn="0" w:noHBand="0" w:noVBand="1"/>
      </w:tblPr>
      <w:tblGrid>
        <w:gridCol w:w="2117"/>
        <w:gridCol w:w="800"/>
        <w:gridCol w:w="1756"/>
        <w:gridCol w:w="1701"/>
      </w:tblGrid>
      <w:tr w:rsidR="00864FE7" w:rsidRPr="00864FE7" w14:paraId="52C13141" w14:textId="77777777" w:rsidTr="00170F4B">
        <w:trPr>
          <w:trHeight w:val="20"/>
        </w:trPr>
        <w:tc>
          <w:tcPr>
            <w:tcW w:w="2117" w:type="dxa"/>
            <w:vAlign w:val="center"/>
          </w:tcPr>
          <w:p w14:paraId="193BB6E9" w14:textId="77777777" w:rsidR="005D53F9" w:rsidRPr="00864FE7" w:rsidRDefault="005D53F9"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ADMINISTRADO</w:t>
            </w:r>
          </w:p>
        </w:tc>
        <w:tc>
          <w:tcPr>
            <w:tcW w:w="800" w:type="dxa"/>
            <w:vAlign w:val="center"/>
          </w:tcPr>
          <w:p w14:paraId="22E4C856" w14:textId="77777777" w:rsidR="005D53F9" w:rsidRPr="00864FE7" w:rsidRDefault="005D53F9"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DNI</w:t>
            </w:r>
          </w:p>
        </w:tc>
        <w:tc>
          <w:tcPr>
            <w:tcW w:w="1756" w:type="dxa"/>
            <w:vAlign w:val="center"/>
          </w:tcPr>
          <w:p w14:paraId="3DE64DDB" w14:textId="77777777" w:rsidR="005D53F9" w:rsidRPr="00864FE7" w:rsidRDefault="005D53F9"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TIPO/NATURALEZA DEL DOCUMENTO</w:t>
            </w:r>
          </w:p>
        </w:tc>
        <w:tc>
          <w:tcPr>
            <w:tcW w:w="1701" w:type="dxa"/>
            <w:vAlign w:val="center"/>
          </w:tcPr>
          <w:p w14:paraId="47459064" w14:textId="77777777" w:rsidR="005D53F9" w:rsidRPr="00864FE7" w:rsidRDefault="005D53F9"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N° DE DOCUMENTO</w:t>
            </w:r>
          </w:p>
        </w:tc>
      </w:tr>
      <w:tr w:rsidR="00864FE7" w:rsidRPr="00864FE7" w14:paraId="098C8CF8" w14:textId="77777777" w:rsidTr="00170F4B">
        <w:trPr>
          <w:trHeight w:val="20"/>
        </w:trPr>
        <w:tc>
          <w:tcPr>
            <w:tcW w:w="2117" w:type="dxa"/>
            <w:vAlign w:val="center"/>
          </w:tcPr>
          <w:p w14:paraId="588B7E27" w14:textId="1489EE3F" w:rsidR="00FA133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hAnsi="Arial Narrow" w:cs="Arial"/>
                <w:color w:val="000000"/>
                <w:sz w:val="16"/>
                <w:szCs w:val="16"/>
                <w:lang w:eastAsia="es-PE"/>
              </w:rPr>
              <w:t>Edgar Ferdinan Onofre Condori</w:t>
            </w:r>
          </w:p>
        </w:tc>
        <w:tc>
          <w:tcPr>
            <w:tcW w:w="800" w:type="dxa"/>
            <w:vAlign w:val="center"/>
          </w:tcPr>
          <w:p w14:paraId="7A737B73" w14:textId="33539B22" w:rsidR="00FA133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hAnsi="Arial Narrow" w:cs="Arial"/>
                <w:color w:val="000000"/>
                <w:sz w:val="16"/>
                <w:szCs w:val="16"/>
                <w:lang w:eastAsia="es-PE"/>
              </w:rPr>
              <w:t>72455173</w:t>
            </w:r>
          </w:p>
        </w:tc>
        <w:tc>
          <w:tcPr>
            <w:tcW w:w="1756" w:type="dxa"/>
            <w:vAlign w:val="center"/>
          </w:tcPr>
          <w:p w14:paraId="3B53F073" w14:textId="77777777" w:rsidR="00FA133D" w:rsidRPr="00864FE7" w:rsidRDefault="00FA133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ACTA DE INCAUTACION</w:t>
            </w:r>
          </w:p>
        </w:tc>
        <w:tc>
          <w:tcPr>
            <w:tcW w:w="1701" w:type="dxa"/>
            <w:vAlign w:val="center"/>
          </w:tcPr>
          <w:p w14:paraId="1E3C476B" w14:textId="125B50A0" w:rsidR="00FA133D" w:rsidRPr="00864FE7" w:rsidRDefault="00FA133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055-0300-2023-0001</w:t>
            </w:r>
            <w:r w:rsidR="004E1B8D" w:rsidRPr="00864FE7">
              <w:rPr>
                <w:rFonts w:ascii="Arial Narrow" w:eastAsia="Times New Roman" w:hAnsi="Arial Narrow" w:cs="Arial"/>
                <w:sz w:val="16"/>
                <w:szCs w:val="16"/>
                <w:lang w:eastAsia="es-PE"/>
              </w:rPr>
              <w:t>20</w:t>
            </w:r>
          </w:p>
        </w:tc>
      </w:tr>
      <w:tr w:rsidR="00864FE7" w:rsidRPr="00864FE7" w14:paraId="43F511FF" w14:textId="77777777" w:rsidTr="00170F4B">
        <w:trPr>
          <w:trHeight w:val="20"/>
        </w:trPr>
        <w:tc>
          <w:tcPr>
            <w:tcW w:w="2117" w:type="dxa"/>
            <w:vAlign w:val="center"/>
          </w:tcPr>
          <w:p w14:paraId="40044C47" w14:textId="448701D3"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hAnsi="Arial Narrow" w:cs="Arial"/>
                <w:color w:val="000000"/>
                <w:sz w:val="16"/>
                <w:szCs w:val="16"/>
                <w:lang w:eastAsia="es-PE"/>
              </w:rPr>
              <w:t>Diana Pillaca Huaman</w:t>
            </w:r>
          </w:p>
        </w:tc>
        <w:tc>
          <w:tcPr>
            <w:tcW w:w="800" w:type="dxa"/>
            <w:vAlign w:val="center"/>
          </w:tcPr>
          <w:p w14:paraId="7FEF1C07" w14:textId="55BB202E"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hAnsi="Arial Narrow" w:cs="Arial"/>
                <w:color w:val="000000"/>
                <w:sz w:val="16"/>
                <w:szCs w:val="16"/>
                <w:lang w:eastAsia="es-PE"/>
              </w:rPr>
              <w:t>43129553</w:t>
            </w:r>
          </w:p>
        </w:tc>
        <w:tc>
          <w:tcPr>
            <w:tcW w:w="1756" w:type="dxa"/>
            <w:vAlign w:val="center"/>
          </w:tcPr>
          <w:p w14:paraId="13132963" w14:textId="56D852C9"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ACTA DE INCAUTACION</w:t>
            </w:r>
          </w:p>
        </w:tc>
        <w:tc>
          <w:tcPr>
            <w:tcW w:w="1701" w:type="dxa"/>
            <w:vAlign w:val="center"/>
          </w:tcPr>
          <w:p w14:paraId="612783B8" w14:textId="685E8012" w:rsidR="004E1B8D" w:rsidRPr="00864FE7" w:rsidRDefault="004E1B8D" w:rsidP="00864FE7">
            <w:pPr>
              <w:spacing w:after="0" w:line="0" w:lineRule="atLeast"/>
              <w:jc w:val="center"/>
              <w:rPr>
                <w:rFonts w:ascii="Arial Narrow" w:eastAsia="Times New Roman" w:hAnsi="Arial Narrow" w:cs="Arial"/>
                <w:sz w:val="16"/>
                <w:szCs w:val="16"/>
                <w:lang w:eastAsia="es-PE"/>
              </w:rPr>
            </w:pPr>
            <w:r w:rsidRPr="00864FE7">
              <w:rPr>
                <w:rFonts w:ascii="Arial Narrow" w:eastAsia="Times New Roman" w:hAnsi="Arial Narrow" w:cs="Arial"/>
                <w:sz w:val="16"/>
                <w:szCs w:val="16"/>
                <w:lang w:eastAsia="es-PE"/>
              </w:rPr>
              <w:t>055-0300-2023-000136</w:t>
            </w:r>
          </w:p>
        </w:tc>
      </w:tr>
    </w:tbl>
    <w:p w14:paraId="14D5E6FD" w14:textId="77777777" w:rsidR="00EE7689" w:rsidRPr="00864FE7" w:rsidRDefault="00EE7689" w:rsidP="00864FE7">
      <w:pPr>
        <w:spacing w:after="0" w:line="0" w:lineRule="atLeast"/>
        <w:jc w:val="both"/>
        <w:rPr>
          <w:rFonts w:ascii="Arial Narrow" w:eastAsia="Times New Roman" w:hAnsi="Arial Narrow" w:cs="Arial"/>
          <w:color w:val="000000"/>
          <w:sz w:val="16"/>
          <w:szCs w:val="16"/>
          <w:lang w:eastAsia="es-PE"/>
        </w:rPr>
      </w:pPr>
    </w:p>
    <w:p w14:paraId="25D2B6D8" w14:textId="77777777" w:rsidR="00FA133D" w:rsidRPr="00864FE7" w:rsidRDefault="00FA133D" w:rsidP="00864FE7">
      <w:pPr>
        <w:spacing w:after="0" w:line="0" w:lineRule="atLeast"/>
        <w:jc w:val="both"/>
        <w:rPr>
          <w:rFonts w:ascii="Arial Narrow" w:hAnsi="Arial Narrow" w:cs="Arial"/>
          <w:sz w:val="16"/>
          <w:szCs w:val="16"/>
        </w:rPr>
      </w:pPr>
    </w:p>
    <w:p w14:paraId="3B717FB8" w14:textId="77777777" w:rsidR="00FA133D" w:rsidRPr="00864FE7" w:rsidRDefault="00FA133D" w:rsidP="00864FE7">
      <w:pPr>
        <w:spacing w:after="0" w:line="0" w:lineRule="atLeast"/>
        <w:jc w:val="both"/>
        <w:rPr>
          <w:rFonts w:ascii="Arial Narrow" w:hAnsi="Arial Narrow" w:cs="Arial"/>
          <w:sz w:val="16"/>
          <w:szCs w:val="16"/>
        </w:rPr>
      </w:pPr>
    </w:p>
    <w:p w14:paraId="30FD3B67" w14:textId="77777777" w:rsidR="00FA133D" w:rsidRPr="00864FE7" w:rsidRDefault="00FA133D" w:rsidP="00864FE7">
      <w:pPr>
        <w:spacing w:after="0" w:line="0" w:lineRule="atLeast"/>
        <w:jc w:val="both"/>
        <w:rPr>
          <w:rFonts w:ascii="Arial Narrow" w:hAnsi="Arial Narrow" w:cs="Arial"/>
          <w:sz w:val="16"/>
          <w:szCs w:val="16"/>
        </w:rPr>
      </w:pPr>
    </w:p>
    <w:p w14:paraId="3EE2B7EA" w14:textId="77777777" w:rsidR="00EE7689" w:rsidRPr="00864FE7" w:rsidRDefault="00EE7689" w:rsidP="00864FE7">
      <w:pPr>
        <w:pStyle w:val="Textoindependiente2"/>
        <w:tabs>
          <w:tab w:val="left" w:pos="1418"/>
        </w:tabs>
        <w:spacing w:line="0" w:lineRule="atLeast"/>
        <w:contextualSpacing/>
        <w:rPr>
          <w:rFonts w:ascii="Arial Narrow" w:hAnsi="Arial Narrow" w:cs="Arial"/>
          <w:color w:val="000000"/>
          <w:sz w:val="16"/>
          <w:szCs w:val="16"/>
          <w:lang w:val="es-PE" w:eastAsia="es-PE"/>
        </w:rPr>
      </w:pPr>
    </w:p>
    <w:p w14:paraId="1AB65E5C" w14:textId="77777777" w:rsidR="00EE7689" w:rsidRPr="00864FE7" w:rsidRDefault="00EE7689" w:rsidP="00864FE7">
      <w:pPr>
        <w:pStyle w:val="Textoindependiente2"/>
        <w:tabs>
          <w:tab w:val="left" w:pos="1418"/>
        </w:tabs>
        <w:spacing w:line="0" w:lineRule="atLeast"/>
        <w:contextualSpacing/>
        <w:rPr>
          <w:rFonts w:ascii="Arial Narrow" w:hAnsi="Arial Narrow" w:cs="Arial"/>
          <w:color w:val="000000"/>
          <w:sz w:val="16"/>
          <w:szCs w:val="16"/>
          <w:lang w:val="es-PE" w:eastAsia="es-PE"/>
        </w:rPr>
      </w:pPr>
    </w:p>
    <w:p w14:paraId="614E9FE6" w14:textId="77777777" w:rsidR="00345A00" w:rsidRPr="00864FE7" w:rsidRDefault="00345A00" w:rsidP="00864FE7">
      <w:pPr>
        <w:tabs>
          <w:tab w:val="left" w:pos="10271"/>
        </w:tabs>
        <w:spacing w:after="0" w:line="0" w:lineRule="atLeast"/>
        <w:jc w:val="both"/>
        <w:rPr>
          <w:rFonts w:ascii="Arial Narrow" w:eastAsia="Times New Roman" w:hAnsi="Arial Narrow" w:cs="Arial"/>
          <w:color w:val="000000"/>
          <w:sz w:val="16"/>
          <w:szCs w:val="16"/>
          <w:lang w:eastAsia="es-PE"/>
        </w:rPr>
      </w:pPr>
    </w:p>
    <w:sectPr w:rsidR="00345A00" w:rsidRPr="00864FE7" w:rsidSect="00B32EC6">
      <w:pgSz w:w="11899" w:h="16838"/>
      <w:pgMar w:top="992" w:right="1418" w:bottom="28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0894" w14:textId="77777777" w:rsidR="00B32EC6" w:rsidRDefault="00B32EC6" w:rsidP="00EE0F6A">
      <w:pPr>
        <w:spacing w:after="0" w:line="240" w:lineRule="auto"/>
      </w:pPr>
      <w:r>
        <w:separator/>
      </w:r>
    </w:p>
  </w:endnote>
  <w:endnote w:type="continuationSeparator" w:id="0">
    <w:p w14:paraId="2312F0A1" w14:textId="77777777" w:rsidR="00B32EC6" w:rsidRDefault="00B32EC6" w:rsidP="00EE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8F1F" w14:textId="77777777" w:rsidR="00B32EC6" w:rsidRDefault="00B32EC6" w:rsidP="00EE0F6A">
      <w:pPr>
        <w:spacing w:after="0" w:line="240" w:lineRule="auto"/>
      </w:pPr>
      <w:r>
        <w:separator/>
      </w:r>
    </w:p>
  </w:footnote>
  <w:footnote w:type="continuationSeparator" w:id="0">
    <w:p w14:paraId="6CC473FF" w14:textId="77777777" w:rsidR="00B32EC6" w:rsidRDefault="00B32EC6" w:rsidP="00EE0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72"/>
    <w:rsid w:val="000124A7"/>
    <w:rsid w:val="00014E64"/>
    <w:rsid w:val="00025E31"/>
    <w:rsid w:val="00026E75"/>
    <w:rsid w:val="00031688"/>
    <w:rsid w:val="0003603B"/>
    <w:rsid w:val="0003617E"/>
    <w:rsid w:val="00036978"/>
    <w:rsid w:val="00046EF4"/>
    <w:rsid w:val="00071519"/>
    <w:rsid w:val="00073645"/>
    <w:rsid w:val="00073E95"/>
    <w:rsid w:val="0008245D"/>
    <w:rsid w:val="00083C96"/>
    <w:rsid w:val="00091CB4"/>
    <w:rsid w:val="000968DB"/>
    <w:rsid w:val="000B155A"/>
    <w:rsid w:val="000D2A81"/>
    <w:rsid w:val="000D31BC"/>
    <w:rsid w:val="000E4752"/>
    <w:rsid w:val="000F1317"/>
    <w:rsid w:val="000F6FA7"/>
    <w:rsid w:val="00100974"/>
    <w:rsid w:val="00117699"/>
    <w:rsid w:val="00123086"/>
    <w:rsid w:val="0015288C"/>
    <w:rsid w:val="0016071D"/>
    <w:rsid w:val="00170F4B"/>
    <w:rsid w:val="00177D83"/>
    <w:rsid w:val="00181011"/>
    <w:rsid w:val="001828FB"/>
    <w:rsid w:val="0018702E"/>
    <w:rsid w:val="0019104F"/>
    <w:rsid w:val="001B20A9"/>
    <w:rsid w:val="001B63E8"/>
    <w:rsid w:val="001B7989"/>
    <w:rsid w:val="001D41BE"/>
    <w:rsid w:val="001E0FA0"/>
    <w:rsid w:val="00210949"/>
    <w:rsid w:val="0022230D"/>
    <w:rsid w:val="00233626"/>
    <w:rsid w:val="0023412B"/>
    <w:rsid w:val="00247FDD"/>
    <w:rsid w:val="00270946"/>
    <w:rsid w:val="002859BA"/>
    <w:rsid w:val="00287632"/>
    <w:rsid w:val="002A3A0D"/>
    <w:rsid w:val="002B2711"/>
    <w:rsid w:val="002B5E8D"/>
    <w:rsid w:val="002C133C"/>
    <w:rsid w:val="002C325E"/>
    <w:rsid w:val="002D3680"/>
    <w:rsid w:val="002E5077"/>
    <w:rsid w:val="002E53FD"/>
    <w:rsid w:val="00315FDE"/>
    <w:rsid w:val="00330FCC"/>
    <w:rsid w:val="00335B8C"/>
    <w:rsid w:val="00341092"/>
    <w:rsid w:val="00345A00"/>
    <w:rsid w:val="0036133B"/>
    <w:rsid w:val="00361AA7"/>
    <w:rsid w:val="00364900"/>
    <w:rsid w:val="00367C82"/>
    <w:rsid w:val="00370199"/>
    <w:rsid w:val="00382799"/>
    <w:rsid w:val="003955C3"/>
    <w:rsid w:val="003B785A"/>
    <w:rsid w:val="003C7FA0"/>
    <w:rsid w:val="003D2F9A"/>
    <w:rsid w:val="003D507B"/>
    <w:rsid w:val="003F50A2"/>
    <w:rsid w:val="004105A5"/>
    <w:rsid w:val="004116B6"/>
    <w:rsid w:val="004205BC"/>
    <w:rsid w:val="00425119"/>
    <w:rsid w:val="00437D36"/>
    <w:rsid w:val="00450D7D"/>
    <w:rsid w:val="0045741B"/>
    <w:rsid w:val="00473858"/>
    <w:rsid w:val="00480735"/>
    <w:rsid w:val="004865F9"/>
    <w:rsid w:val="004920DB"/>
    <w:rsid w:val="00494CDC"/>
    <w:rsid w:val="004A7F96"/>
    <w:rsid w:val="004B2A86"/>
    <w:rsid w:val="004C2B95"/>
    <w:rsid w:val="004E1B8D"/>
    <w:rsid w:val="004F617A"/>
    <w:rsid w:val="004F7D0C"/>
    <w:rsid w:val="00504259"/>
    <w:rsid w:val="0050780E"/>
    <w:rsid w:val="00515751"/>
    <w:rsid w:val="005174BA"/>
    <w:rsid w:val="00520EE3"/>
    <w:rsid w:val="00527704"/>
    <w:rsid w:val="005375BE"/>
    <w:rsid w:val="00563CA9"/>
    <w:rsid w:val="005A6C48"/>
    <w:rsid w:val="005D53F9"/>
    <w:rsid w:val="005F22BF"/>
    <w:rsid w:val="00627B63"/>
    <w:rsid w:val="0065120E"/>
    <w:rsid w:val="00675410"/>
    <w:rsid w:val="0068283D"/>
    <w:rsid w:val="00683CC4"/>
    <w:rsid w:val="006858FC"/>
    <w:rsid w:val="00687C19"/>
    <w:rsid w:val="00690EDD"/>
    <w:rsid w:val="00694242"/>
    <w:rsid w:val="00696F14"/>
    <w:rsid w:val="006A3EA0"/>
    <w:rsid w:val="006A4EAB"/>
    <w:rsid w:val="006B2105"/>
    <w:rsid w:val="006D3E9B"/>
    <w:rsid w:val="006D670D"/>
    <w:rsid w:val="00705180"/>
    <w:rsid w:val="007060F4"/>
    <w:rsid w:val="00713217"/>
    <w:rsid w:val="00716A7A"/>
    <w:rsid w:val="00723AFB"/>
    <w:rsid w:val="00741C20"/>
    <w:rsid w:val="0074224E"/>
    <w:rsid w:val="00755BE2"/>
    <w:rsid w:val="00757C6D"/>
    <w:rsid w:val="007745BE"/>
    <w:rsid w:val="0077573C"/>
    <w:rsid w:val="007955D4"/>
    <w:rsid w:val="007A3B5F"/>
    <w:rsid w:val="007A606B"/>
    <w:rsid w:val="007C0146"/>
    <w:rsid w:val="007D25F2"/>
    <w:rsid w:val="007E7037"/>
    <w:rsid w:val="007F7A9D"/>
    <w:rsid w:val="008009A3"/>
    <w:rsid w:val="00825608"/>
    <w:rsid w:val="00864FE7"/>
    <w:rsid w:val="00872EC9"/>
    <w:rsid w:val="00880E23"/>
    <w:rsid w:val="00882205"/>
    <w:rsid w:val="008873B8"/>
    <w:rsid w:val="0089644D"/>
    <w:rsid w:val="008A13A7"/>
    <w:rsid w:val="008D617C"/>
    <w:rsid w:val="008E49D9"/>
    <w:rsid w:val="008E5FC9"/>
    <w:rsid w:val="00941398"/>
    <w:rsid w:val="009627DA"/>
    <w:rsid w:val="00987629"/>
    <w:rsid w:val="00991766"/>
    <w:rsid w:val="00997A91"/>
    <w:rsid w:val="009A59D3"/>
    <w:rsid w:val="009A5D30"/>
    <w:rsid w:val="009C21B8"/>
    <w:rsid w:val="009C6A19"/>
    <w:rsid w:val="009D0AED"/>
    <w:rsid w:val="009D23F5"/>
    <w:rsid w:val="009D2B81"/>
    <w:rsid w:val="009D5820"/>
    <w:rsid w:val="009F3B86"/>
    <w:rsid w:val="00A32B62"/>
    <w:rsid w:val="00A52017"/>
    <w:rsid w:val="00A672C5"/>
    <w:rsid w:val="00A74CE9"/>
    <w:rsid w:val="00A902BD"/>
    <w:rsid w:val="00AA1CFE"/>
    <w:rsid w:val="00AB341A"/>
    <w:rsid w:val="00AD4499"/>
    <w:rsid w:val="00AD48EA"/>
    <w:rsid w:val="00B00FE7"/>
    <w:rsid w:val="00B03EB5"/>
    <w:rsid w:val="00B13E77"/>
    <w:rsid w:val="00B20655"/>
    <w:rsid w:val="00B30557"/>
    <w:rsid w:val="00B32E30"/>
    <w:rsid w:val="00B32EC6"/>
    <w:rsid w:val="00B367F3"/>
    <w:rsid w:val="00BA2469"/>
    <w:rsid w:val="00BA3D62"/>
    <w:rsid w:val="00BB78A9"/>
    <w:rsid w:val="00BC2602"/>
    <w:rsid w:val="00BC5D92"/>
    <w:rsid w:val="00BD3D3B"/>
    <w:rsid w:val="00BF7F2C"/>
    <w:rsid w:val="00C02333"/>
    <w:rsid w:val="00C22432"/>
    <w:rsid w:val="00C33D22"/>
    <w:rsid w:val="00C35616"/>
    <w:rsid w:val="00C5063F"/>
    <w:rsid w:val="00C658BA"/>
    <w:rsid w:val="00C96578"/>
    <w:rsid w:val="00C973A1"/>
    <w:rsid w:val="00CA40F1"/>
    <w:rsid w:val="00CA5D72"/>
    <w:rsid w:val="00CC0E9F"/>
    <w:rsid w:val="00CC2122"/>
    <w:rsid w:val="00CD020A"/>
    <w:rsid w:val="00CE050B"/>
    <w:rsid w:val="00CE0EC1"/>
    <w:rsid w:val="00CE34C9"/>
    <w:rsid w:val="00CE6FD4"/>
    <w:rsid w:val="00CF5128"/>
    <w:rsid w:val="00D15714"/>
    <w:rsid w:val="00D21BA7"/>
    <w:rsid w:val="00D21E9C"/>
    <w:rsid w:val="00D27EF5"/>
    <w:rsid w:val="00D50F86"/>
    <w:rsid w:val="00D533F7"/>
    <w:rsid w:val="00D628DA"/>
    <w:rsid w:val="00D96E7E"/>
    <w:rsid w:val="00DC7A65"/>
    <w:rsid w:val="00DD2AA8"/>
    <w:rsid w:val="00E05128"/>
    <w:rsid w:val="00E2615C"/>
    <w:rsid w:val="00E350A5"/>
    <w:rsid w:val="00E558FB"/>
    <w:rsid w:val="00E77878"/>
    <w:rsid w:val="00E83EB5"/>
    <w:rsid w:val="00E860C2"/>
    <w:rsid w:val="00E86162"/>
    <w:rsid w:val="00E922A4"/>
    <w:rsid w:val="00E93FFE"/>
    <w:rsid w:val="00E974FF"/>
    <w:rsid w:val="00EA669C"/>
    <w:rsid w:val="00EC62B0"/>
    <w:rsid w:val="00EE0F6A"/>
    <w:rsid w:val="00EE7689"/>
    <w:rsid w:val="00EF2968"/>
    <w:rsid w:val="00F14503"/>
    <w:rsid w:val="00F21A2B"/>
    <w:rsid w:val="00F335C2"/>
    <w:rsid w:val="00F5393D"/>
    <w:rsid w:val="00F5632E"/>
    <w:rsid w:val="00F6037E"/>
    <w:rsid w:val="00F74FD7"/>
    <w:rsid w:val="00F77993"/>
    <w:rsid w:val="00F94CA9"/>
    <w:rsid w:val="00F97926"/>
    <w:rsid w:val="00FA133D"/>
    <w:rsid w:val="00FA47F0"/>
    <w:rsid w:val="00FB7895"/>
    <w:rsid w:val="00FC26CE"/>
    <w:rsid w:val="00FC62B3"/>
    <w:rsid w:val="00FD29F8"/>
    <w:rsid w:val="00FD3F6C"/>
    <w:rsid w:val="00FD7C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AA4AED"/>
  <w15:docId w15:val="{848AB991-B905-4F01-965B-094F168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1F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EE7689"/>
    <w:pPr>
      <w:tabs>
        <w:tab w:val="left" w:pos="709"/>
      </w:tabs>
      <w:spacing w:after="0" w:line="240" w:lineRule="auto"/>
      <w:jc w:val="both"/>
    </w:pPr>
    <w:rPr>
      <w:rFonts w:ascii="Arial" w:eastAsia="Times New Roman" w:hAnsi="Arial"/>
      <w:sz w:val="20"/>
      <w:szCs w:val="20"/>
      <w:lang w:val="es-ES" w:eastAsia="es-ES"/>
    </w:rPr>
  </w:style>
  <w:style w:type="character" w:customStyle="1" w:styleId="Textoindependiente2Car">
    <w:name w:val="Texto independiente 2 Car"/>
    <w:basedOn w:val="Fuentedeprrafopredeter"/>
    <w:link w:val="Textoindependiente2"/>
    <w:semiHidden/>
    <w:rsid w:val="00EE7689"/>
    <w:rPr>
      <w:rFonts w:ascii="Arial" w:eastAsia="Times New Roman" w:hAnsi="Arial"/>
      <w:lang w:val="es-ES" w:eastAsia="es-ES"/>
    </w:rPr>
  </w:style>
  <w:style w:type="table" w:styleId="Tablaconcuadrculaclara">
    <w:name w:val="Grid Table Light"/>
    <w:basedOn w:val="Tablanormal"/>
    <w:uiPriority w:val="40"/>
    <w:rsid w:val="00864F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3021">
      <w:bodyDiv w:val="1"/>
      <w:marLeft w:val="0"/>
      <w:marRight w:val="0"/>
      <w:marTop w:val="0"/>
      <w:marBottom w:val="0"/>
      <w:divBdr>
        <w:top w:val="none" w:sz="0" w:space="0" w:color="auto"/>
        <w:left w:val="none" w:sz="0" w:space="0" w:color="auto"/>
        <w:bottom w:val="none" w:sz="0" w:space="0" w:color="auto"/>
        <w:right w:val="none" w:sz="0" w:space="0" w:color="auto"/>
      </w:divBdr>
    </w:div>
    <w:div w:id="184632707">
      <w:bodyDiv w:val="1"/>
      <w:marLeft w:val="0"/>
      <w:marRight w:val="0"/>
      <w:marTop w:val="0"/>
      <w:marBottom w:val="0"/>
      <w:divBdr>
        <w:top w:val="none" w:sz="0" w:space="0" w:color="auto"/>
        <w:left w:val="none" w:sz="0" w:space="0" w:color="auto"/>
        <w:bottom w:val="none" w:sz="0" w:space="0" w:color="auto"/>
        <w:right w:val="none" w:sz="0" w:space="0" w:color="auto"/>
      </w:divBdr>
    </w:div>
    <w:div w:id="199053599">
      <w:bodyDiv w:val="1"/>
      <w:marLeft w:val="0"/>
      <w:marRight w:val="0"/>
      <w:marTop w:val="0"/>
      <w:marBottom w:val="0"/>
      <w:divBdr>
        <w:top w:val="none" w:sz="0" w:space="0" w:color="auto"/>
        <w:left w:val="none" w:sz="0" w:space="0" w:color="auto"/>
        <w:bottom w:val="none" w:sz="0" w:space="0" w:color="auto"/>
        <w:right w:val="none" w:sz="0" w:space="0" w:color="auto"/>
      </w:divBdr>
    </w:div>
    <w:div w:id="243684491">
      <w:bodyDiv w:val="1"/>
      <w:marLeft w:val="0"/>
      <w:marRight w:val="0"/>
      <w:marTop w:val="0"/>
      <w:marBottom w:val="0"/>
      <w:divBdr>
        <w:top w:val="none" w:sz="0" w:space="0" w:color="auto"/>
        <w:left w:val="none" w:sz="0" w:space="0" w:color="auto"/>
        <w:bottom w:val="none" w:sz="0" w:space="0" w:color="auto"/>
        <w:right w:val="none" w:sz="0" w:space="0" w:color="auto"/>
      </w:divBdr>
    </w:div>
    <w:div w:id="295186651">
      <w:bodyDiv w:val="1"/>
      <w:marLeft w:val="0"/>
      <w:marRight w:val="0"/>
      <w:marTop w:val="0"/>
      <w:marBottom w:val="0"/>
      <w:divBdr>
        <w:top w:val="none" w:sz="0" w:space="0" w:color="auto"/>
        <w:left w:val="none" w:sz="0" w:space="0" w:color="auto"/>
        <w:bottom w:val="none" w:sz="0" w:space="0" w:color="auto"/>
        <w:right w:val="none" w:sz="0" w:space="0" w:color="auto"/>
      </w:divBdr>
    </w:div>
    <w:div w:id="401371174">
      <w:bodyDiv w:val="1"/>
      <w:marLeft w:val="0"/>
      <w:marRight w:val="0"/>
      <w:marTop w:val="0"/>
      <w:marBottom w:val="0"/>
      <w:divBdr>
        <w:top w:val="none" w:sz="0" w:space="0" w:color="auto"/>
        <w:left w:val="none" w:sz="0" w:space="0" w:color="auto"/>
        <w:bottom w:val="none" w:sz="0" w:space="0" w:color="auto"/>
        <w:right w:val="none" w:sz="0" w:space="0" w:color="auto"/>
      </w:divBdr>
    </w:div>
    <w:div w:id="414321751">
      <w:bodyDiv w:val="1"/>
      <w:marLeft w:val="0"/>
      <w:marRight w:val="0"/>
      <w:marTop w:val="0"/>
      <w:marBottom w:val="0"/>
      <w:divBdr>
        <w:top w:val="none" w:sz="0" w:space="0" w:color="auto"/>
        <w:left w:val="none" w:sz="0" w:space="0" w:color="auto"/>
        <w:bottom w:val="none" w:sz="0" w:space="0" w:color="auto"/>
        <w:right w:val="none" w:sz="0" w:space="0" w:color="auto"/>
      </w:divBdr>
    </w:div>
    <w:div w:id="535966999">
      <w:bodyDiv w:val="1"/>
      <w:marLeft w:val="0"/>
      <w:marRight w:val="0"/>
      <w:marTop w:val="0"/>
      <w:marBottom w:val="0"/>
      <w:divBdr>
        <w:top w:val="none" w:sz="0" w:space="0" w:color="auto"/>
        <w:left w:val="none" w:sz="0" w:space="0" w:color="auto"/>
        <w:bottom w:val="none" w:sz="0" w:space="0" w:color="auto"/>
        <w:right w:val="none" w:sz="0" w:space="0" w:color="auto"/>
      </w:divBdr>
    </w:div>
    <w:div w:id="631523651">
      <w:bodyDiv w:val="1"/>
      <w:marLeft w:val="0"/>
      <w:marRight w:val="0"/>
      <w:marTop w:val="0"/>
      <w:marBottom w:val="0"/>
      <w:divBdr>
        <w:top w:val="none" w:sz="0" w:space="0" w:color="auto"/>
        <w:left w:val="none" w:sz="0" w:space="0" w:color="auto"/>
        <w:bottom w:val="none" w:sz="0" w:space="0" w:color="auto"/>
        <w:right w:val="none" w:sz="0" w:space="0" w:color="auto"/>
      </w:divBdr>
    </w:div>
    <w:div w:id="748884392">
      <w:bodyDiv w:val="1"/>
      <w:marLeft w:val="0"/>
      <w:marRight w:val="0"/>
      <w:marTop w:val="0"/>
      <w:marBottom w:val="0"/>
      <w:divBdr>
        <w:top w:val="none" w:sz="0" w:space="0" w:color="auto"/>
        <w:left w:val="none" w:sz="0" w:space="0" w:color="auto"/>
        <w:bottom w:val="none" w:sz="0" w:space="0" w:color="auto"/>
        <w:right w:val="none" w:sz="0" w:space="0" w:color="auto"/>
      </w:divBdr>
    </w:div>
    <w:div w:id="843982543">
      <w:bodyDiv w:val="1"/>
      <w:marLeft w:val="0"/>
      <w:marRight w:val="0"/>
      <w:marTop w:val="0"/>
      <w:marBottom w:val="0"/>
      <w:divBdr>
        <w:top w:val="none" w:sz="0" w:space="0" w:color="auto"/>
        <w:left w:val="none" w:sz="0" w:space="0" w:color="auto"/>
        <w:bottom w:val="none" w:sz="0" w:space="0" w:color="auto"/>
        <w:right w:val="none" w:sz="0" w:space="0" w:color="auto"/>
      </w:divBdr>
    </w:div>
    <w:div w:id="1222329471">
      <w:bodyDiv w:val="1"/>
      <w:marLeft w:val="0"/>
      <w:marRight w:val="0"/>
      <w:marTop w:val="0"/>
      <w:marBottom w:val="0"/>
      <w:divBdr>
        <w:top w:val="none" w:sz="0" w:space="0" w:color="auto"/>
        <w:left w:val="none" w:sz="0" w:space="0" w:color="auto"/>
        <w:bottom w:val="none" w:sz="0" w:space="0" w:color="auto"/>
        <w:right w:val="none" w:sz="0" w:space="0" w:color="auto"/>
      </w:divBdr>
    </w:div>
    <w:div w:id="1371345432">
      <w:bodyDiv w:val="1"/>
      <w:marLeft w:val="0"/>
      <w:marRight w:val="0"/>
      <w:marTop w:val="0"/>
      <w:marBottom w:val="0"/>
      <w:divBdr>
        <w:top w:val="none" w:sz="0" w:space="0" w:color="auto"/>
        <w:left w:val="none" w:sz="0" w:space="0" w:color="auto"/>
        <w:bottom w:val="none" w:sz="0" w:space="0" w:color="auto"/>
        <w:right w:val="none" w:sz="0" w:space="0" w:color="auto"/>
      </w:divBdr>
    </w:div>
    <w:div w:id="1585994050">
      <w:bodyDiv w:val="1"/>
      <w:marLeft w:val="0"/>
      <w:marRight w:val="0"/>
      <w:marTop w:val="0"/>
      <w:marBottom w:val="0"/>
      <w:divBdr>
        <w:top w:val="none" w:sz="0" w:space="0" w:color="auto"/>
        <w:left w:val="none" w:sz="0" w:space="0" w:color="auto"/>
        <w:bottom w:val="none" w:sz="0" w:space="0" w:color="auto"/>
        <w:right w:val="none" w:sz="0" w:space="0" w:color="auto"/>
      </w:divBdr>
    </w:div>
    <w:div w:id="2057928470">
      <w:bodyDiv w:val="1"/>
      <w:marLeft w:val="0"/>
      <w:marRight w:val="0"/>
      <w:marTop w:val="0"/>
      <w:marBottom w:val="0"/>
      <w:divBdr>
        <w:top w:val="none" w:sz="0" w:space="0" w:color="auto"/>
        <w:left w:val="none" w:sz="0" w:space="0" w:color="auto"/>
        <w:bottom w:val="none" w:sz="0" w:space="0" w:color="auto"/>
        <w:right w:val="none" w:sz="0" w:space="0" w:color="auto"/>
      </w:divBdr>
    </w:div>
    <w:div w:id="2060546254">
      <w:bodyDiv w:val="1"/>
      <w:marLeft w:val="0"/>
      <w:marRight w:val="0"/>
      <w:marTop w:val="0"/>
      <w:marBottom w:val="0"/>
      <w:divBdr>
        <w:top w:val="none" w:sz="0" w:space="0" w:color="auto"/>
        <w:left w:val="none" w:sz="0" w:space="0" w:color="auto"/>
        <w:bottom w:val="none" w:sz="0" w:space="0" w:color="auto"/>
        <w:right w:val="none" w:sz="0" w:space="0" w:color="auto"/>
      </w:divBdr>
    </w:div>
    <w:div w:id="214361964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86DB5-B29C-414C-8FFB-026E55A4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2025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SUNAT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prueba1</dc:creator>
  <cp:lastModifiedBy>Meniz Cieza Fernando Salvador</cp:lastModifiedBy>
  <cp:revision>5</cp:revision>
  <cp:lastPrinted>2019-05-28T19:35:00Z</cp:lastPrinted>
  <dcterms:created xsi:type="dcterms:W3CDTF">2024-01-16T18:00:00Z</dcterms:created>
  <dcterms:modified xsi:type="dcterms:W3CDTF">2024-01-16T20:33:00Z</dcterms:modified>
</cp:coreProperties>
</file>