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0967" w14:textId="77777777" w:rsidR="00002FB6" w:rsidRDefault="00002FB6" w:rsidP="00002FB6">
      <w:pPr>
        <w:ind w:left="1560" w:right="1274"/>
        <w:jc w:val="center"/>
        <w:rPr>
          <w:rFonts w:ascii="Arial Narrow" w:hAnsi="Arial Narrow"/>
          <w:sz w:val="16"/>
          <w:szCs w:val="16"/>
        </w:rPr>
      </w:pPr>
    </w:p>
    <w:p w14:paraId="1B6614A6" w14:textId="77777777" w:rsidR="00002FB6" w:rsidRDefault="00002FB6" w:rsidP="00002FB6">
      <w:pPr>
        <w:ind w:left="1560" w:right="1274"/>
        <w:jc w:val="center"/>
        <w:rPr>
          <w:rFonts w:ascii="Arial Narrow" w:hAnsi="Arial Narrow"/>
          <w:sz w:val="16"/>
          <w:szCs w:val="16"/>
        </w:rPr>
      </w:pPr>
    </w:p>
    <w:p w14:paraId="57C9429C" w14:textId="77777777" w:rsidR="00002FB6" w:rsidRDefault="00002FB6" w:rsidP="00002FB6">
      <w:pPr>
        <w:ind w:left="1560" w:right="1274"/>
        <w:jc w:val="center"/>
        <w:rPr>
          <w:rFonts w:ascii="Arial Narrow" w:hAnsi="Arial Narrow"/>
          <w:sz w:val="16"/>
          <w:szCs w:val="16"/>
        </w:rPr>
      </w:pPr>
    </w:p>
    <w:p w14:paraId="1CDA46C4" w14:textId="77777777" w:rsidR="00002FB6" w:rsidRDefault="00002FB6" w:rsidP="00002FB6">
      <w:pPr>
        <w:ind w:left="1560" w:right="1274"/>
        <w:jc w:val="center"/>
        <w:rPr>
          <w:rFonts w:ascii="Arial Narrow" w:hAnsi="Arial Narrow"/>
          <w:sz w:val="16"/>
          <w:szCs w:val="16"/>
        </w:rPr>
      </w:pPr>
    </w:p>
    <w:p w14:paraId="43381632" w14:textId="77777777" w:rsidR="00002FB6" w:rsidRDefault="00002FB6" w:rsidP="00002FB6">
      <w:pPr>
        <w:ind w:left="1560" w:right="1274"/>
        <w:jc w:val="center"/>
        <w:rPr>
          <w:rFonts w:ascii="Arial Narrow" w:hAnsi="Arial Narrow"/>
          <w:sz w:val="16"/>
          <w:szCs w:val="16"/>
        </w:rPr>
      </w:pPr>
    </w:p>
    <w:p w14:paraId="10FEA812" w14:textId="77777777" w:rsidR="00002FB6" w:rsidRDefault="00002FB6" w:rsidP="00002FB6">
      <w:pPr>
        <w:ind w:left="1560" w:right="1274"/>
        <w:jc w:val="center"/>
        <w:rPr>
          <w:rFonts w:ascii="Arial Narrow" w:hAnsi="Arial Narrow"/>
          <w:sz w:val="16"/>
          <w:szCs w:val="16"/>
        </w:rPr>
      </w:pPr>
    </w:p>
    <w:p w14:paraId="6CFC8784" w14:textId="77777777" w:rsidR="00002FB6" w:rsidRDefault="00002FB6" w:rsidP="00002FB6">
      <w:pPr>
        <w:ind w:left="1560" w:right="1274"/>
        <w:jc w:val="center"/>
        <w:rPr>
          <w:rFonts w:ascii="Arial Narrow" w:hAnsi="Arial Narrow"/>
          <w:sz w:val="16"/>
          <w:szCs w:val="16"/>
        </w:rPr>
      </w:pPr>
    </w:p>
    <w:p w14:paraId="0CFE89E8" w14:textId="77777777" w:rsidR="00002FB6" w:rsidRDefault="00002FB6" w:rsidP="00002FB6">
      <w:pPr>
        <w:ind w:left="1560" w:right="1274"/>
        <w:jc w:val="center"/>
        <w:rPr>
          <w:rFonts w:ascii="Arial Narrow" w:hAnsi="Arial Narrow"/>
          <w:sz w:val="16"/>
          <w:szCs w:val="16"/>
        </w:rPr>
      </w:pPr>
    </w:p>
    <w:p w14:paraId="5AFCE813" w14:textId="77777777" w:rsidR="00002FB6" w:rsidRDefault="00002FB6" w:rsidP="00002FB6">
      <w:pPr>
        <w:ind w:left="1560" w:right="1274"/>
        <w:jc w:val="center"/>
        <w:rPr>
          <w:rFonts w:ascii="Arial Narrow" w:hAnsi="Arial Narrow"/>
          <w:sz w:val="16"/>
          <w:szCs w:val="16"/>
        </w:rPr>
      </w:pPr>
    </w:p>
    <w:p w14:paraId="035705E2" w14:textId="77777777" w:rsidR="00002FB6" w:rsidRDefault="00002FB6" w:rsidP="00002FB6">
      <w:pPr>
        <w:ind w:left="1560" w:right="1274"/>
        <w:jc w:val="center"/>
        <w:rPr>
          <w:rFonts w:ascii="Arial Narrow" w:hAnsi="Arial Narrow"/>
          <w:sz w:val="16"/>
          <w:szCs w:val="16"/>
        </w:rPr>
      </w:pPr>
    </w:p>
    <w:p w14:paraId="7B6152E9" w14:textId="77777777" w:rsidR="00002FB6" w:rsidRDefault="00002FB6" w:rsidP="00002FB6">
      <w:pPr>
        <w:ind w:left="1560" w:right="1274"/>
        <w:jc w:val="center"/>
        <w:rPr>
          <w:rFonts w:ascii="Arial Narrow" w:hAnsi="Arial Narrow"/>
          <w:sz w:val="16"/>
          <w:szCs w:val="16"/>
        </w:rPr>
      </w:pPr>
    </w:p>
    <w:p w14:paraId="0022108D" w14:textId="77777777" w:rsidR="00002FB6" w:rsidRDefault="00002FB6" w:rsidP="00002FB6">
      <w:pPr>
        <w:ind w:left="1560" w:right="1274"/>
        <w:jc w:val="center"/>
        <w:rPr>
          <w:rFonts w:ascii="Arial Narrow" w:hAnsi="Arial Narrow"/>
          <w:sz w:val="16"/>
          <w:szCs w:val="16"/>
        </w:rPr>
      </w:pPr>
    </w:p>
    <w:p w14:paraId="2AD76B74" w14:textId="77777777" w:rsidR="00002FB6" w:rsidRPr="00002FB6" w:rsidRDefault="00002FB6" w:rsidP="00002FB6">
      <w:pPr>
        <w:ind w:left="1560" w:right="1274"/>
        <w:jc w:val="center"/>
        <w:rPr>
          <w:rFonts w:ascii="Arial Narrow" w:hAnsi="Arial Narrow"/>
          <w:b/>
          <w:bCs/>
          <w:sz w:val="16"/>
          <w:szCs w:val="16"/>
        </w:rPr>
      </w:pPr>
    </w:p>
    <w:p w14:paraId="0E551DE6" w14:textId="35E199D6" w:rsidR="00BF4842" w:rsidRPr="00002FB6" w:rsidRDefault="00BF4842" w:rsidP="00002FB6">
      <w:pPr>
        <w:ind w:left="1560" w:right="1274"/>
        <w:jc w:val="center"/>
        <w:rPr>
          <w:rFonts w:ascii="Arial Narrow" w:hAnsi="Arial Narrow"/>
          <w:b/>
          <w:bCs/>
          <w:sz w:val="16"/>
          <w:szCs w:val="16"/>
        </w:rPr>
      </w:pPr>
      <w:r w:rsidRPr="00002FB6">
        <w:rPr>
          <w:rFonts w:ascii="Arial Narrow" w:hAnsi="Arial Narrow"/>
          <w:b/>
          <w:bCs/>
          <w:sz w:val="16"/>
          <w:szCs w:val="16"/>
        </w:rPr>
        <w:t>SUPERINTENDENCIA NACIONAL DE ADUANA Y DE ADMINISTRACIÓN TRIBUTARIA</w:t>
      </w:r>
    </w:p>
    <w:p w14:paraId="7268CB68" w14:textId="7AB1F976" w:rsidR="00BF4842" w:rsidRDefault="00BF4842" w:rsidP="00002FB6">
      <w:pPr>
        <w:ind w:left="1560" w:right="1274"/>
        <w:jc w:val="center"/>
        <w:rPr>
          <w:rFonts w:ascii="Arial Narrow" w:hAnsi="Arial Narrow"/>
          <w:b/>
          <w:bCs/>
          <w:sz w:val="16"/>
          <w:szCs w:val="16"/>
        </w:rPr>
      </w:pPr>
      <w:r w:rsidRPr="00002FB6">
        <w:rPr>
          <w:rFonts w:ascii="Arial Narrow" w:hAnsi="Arial Narrow"/>
          <w:b/>
          <w:bCs/>
          <w:sz w:val="16"/>
          <w:szCs w:val="16"/>
        </w:rPr>
        <w:t>INTENDENCIA DE ADUANA DE SALAVERRY</w:t>
      </w:r>
    </w:p>
    <w:p w14:paraId="18BC2AD1" w14:textId="05C34CA6" w:rsidR="00A43D8D" w:rsidRDefault="00A43D8D" w:rsidP="00002FB6">
      <w:pPr>
        <w:ind w:left="1560" w:right="1274"/>
        <w:jc w:val="center"/>
        <w:rPr>
          <w:rFonts w:ascii="Arial Narrow" w:hAnsi="Arial Narrow"/>
          <w:b/>
          <w:bCs/>
          <w:sz w:val="16"/>
          <w:szCs w:val="16"/>
        </w:rPr>
      </w:pPr>
    </w:p>
    <w:p w14:paraId="3060430A" w14:textId="77F89C17" w:rsidR="00A43D8D" w:rsidRPr="00002FB6" w:rsidRDefault="00A43D8D" w:rsidP="00002FB6">
      <w:pPr>
        <w:ind w:left="1560" w:right="1274"/>
        <w:jc w:val="center"/>
        <w:rPr>
          <w:rFonts w:ascii="Arial Narrow" w:hAnsi="Arial Narrow"/>
          <w:b/>
          <w:bCs/>
          <w:sz w:val="16"/>
          <w:szCs w:val="16"/>
        </w:rPr>
      </w:pPr>
      <w:r w:rsidRPr="00FD3652">
        <w:rPr>
          <w:rFonts w:ascii="Arial Narrow" w:hAnsi="Arial Narrow"/>
          <w:sz w:val="16"/>
          <w:szCs w:val="16"/>
        </w:rPr>
        <w:t xml:space="preserve">(Publicada en el Boletín del Diario Oficial El Peruano el </w:t>
      </w:r>
      <w:r>
        <w:rPr>
          <w:rFonts w:ascii="Arial Narrow" w:hAnsi="Arial Narrow"/>
          <w:sz w:val="16"/>
          <w:szCs w:val="16"/>
        </w:rPr>
        <w:t>07</w:t>
      </w:r>
      <w:r w:rsidRPr="00FD3652">
        <w:rPr>
          <w:rFonts w:ascii="Arial Narrow" w:hAnsi="Arial Narrow"/>
          <w:sz w:val="16"/>
          <w:szCs w:val="16"/>
        </w:rPr>
        <w:t>.0</w:t>
      </w:r>
      <w:r>
        <w:rPr>
          <w:rFonts w:ascii="Arial Narrow" w:hAnsi="Arial Narrow"/>
          <w:sz w:val="16"/>
          <w:szCs w:val="16"/>
        </w:rPr>
        <w:t>7</w:t>
      </w:r>
      <w:r w:rsidRPr="00FD3652">
        <w:rPr>
          <w:rFonts w:ascii="Arial Narrow" w:hAnsi="Arial Narrow"/>
          <w:sz w:val="16"/>
          <w:szCs w:val="16"/>
        </w:rPr>
        <w:t>.2021)</w:t>
      </w:r>
    </w:p>
    <w:p w14:paraId="3950403B" w14:textId="77777777" w:rsidR="00BF4842" w:rsidRPr="00002FB6" w:rsidRDefault="00BF4842" w:rsidP="00002FB6">
      <w:pPr>
        <w:ind w:left="1560" w:right="1274"/>
        <w:rPr>
          <w:rFonts w:ascii="Arial Narrow" w:hAnsi="Arial Narrow"/>
          <w:sz w:val="16"/>
          <w:szCs w:val="16"/>
        </w:rPr>
      </w:pPr>
    </w:p>
    <w:p w14:paraId="56BCDD31" w14:textId="77777777" w:rsidR="00BF4842" w:rsidRPr="00002FB6" w:rsidRDefault="00BF4842" w:rsidP="00002FB6">
      <w:pPr>
        <w:ind w:left="1560" w:right="1274"/>
        <w:jc w:val="both"/>
        <w:rPr>
          <w:rFonts w:ascii="Arial Narrow" w:hAnsi="Arial Narrow"/>
          <w:sz w:val="16"/>
          <w:szCs w:val="16"/>
        </w:rPr>
      </w:pPr>
      <w:r w:rsidRPr="00002FB6">
        <w:rPr>
          <w:rFonts w:ascii="Arial Narrow" w:hAnsi="Arial Narrow"/>
          <w:sz w:val="16"/>
          <w:szCs w:val="16"/>
        </w:rPr>
        <w:t xml:space="preserve">De conformidad con lo dispuesto en el inciso e) del artículo 104º del Texto Único Ordenado del Código Tributario, aprobado por Decreto Supremo Nº 133- 2013-EF y modificatorias, cumple con notificar al Administrado el siguiente acto administrativo. </w:t>
      </w:r>
    </w:p>
    <w:p w14:paraId="5DD1D023" w14:textId="27FE8179" w:rsidR="00BF4842" w:rsidRPr="00002FB6" w:rsidRDefault="00BF4842" w:rsidP="00002FB6">
      <w:pPr>
        <w:ind w:left="1560" w:right="1274"/>
        <w:jc w:val="both"/>
        <w:rPr>
          <w:rFonts w:ascii="Arial Narrow" w:hAnsi="Arial Narrow"/>
          <w:sz w:val="16"/>
          <w:szCs w:val="16"/>
        </w:rPr>
      </w:pPr>
      <w:r w:rsidRPr="00002FB6">
        <w:rPr>
          <w:rFonts w:ascii="Arial Narrow" w:hAnsi="Arial Narrow"/>
          <w:sz w:val="16"/>
          <w:szCs w:val="16"/>
        </w:rPr>
        <w:t xml:space="preserve">Asimismo, se hace de su conocimiento que el acto administrativo, objeto de notificación podrá ser apelado en el plazo de quince (15) días hábiles contados a partir del día siguiente de la presente publicación. </w:t>
      </w:r>
    </w:p>
    <w:tbl>
      <w:tblPr>
        <w:tblW w:w="5670" w:type="dxa"/>
        <w:tblInd w:w="1555" w:type="dxa"/>
        <w:tblCellMar>
          <w:left w:w="0" w:type="dxa"/>
          <w:right w:w="0" w:type="dxa"/>
        </w:tblCellMar>
        <w:tblLook w:val="04A0" w:firstRow="1" w:lastRow="0" w:firstColumn="1" w:lastColumn="0" w:noHBand="0" w:noVBand="1"/>
      </w:tblPr>
      <w:tblGrid>
        <w:gridCol w:w="1667"/>
        <w:gridCol w:w="94"/>
        <w:gridCol w:w="3909"/>
      </w:tblGrid>
      <w:tr w:rsidR="00002FB6" w:rsidRPr="00002FB6" w14:paraId="63FCAFE2"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552AABA0" w14:textId="77777777" w:rsidR="00002FB6" w:rsidRPr="00002FB6" w:rsidRDefault="00002FB6">
            <w:pPr>
              <w:rPr>
                <w:rFonts w:ascii="Arial Narrow" w:hAnsi="Arial Narrow"/>
                <w:sz w:val="16"/>
                <w:szCs w:val="16"/>
              </w:rPr>
            </w:pPr>
            <w:r w:rsidRPr="00002FB6">
              <w:rPr>
                <w:rFonts w:ascii="Arial Narrow" w:hAnsi="Arial Narrow"/>
                <w:sz w:val="16"/>
                <w:szCs w:val="16"/>
              </w:rPr>
              <w:t>Expediente de Reclamo</w:t>
            </w:r>
          </w:p>
        </w:tc>
        <w:tc>
          <w:tcPr>
            <w:tcW w:w="94" w:type="dxa"/>
            <w:tcBorders>
              <w:top w:val="single" w:sz="4" w:space="0" w:color="auto"/>
              <w:bottom w:val="single" w:sz="4" w:space="0" w:color="auto"/>
            </w:tcBorders>
          </w:tcPr>
          <w:p w14:paraId="346BC57A" w14:textId="2614E890"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6106FBF4" w14:textId="3677FE83" w:rsidR="00002FB6" w:rsidRPr="00002FB6" w:rsidRDefault="00002FB6">
            <w:pPr>
              <w:rPr>
                <w:rFonts w:ascii="Arial Narrow" w:hAnsi="Arial Narrow"/>
                <w:sz w:val="16"/>
                <w:szCs w:val="16"/>
              </w:rPr>
            </w:pPr>
            <w:r w:rsidRPr="00002FB6">
              <w:rPr>
                <w:rFonts w:ascii="Arial Narrow" w:hAnsi="Arial Narrow"/>
                <w:sz w:val="16"/>
                <w:szCs w:val="16"/>
              </w:rPr>
              <w:t>055-URD101-2020-001023355-1 del 28.10.2020</w:t>
            </w:r>
          </w:p>
        </w:tc>
      </w:tr>
      <w:tr w:rsidR="00002FB6" w:rsidRPr="00002FB6" w14:paraId="4086FFA1"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6FF44EAF" w14:textId="77777777" w:rsidR="00002FB6" w:rsidRPr="00002FB6" w:rsidRDefault="00002FB6">
            <w:pPr>
              <w:rPr>
                <w:rFonts w:ascii="Arial Narrow" w:hAnsi="Arial Narrow"/>
                <w:sz w:val="16"/>
                <w:szCs w:val="16"/>
              </w:rPr>
            </w:pPr>
            <w:r w:rsidRPr="00002FB6">
              <w:rPr>
                <w:rFonts w:ascii="Arial Narrow" w:hAnsi="Arial Narrow"/>
                <w:sz w:val="16"/>
                <w:szCs w:val="16"/>
              </w:rPr>
              <w:t>Documento reclamado</w:t>
            </w:r>
          </w:p>
        </w:tc>
        <w:tc>
          <w:tcPr>
            <w:tcW w:w="94" w:type="dxa"/>
            <w:tcBorders>
              <w:top w:val="single" w:sz="4" w:space="0" w:color="auto"/>
              <w:bottom w:val="single" w:sz="4" w:space="0" w:color="auto"/>
            </w:tcBorders>
          </w:tcPr>
          <w:p w14:paraId="4629F856" w14:textId="0B2A9ACE"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A7B8AC3" w14:textId="2583A3A7" w:rsidR="00002FB6" w:rsidRPr="00002FB6" w:rsidRDefault="00002FB6">
            <w:pPr>
              <w:rPr>
                <w:rFonts w:ascii="Arial Narrow" w:hAnsi="Arial Narrow"/>
                <w:sz w:val="16"/>
                <w:szCs w:val="16"/>
              </w:rPr>
            </w:pPr>
            <w:r w:rsidRPr="00002FB6">
              <w:rPr>
                <w:rFonts w:ascii="Arial Narrow" w:hAnsi="Arial Narrow"/>
                <w:sz w:val="16"/>
                <w:szCs w:val="16"/>
              </w:rPr>
              <w:t>Resolución de División N° 082 3O0500/2020-000005</w:t>
            </w:r>
          </w:p>
        </w:tc>
      </w:tr>
      <w:tr w:rsidR="00002FB6" w:rsidRPr="00002FB6" w14:paraId="2E556371"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1609A473" w14:textId="77777777" w:rsidR="00002FB6" w:rsidRPr="00002FB6" w:rsidRDefault="00002FB6">
            <w:pPr>
              <w:rPr>
                <w:rFonts w:ascii="Arial Narrow" w:hAnsi="Arial Narrow"/>
                <w:sz w:val="16"/>
                <w:szCs w:val="16"/>
              </w:rPr>
            </w:pPr>
            <w:r w:rsidRPr="00002FB6">
              <w:rPr>
                <w:rFonts w:ascii="Arial Narrow" w:hAnsi="Arial Narrow"/>
                <w:sz w:val="16"/>
                <w:szCs w:val="16"/>
              </w:rPr>
              <w:t>Deudor :</w:t>
            </w:r>
          </w:p>
        </w:tc>
        <w:tc>
          <w:tcPr>
            <w:tcW w:w="94" w:type="dxa"/>
            <w:tcBorders>
              <w:top w:val="single" w:sz="4" w:space="0" w:color="auto"/>
              <w:bottom w:val="single" w:sz="4" w:space="0" w:color="auto"/>
            </w:tcBorders>
          </w:tcPr>
          <w:p w14:paraId="61CDE96D" w14:textId="7C81970A"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AF684E8" w14:textId="5328DDB2" w:rsidR="00002FB6" w:rsidRPr="00002FB6" w:rsidRDefault="00002FB6">
            <w:pPr>
              <w:rPr>
                <w:rFonts w:ascii="Arial Narrow" w:hAnsi="Arial Narrow"/>
                <w:sz w:val="16"/>
                <w:szCs w:val="16"/>
              </w:rPr>
            </w:pPr>
            <w:r w:rsidRPr="00002FB6">
              <w:rPr>
                <w:rFonts w:ascii="Arial Narrow" w:hAnsi="Arial Narrow"/>
                <w:sz w:val="16"/>
                <w:szCs w:val="16"/>
              </w:rPr>
              <w:t>MARIA ANGÉLICA DÍAZ MENDOZA</w:t>
            </w:r>
          </w:p>
        </w:tc>
      </w:tr>
      <w:tr w:rsidR="00002FB6" w:rsidRPr="00002FB6" w14:paraId="74D71FE1"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1CD4B182" w14:textId="77777777" w:rsidR="00002FB6" w:rsidRPr="00002FB6" w:rsidRDefault="00002FB6">
            <w:pPr>
              <w:rPr>
                <w:rFonts w:ascii="Arial Narrow" w:hAnsi="Arial Narrow"/>
                <w:sz w:val="16"/>
                <w:szCs w:val="16"/>
              </w:rPr>
            </w:pPr>
            <w:r w:rsidRPr="00002FB6">
              <w:rPr>
                <w:rFonts w:ascii="Arial Narrow" w:hAnsi="Arial Narrow"/>
                <w:sz w:val="16"/>
                <w:szCs w:val="16"/>
              </w:rPr>
              <w:t>Documento :</w:t>
            </w:r>
          </w:p>
        </w:tc>
        <w:tc>
          <w:tcPr>
            <w:tcW w:w="94" w:type="dxa"/>
            <w:tcBorders>
              <w:top w:val="single" w:sz="4" w:space="0" w:color="auto"/>
              <w:bottom w:val="single" w:sz="4" w:space="0" w:color="auto"/>
            </w:tcBorders>
          </w:tcPr>
          <w:p w14:paraId="7408D453" w14:textId="128C6268"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26AA7855" w14:textId="3380ECCA" w:rsidR="00002FB6" w:rsidRPr="00002FB6" w:rsidRDefault="00002FB6">
            <w:pPr>
              <w:rPr>
                <w:rFonts w:ascii="Arial Narrow" w:hAnsi="Arial Narrow"/>
                <w:sz w:val="16"/>
                <w:szCs w:val="16"/>
              </w:rPr>
            </w:pPr>
            <w:r w:rsidRPr="00002FB6">
              <w:rPr>
                <w:rFonts w:ascii="Arial Narrow" w:hAnsi="Arial Narrow"/>
                <w:sz w:val="16"/>
                <w:szCs w:val="16"/>
              </w:rPr>
              <w:t>DNI N° 16782111</w:t>
            </w:r>
          </w:p>
        </w:tc>
      </w:tr>
      <w:tr w:rsidR="00002FB6" w:rsidRPr="00002FB6" w14:paraId="4F82DD1F"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7BEEF41E" w14:textId="77777777" w:rsidR="00002FB6" w:rsidRPr="00002FB6" w:rsidRDefault="00002FB6">
            <w:pPr>
              <w:rPr>
                <w:rFonts w:ascii="Arial Narrow" w:hAnsi="Arial Narrow"/>
                <w:sz w:val="16"/>
                <w:szCs w:val="16"/>
              </w:rPr>
            </w:pPr>
            <w:r w:rsidRPr="00002FB6">
              <w:rPr>
                <w:rFonts w:ascii="Arial Narrow" w:hAnsi="Arial Narrow"/>
                <w:sz w:val="16"/>
                <w:szCs w:val="16"/>
              </w:rPr>
              <w:t>Acto administrativo :</w:t>
            </w:r>
          </w:p>
        </w:tc>
        <w:tc>
          <w:tcPr>
            <w:tcW w:w="94" w:type="dxa"/>
            <w:tcBorders>
              <w:top w:val="single" w:sz="4" w:space="0" w:color="auto"/>
              <w:bottom w:val="single" w:sz="4" w:space="0" w:color="auto"/>
            </w:tcBorders>
          </w:tcPr>
          <w:p w14:paraId="05DAB3D7" w14:textId="2EA7E85A"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19182CFE" w14:textId="11C67748" w:rsidR="00002FB6" w:rsidRPr="00002FB6" w:rsidRDefault="00002FB6">
            <w:pPr>
              <w:rPr>
                <w:rFonts w:ascii="Arial Narrow" w:hAnsi="Arial Narrow"/>
                <w:sz w:val="16"/>
                <w:szCs w:val="16"/>
              </w:rPr>
            </w:pPr>
            <w:r w:rsidRPr="00002FB6">
              <w:rPr>
                <w:rFonts w:ascii="Arial Narrow" w:hAnsi="Arial Narrow"/>
                <w:sz w:val="16"/>
                <w:szCs w:val="16"/>
              </w:rPr>
              <w:t>Resolución de Intendencia No. 000007-2021-SUNAT/3O0000</w:t>
            </w:r>
          </w:p>
        </w:tc>
      </w:tr>
      <w:tr w:rsidR="00002FB6" w:rsidRPr="00002FB6" w14:paraId="21A3C9D6" w14:textId="77777777" w:rsidTr="00002FB6">
        <w:tc>
          <w:tcPr>
            <w:tcW w:w="1667"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6A69C7B9" w14:textId="77777777" w:rsidR="00002FB6" w:rsidRPr="00002FB6" w:rsidRDefault="00002FB6">
            <w:pPr>
              <w:rPr>
                <w:rFonts w:ascii="Arial Narrow" w:hAnsi="Arial Narrow"/>
                <w:sz w:val="16"/>
                <w:szCs w:val="16"/>
              </w:rPr>
            </w:pPr>
            <w:r w:rsidRPr="00002FB6">
              <w:rPr>
                <w:rFonts w:ascii="Arial Narrow" w:hAnsi="Arial Narrow"/>
                <w:sz w:val="16"/>
                <w:szCs w:val="16"/>
              </w:rPr>
              <w:t>Fecha:</w:t>
            </w:r>
          </w:p>
        </w:tc>
        <w:tc>
          <w:tcPr>
            <w:tcW w:w="94" w:type="dxa"/>
            <w:tcBorders>
              <w:top w:val="single" w:sz="4" w:space="0" w:color="auto"/>
              <w:bottom w:val="single" w:sz="4" w:space="0" w:color="auto"/>
            </w:tcBorders>
          </w:tcPr>
          <w:p w14:paraId="4222A511" w14:textId="7A89A3DA" w:rsidR="00002FB6" w:rsidRPr="00002FB6" w:rsidRDefault="00002FB6" w:rsidP="00002FB6">
            <w:pPr>
              <w:jc w:val="center"/>
              <w:rPr>
                <w:rFonts w:ascii="Arial Narrow" w:hAnsi="Arial Narrow"/>
                <w:sz w:val="16"/>
                <w:szCs w:val="16"/>
              </w:rPr>
            </w:pPr>
            <w:r w:rsidRPr="00002FB6">
              <w:rPr>
                <w:rFonts w:ascii="Arial Narrow" w:hAnsi="Arial Narrow"/>
                <w:sz w:val="16"/>
                <w:szCs w:val="16"/>
              </w:rPr>
              <w:t>:</w:t>
            </w:r>
          </w:p>
        </w:tc>
        <w:tc>
          <w:tcPr>
            <w:tcW w:w="390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771FFFC3" w14:textId="3231F8CD" w:rsidR="00002FB6" w:rsidRPr="00002FB6" w:rsidRDefault="00002FB6">
            <w:pPr>
              <w:rPr>
                <w:rFonts w:ascii="Arial Narrow" w:hAnsi="Arial Narrow"/>
                <w:sz w:val="16"/>
                <w:szCs w:val="16"/>
              </w:rPr>
            </w:pPr>
            <w:r w:rsidRPr="00002FB6">
              <w:rPr>
                <w:rFonts w:ascii="Arial Narrow" w:hAnsi="Arial Narrow"/>
                <w:sz w:val="16"/>
                <w:szCs w:val="16"/>
              </w:rPr>
              <w:t>28 de junio de 2021</w:t>
            </w:r>
          </w:p>
        </w:tc>
      </w:tr>
      <w:tr w:rsidR="00002FB6" w:rsidRPr="00002FB6" w14:paraId="181DB2B8" w14:textId="77777777" w:rsidTr="00002FB6">
        <w:tc>
          <w:tcPr>
            <w:tcW w:w="567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844CD" w14:textId="77777777" w:rsidR="00002FB6" w:rsidRPr="00002FB6" w:rsidRDefault="00002FB6" w:rsidP="00002FB6">
            <w:pPr>
              <w:rPr>
                <w:rFonts w:ascii="Arial Narrow" w:hAnsi="Arial Narrow"/>
                <w:sz w:val="16"/>
                <w:szCs w:val="16"/>
              </w:rPr>
            </w:pPr>
            <w:r w:rsidRPr="00002FB6">
              <w:rPr>
                <w:rFonts w:ascii="Arial Narrow" w:hAnsi="Arial Narrow"/>
                <w:sz w:val="16"/>
                <w:szCs w:val="16"/>
              </w:rPr>
              <w:t>Texto de la Notificación:</w:t>
            </w:r>
          </w:p>
          <w:p w14:paraId="4A546EC6" w14:textId="77777777" w:rsidR="00002FB6" w:rsidRPr="00002FB6" w:rsidRDefault="00002FB6" w:rsidP="00002FB6">
            <w:pPr>
              <w:jc w:val="both"/>
              <w:rPr>
                <w:rFonts w:ascii="Arial Narrow" w:hAnsi="Arial Narrow"/>
                <w:sz w:val="16"/>
                <w:szCs w:val="16"/>
              </w:rPr>
            </w:pPr>
            <w:r w:rsidRPr="00002FB6">
              <w:rPr>
                <w:rFonts w:ascii="Arial Narrow" w:hAnsi="Arial Narrow"/>
                <w:sz w:val="16"/>
                <w:szCs w:val="16"/>
              </w:rPr>
              <w:t xml:space="preserve">ARTÍCULO PRIMERO.- ACUMULAR los Expedientes N° 082-URD999-2021-843222 y N° 082-URD999-2021-844650, ambos de fecha 18.06.2021, en el Expediente N° 055-URD101-2020-001023355-1 de fecha 28.10.2020, presentados por MARIA ANGÉLICA DÍAZ MENDOZA, Documento Nacional de Identidad (DNI) N° 16782111, presentado contra la Resolución de División N° 082 3O0500/2020-000005, en virtud del artículo 160° de la Ley N° 27444; </w:t>
            </w:r>
          </w:p>
          <w:p w14:paraId="242A76FA" w14:textId="77777777" w:rsidR="00002FB6" w:rsidRPr="00002FB6" w:rsidRDefault="00002FB6" w:rsidP="00002FB6">
            <w:pPr>
              <w:jc w:val="both"/>
              <w:rPr>
                <w:rFonts w:ascii="Arial Narrow" w:hAnsi="Arial Narrow"/>
                <w:sz w:val="16"/>
                <w:szCs w:val="16"/>
              </w:rPr>
            </w:pPr>
            <w:r w:rsidRPr="00002FB6">
              <w:rPr>
                <w:rFonts w:ascii="Arial Narrow" w:hAnsi="Arial Narrow"/>
                <w:sz w:val="16"/>
                <w:szCs w:val="16"/>
              </w:rPr>
              <w:t xml:space="preserve">ARTÍCULO SEGUNDO.- CALIFICAR como Recurso de Reclamación contra la Resolución de División N° 082 3O0500/2020-000005, el denominado escrito, presentado por MARIA ANGÉLICA DÍAZ MENDOZA, identificada con Documento Nacional de Identidad (DNI) N° 16782111, mediante Expediente N° 055-URD101-2020-001023355-1 de fecha 28.10.2020, en virtud del artículo 213° de la Ley N° 27444. Asimismo, declárese INFUNDADO el recurso de reclamación, en consecuencia, CONFÍRMESE las sanciones dispuestas en la referida Resolución de División, de conformidad con los fundamentos expuestos en la parte considerativa de la presente Resolución. </w:t>
            </w:r>
          </w:p>
          <w:p w14:paraId="09C2FAD7" w14:textId="37F0B28C" w:rsidR="00002FB6" w:rsidRPr="00002FB6" w:rsidRDefault="00002FB6" w:rsidP="00002FB6">
            <w:pPr>
              <w:jc w:val="both"/>
              <w:rPr>
                <w:rFonts w:ascii="Arial Narrow" w:hAnsi="Arial Narrow"/>
                <w:sz w:val="16"/>
                <w:szCs w:val="16"/>
              </w:rPr>
            </w:pPr>
            <w:r w:rsidRPr="00002FB6">
              <w:rPr>
                <w:rFonts w:ascii="Arial Narrow" w:hAnsi="Arial Narrow"/>
                <w:sz w:val="16"/>
                <w:szCs w:val="16"/>
              </w:rPr>
              <w:t>ARTÍCULO TERCERO.- Una vez consentida la presente resolución, corresponde derivar los actuados a la División de Técnica Aduanera, Recaudación y Contabilidad, para continuar con el procedimiento de cobranza coactiva correspondiente; de conformidad con el artículo 119° último párrafo del Texto Único Ordenado del Código Tributario, aprobado por el Decreto Supremo N° 133-2013-EF y modificatorias.</w:t>
            </w:r>
          </w:p>
        </w:tc>
      </w:tr>
    </w:tbl>
    <w:p w14:paraId="0289E353" w14:textId="113272CF" w:rsidR="00BF4842" w:rsidRPr="00002FB6" w:rsidRDefault="00537EBA" w:rsidP="00002FB6">
      <w:pPr>
        <w:ind w:left="1560" w:right="1274"/>
        <w:jc w:val="both"/>
        <w:rPr>
          <w:rFonts w:ascii="Arial Narrow" w:hAnsi="Arial Narrow"/>
          <w:sz w:val="16"/>
          <w:szCs w:val="16"/>
        </w:rPr>
      </w:pPr>
      <w:r w:rsidRPr="00002FB6">
        <w:rPr>
          <w:rFonts w:ascii="Arial Narrow" w:hAnsi="Arial Narrow"/>
          <w:sz w:val="16"/>
          <w:szCs w:val="16"/>
        </w:rPr>
        <w:t>S</w:t>
      </w:r>
      <w:r w:rsidR="00BF4842" w:rsidRPr="00002FB6">
        <w:rPr>
          <w:rFonts w:ascii="Arial Narrow" w:hAnsi="Arial Narrow"/>
          <w:sz w:val="16"/>
          <w:szCs w:val="16"/>
        </w:rPr>
        <w:t>e hace de su conocimiento que se encuentra habilitada la Mesa de Partes Virtual disponible en la página web institucional (</w:t>
      </w:r>
      <w:hyperlink r:id="rId7" w:history="1">
        <w:r w:rsidR="00BF4842" w:rsidRPr="00002FB6">
          <w:rPr>
            <w:rStyle w:val="Hipervnculo"/>
            <w:rFonts w:ascii="Arial Narrow" w:hAnsi="Arial Narrow"/>
            <w:sz w:val="16"/>
            <w:szCs w:val="16"/>
          </w:rPr>
          <w:t>www.sunat.gob.pe</w:t>
        </w:r>
      </w:hyperlink>
      <w:r w:rsidR="00BF4842" w:rsidRPr="00002FB6">
        <w:rPr>
          <w:rFonts w:ascii="Arial Narrow" w:hAnsi="Arial Narrow"/>
          <w:sz w:val="16"/>
          <w:szCs w:val="16"/>
        </w:rPr>
        <w:t>)</w:t>
      </w:r>
      <w:r w:rsidRPr="00002FB6">
        <w:rPr>
          <w:rFonts w:ascii="Arial Narrow" w:hAnsi="Arial Narrow"/>
          <w:sz w:val="16"/>
          <w:szCs w:val="16"/>
        </w:rPr>
        <w:t xml:space="preserve"> para la presentación </w:t>
      </w:r>
      <w:r w:rsidR="002D5A62" w:rsidRPr="00002FB6">
        <w:rPr>
          <w:rFonts w:ascii="Arial Narrow" w:hAnsi="Arial Narrow"/>
          <w:sz w:val="16"/>
          <w:szCs w:val="16"/>
        </w:rPr>
        <w:t xml:space="preserve">y consulta </w:t>
      </w:r>
      <w:r w:rsidRPr="00002FB6">
        <w:rPr>
          <w:rFonts w:ascii="Arial Narrow" w:hAnsi="Arial Narrow"/>
          <w:sz w:val="16"/>
          <w:szCs w:val="16"/>
        </w:rPr>
        <w:t>de sus escritos.</w:t>
      </w:r>
    </w:p>
    <w:p w14:paraId="7EE29036" w14:textId="62A4DA8A" w:rsidR="00BF4842" w:rsidRPr="00002FB6" w:rsidRDefault="00537EBA" w:rsidP="00002FB6">
      <w:pPr>
        <w:ind w:left="1560" w:right="1274"/>
        <w:jc w:val="both"/>
        <w:rPr>
          <w:rFonts w:ascii="Arial Narrow" w:hAnsi="Arial Narrow"/>
          <w:color w:val="000000" w:themeColor="text1"/>
          <w:sz w:val="16"/>
          <w:szCs w:val="16"/>
        </w:rPr>
      </w:pPr>
      <w:r w:rsidRPr="00002FB6">
        <w:rPr>
          <w:rFonts w:ascii="Arial Narrow" w:hAnsi="Arial Narrow"/>
          <w:sz w:val="16"/>
          <w:szCs w:val="16"/>
        </w:rPr>
        <w:t>Asimismo, p</w:t>
      </w:r>
      <w:r w:rsidR="00BF4842" w:rsidRPr="00002FB6">
        <w:rPr>
          <w:rFonts w:ascii="Arial Narrow" w:hAnsi="Arial Narrow"/>
          <w:sz w:val="16"/>
          <w:szCs w:val="16"/>
        </w:rPr>
        <w:t xml:space="preserve">ara </w:t>
      </w:r>
      <w:r w:rsidRPr="00002FB6">
        <w:rPr>
          <w:rFonts w:ascii="Arial Narrow" w:hAnsi="Arial Narrow"/>
          <w:sz w:val="16"/>
          <w:szCs w:val="16"/>
        </w:rPr>
        <w:t>i</w:t>
      </w:r>
      <w:r w:rsidR="00BF4842" w:rsidRPr="00002FB6">
        <w:rPr>
          <w:rFonts w:ascii="Arial Narrow" w:hAnsi="Arial Narrow"/>
          <w:sz w:val="16"/>
          <w:szCs w:val="16"/>
        </w:rPr>
        <w:t xml:space="preserve">nformación </w:t>
      </w:r>
      <w:r w:rsidR="002D5A62" w:rsidRPr="00002FB6">
        <w:rPr>
          <w:rFonts w:ascii="Arial Narrow" w:hAnsi="Arial Narrow"/>
          <w:sz w:val="16"/>
          <w:szCs w:val="16"/>
        </w:rPr>
        <w:t xml:space="preserve">personalizada </w:t>
      </w:r>
      <w:r w:rsidR="00BF4842" w:rsidRPr="00002FB6">
        <w:rPr>
          <w:rFonts w:ascii="Arial Narrow" w:hAnsi="Arial Narrow"/>
          <w:sz w:val="16"/>
          <w:szCs w:val="16"/>
        </w:rPr>
        <w:t>de su expediente puede comunicarse al Teléfono N°044-481400 Anexo 4121</w:t>
      </w:r>
      <w:r w:rsidR="009E5AB4" w:rsidRPr="00002FB6">
        <w:rPr>
          <w:rFonts w:ascii="Arial Narrow" w:hAnsi="Arial Narrow"/>
          <w:sz w:val="16"/>
          <w:szCs w:val="16"/>
        </w:rPr>
        <w:t>2</w:t>
      </w:r>
      <w:r w:rsidR="00BF4842" w:rsidRPr="00002FB6">
        <w:rPr>
          <w:rFonts w:ascii="Arial Narrow" w:hAnsi="Arial Narrow"/>
          <w:sz w:val="16"/>
          <w:szCs w:val="16"/>
        </w:rPr>
        <w:t xml:space="preserve">, o al </w:t>
      </w:r>
      <w:r w:rsidR="00BF4842" w:rsidRPr="00002FB6">
        <w:rPr>
          <w:rFonts w:ascii="Arial Narrow" w:hAnsi="Arial Narrow"/>
          <w:color w:val="000000" w:themeColor="text1"/>
          <w:sz w:val="16"/>
          <w:szCs w:val="16"/>
        </w:rPr>
        <w:t>correo</w:t>
      </w:r>
      <w:r w:rsidR="00A329CB" w:rsidRPr="00002FB6">
        <w:rPr>
          <w:rFonts w:ascii="Arial Narrow" w:hAnsi="Arial Narrow"/>
          <w:color w:val="000000" w:themeColor="text1"/>
          <w:sz w:val="16"/>
          <w:szCs w:val="16"/>
        </w:rPr>
        <w:t xml:space="preserve"> </w:t>
      </w:r>
      <w:hyperlink r:id="rId8" w:history="1">
        <w:r w:rsidR="00A329CB" w:rsidRPr="00002FB6">
          <w:rPr>
            <w:rStyle w:val="Hipervnculo"/>
            <w:rFonts w:ascii="Arial Narrow" w:hAnsi="Arial Narrow"/>
            <w:sz w:val="16"/>
            <w:szCs w:val="16"/>
          </w:rPr>
          <w:t>jsilvav@sunat.gob.pe</w:t>
        </w:r>
      </w:hyperlink>
      <w:r w:rsidR="00A329CB" w:rsidRPr="00002FB6">
        <w:rPr>
          <w:rFonts w:ascii="Arial Narrow" w:hAnsi="Arial Narrow"/>
          <w:color w:val="000000" w:themeColor="text1"/>
          <w:sz w:val="16"/>
          <w:szCs w:val="16"/>
        </w:rPr>
        <w:t xml:space="preserve">  </w:t>
      </w:r>
      <w:r w:rsidR="00BF4842" w:rsidRPr="00002FB6">
        <w:rPr>
          <w:rFonts w:ascii="Arial Narrow" w:hAnsi="Arial Narrow"/>
          <w:color w:val="000000" w:themeColor="text1"/>
          <w:sz w:val="16"/>
          <w:szCs w:val="16"/>
        </w:rPr>
        <w:t xml:space="preserve"> </w:t>
      </w:r>
    </w:p>
    <w:p w14:paraId="54C35623" w14:textId="77777777" w:rsidR="00B311BB" w:rsidRPr="00002FB6" w:rsidRDefault="00B311BB" w:rsidP="00BF4842">
      <w:pPr>
        <w:jc w:val="both"/>
        <w:rPr>
          <w:rFonts w:ascii="Arial Narrow" w:hAnsi="Arial Narrow"/>
          <w:sz w:val="16"/>
          <w:szCs w:val="16"/>
        </w:rPr>
      </w:pPr>
    </w:p>
    <w:sectPr w:rsidR="00B311BB" w:rsidRPr="00002F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42"/>
    <w:rsid w:val="00002FB6"/>
    <w:rsid w:val="001E7240"/>
    <w:rsid w:val="002B3CC2"/>
    <w:rsid w:val="002D5A62"/>
    <w:rsid w:val="00537EBA"/>
    <w:rsid w:val="009E5AB4"/>
    <w:rsid w:val="00A329CB"/>
    <w:rsid w:val="00A43D8D"/>
    <w:rsid w:val="00B311BB"/>
    <w:rsid w:val="00BF48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727C"/>
  <w15:chartTrackingRefBased/>
  <w15:docId w15:val="{73D9D5E8-82EC-4305-A26C-93E41A7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84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4842"/>
    <w:rPr>
      <w:color w:val="0563C1"/>
      <w:u w:val="single"/>
    </w:rPr>
  </w:style>
  <w:style w:type="character" w:styleId="Mencinsinresolver">
    <w:name w:val="Unresolved Mention"/>
    <w:basedOn w:val="Fuentedeprrafopredeter"/>
    <w:uiPriority w:val="99"/>
    <w:semiHidden/>
    <w:unhideWhenUsed/>
    <w:rsid w:val="00A32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1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lvav@sunat.gob.pe" TargetMode="External"/><Relationship Id="rId3" Type="http://schemas.openxmlformats.org/officeDocument/2006/relationships/customXml" Target="../customXml/item3.xml"/><Relationship Id="rId7" Type="http://schemas.openxmlformats.org/officeDocument/2006/relationships/hyperlink" Target="http://www.sunat.gob.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1" ma:contentTypeDescription="Create a new document." ma:contentTypeScope="" ma:versionID="27adbf97d0b722a90e9590c3115180a3">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f0a7c1b743c23ef1fe3a642cf70e60a7"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CF808-0558-43FB-A2EF-D6D49736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C66FC-1A54-4643-B12B-51C7978FBB39}">
  <ds:schemaRefs>
    <ds:schemaRef ds:uri="http://schemas.microsoft.com/sharepoint/v3/contenttype/forms"/>
  </ds:schemaRefs>
</ds:datastoreItem>
</file>

<file path=customXml/itemProps3.xml><?xml version="1.0" encoding="utf-8"?>
<ds:datastoreItem xmlns:ds="http://schemas.openxmlformats.org/officeDocument/2006/customXml" ds:itemID="{2953B591-E729-423D-9EEC-B52A2964BD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2410</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Tello Palomino Jessica Marlene</dc:creator>
  <cp:keywords/>
  <dc:description/>
  <cp:lastModifiedBy>Microsoft Office User</cp:lastModifiedBy>
  <cp:revision>4</cp:revision>
  <dcterms:created xsi:type="dcterms:W3CDTF">2021-07-05T15:29:00Z</dcterms:created>
  <dcterms:modified xsi:type="dcterms:W3CDTF">2021-07-05T21:17:00Z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