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F9C4" w14:textId="77777777" w:rsidR="00536027" w:rsidRDefault="00536027" w:rsidP="0053602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410B460A" w14:textId="77777777" w:rsidR="00536027" w:rsidRDefault="00536027" w:rsidP="0053602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2D10B5C8" w14:textId="77777777" w:rsidR="00536027" w:rsidRDefault="00536027" w:rsidP="0053602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131894AC" w14:textId="77777777" w:rsidR="00536027" w:rsidRDefault="00536027" w:rsidP="0053602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3E1393A4" w14:textId="77777777" w:rsidR="00536027" w:rsidRDefault="00536027" w:rsidP="0053602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65B7484C" w14:textId="77777777" w:rsidR="00536027" w:rsidRDefault="00536027" w:rsidP="0053602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73FADC90" w14:textId="77777777" w:rsidR="00536027" w:rsidRDefault="00536027" w:rsidP="0053602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0025240D" w14:textId="77777777" w:rsidR="00536027" w:rsidRDefault="00536027" w:rsidP="0053602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7F6F17B7" w14:textId="77777777" w:rsidR="00536027" w:rsidRDefault="00536027" w:rsidP="0053602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35880582" w14:textId="77777777" w:rsidR="00536027" w:rsidRDefault="00536027" w:rsidP="0053602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7216FE44" w14:textId="77777777" w:rsidR="00536027" w:rsidRDefault="00536027" w:rsidP="0053602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65423659" w14:textId="3E482DEF" w:rsidR="002B0851" w:rsidRPr="00536027" w:rsidRDefault="002B0851" w:rsidP="0053602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536027">
        <w:rPr>
          <w:rFonts w:ascii="Arial Narrow" w:eastAsia="Calibri" w:hAnsi="Arial Narrow" w:cs="Times New Roman"/>
          <w:b/>
          <w:bCs/>
          <w:sz w:val="16"/>
          <w:szCs w:val="16"/>
        </w:rPr>
        <w:t>SUPERINTENDENCIA NACIONAL DE ADUANAS Y DE ADMINISTRACION TRIBUTARIA</w:t>
      </w:r>
    </w:p>
    <w:p w14:paraId="6542365A" w14:textId="77777777" w:rsidR="002B0851" w:rsidRPr="00536027" w:rsidRDefault="002B0851" w:rsidP="00536027">
      <w:pPr>
        <w:spacing w:after="0" w:line="0" w:lineRule="atLeast"/>
        <w:ind w:left="3119" w:right="3117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536027">
        <w:rPr>
          <w:rFonts w:ascii="Arial Narrow" w:eastAsia="Calibri" w:hAnsi="Arial Narrow" w:cs="Times New Roman"/>
          <w:b/>
          <w:bCs/>
          <w:sz w:val="16"/>
          <w:szCs w:val="16"/>
        </w:rPr>
        <w:t>INTENDENCIA DE ADUANA DE SALAVERRY</w:t>
      </w:r>
    </w:p>
    <w:p w14:paraId="6542365B" w14:textId="77777777" w:rsidR="00093FE4" w:rsidRPr="00536027" w:rsidRDefault="00093FE4" w:rsidP="00536027">
      <w:pPr>
        <w:spacing w:after="0" w:line="0" w:lineRule="atLeast"/>
        <w:ind w:left="3119" w:right="3117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6542365D" w14:textId="01E907FF" w:rsidR="002D589E" w:rsidRPr="00536027" w:rsidRDefault="00646EFB" w:rsidP="00536027">
      <w:pPr>
        <w:spacing w:after="0" w:line="0" w:lineRule="atLeast"/>
        <w:ind w:left="3119" w:right="3117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536027">
        <w:rPr>
          <w:rFonts w:ascii="Arial Narrow" w:eastAsia="Calibri" w:hAnsi="Arial Narrow" w:cs="Times New Roman"/>
          <w:b/>
          <w:bCs/>
          <w:sz w:val="16"/>
          <w:szCs w:val="16"/>
        </w:rPr>
        <w:t>NOTIFICACION ADMINISTRATIVA</w:t>
      </w:r>
      <w:r w:rsidR="002D7D6C">
        <w:rPr>
          <w:rFonts w:ascii="Arial Narrow" w:eastAsia="Calibri" w:hAnsi="Arial Narrow" w:cs="Times New Roman"/>
          <w:b/>
          <w:bCs/>
          <w:sz w:val="16"/>
          <w:szCs w:val="16"/>
        </w:rPr>
        <w:br/>
      </w:r>
      <w:r w:rsidR="002D7D6C" w:rsidRPr="00726ECE">
        <w:rPr>
          <w:rFonts w:ascii="Arial Narrow" w:hAnsi="Arial Narrow"/>
          <w:sz w:val="16"/>
          <w:szCs w:val="16"/>
        </w:rPr>
        <w:t>(Publicada en el Boletín del Diario Oficial El Peruano el 2</w:t>
      </w:r>
      <w:r w:rsidR="00F57FBE">
        <w:rPr>
          <w:rFonts w:ascii="Arial Narrow" w:hAnsi="Arial Narrow"/>
          <w:sz w:val="16"/>
          <w:szCs w:val="16"/>
        </w:rPr>
        <w:t>3</w:t>
      </w:r>
      <w:r w:rsidR="002D7D6C" w:rsidRPr="00726ECE">
        <w:rPr>
          <w:rFonts w:ascii="Arial Narrow" w:hAnsi="Arial Narrow"/>
          <w:sz w:val="16"/>
          <w:szCs w:val="16"/>
        </w:rPr>
        <w:t>.07.2021)</w:t>
      </w:r>
    </w:p>
    <w:p w14:paraId="02FA2C37" w14:textId="77777777" w:rsidR="00536027" w:rsidRPr="00536027" w:rsidRDefault="00536027" w:rsidP="00536027">
      <w:pPr>
        <w:spacing w:after="0" w:line="0" w:lineRule="atLeast"/>
        <w:ind w:left="3119" w:right="3117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65423670" w14:textId="681651BB" w:rsidR="00B76D30" w:rsidRPr="00536027" w:rsidRDefault="00B96A68" w:rsidP="00536027">
      <w:pPr>
        <w:spacing w:after="0" w:line="0" w:lineRule="atLeast"/>
        <w:ind w:left="3119" w:right="3117"/>
        <w:jc w:val="both"/>
        <w:rPr>
          <w:rFonts w:ascii="Arial Narrow" w:eastAsia="Calibri" w:hAnsi="Arial Narrow" w:cs="Times New Roman"/>
          <w:sz w:val="16"/>
          <w:szCs w:val="16"/>
        </w:rPr>
      </w:pPr>
      <w:r w:rsidRPr="00536027">
        <w:rPr>
          <w:rFonts w:ascii="Arial Narrow" w:eastAsia="Calibri" w:hAnsi="Arial Narrow" w:cs="Times New Roman"/>
          <w:sz w:val="16"/>
          <w:szCs w:val="16"/>
        </w:rPr>
        <w:t xml:space="preserve">De conformidad a lo dispuesto </w:t>
      </w:r>
      <w:r w:rsidR="002D589E" w:rsidRPr="00536027">
        <w:rPr>
          <w:rFonts w:ascii="Arial Narrow" w:eastAsia="Calibri" w:hAnsi="Arial Narrow" w:cs="Times New Roman"/>
          <w:sz w:val="16"/>
          <w:szCs w:val="16"/>
        </w:rPr>
        <w:t xml:space="preserve"> en los artículos 104° y 105° del Texto Único Ordenado del Código Tributario aprobado mediante Decreto Supremo N° 133-2013-EF, pone en conocimiento de las personas naturales y/o jurídicas no identificadas, la</w:t>
      </w:r>
      <w:r w:rsidRPr="00536027">
        <w:rPr>
          <w:rFonts w:ascii="Arial Narrow" w:eastAsia="Calibri" w:hAnsi="Arial Narrow" w:cs="Times New Roman"/>
          <w:sz w:val="16"/>
          <w:szCs w:val="16"/>
        </w:rPr>
        <w:t xml:space="preserve"> Resolución </w:t>
      </w:r>
      <w:r w:rsidR="002D589E" w:rsidRPr="00536027">
        <w:rPr>
          <w:rFonts w:ascii="Arial Narrow" w:eastAsia="Calibri" w:hAnsi="Arial Narrow" w:cs="Times New Roman"/>
          <w:sz w:val="16"/>
          <w:szCs w:val="16"/>
        </w:rPr>
        <w:t>de</w:t>
      </w:r>
      <w:r w:rsidRPr="00536027">
        <w:rPr>
          <w:rFonts w:ascii="Arial Narrow" w:eastAsia="Calibri" w:hAnsi="Arial Narrow" w:cs="Times New Roman"/>
          <w:sz w:val="16"/>
          <w:szCs w:val="16"/>
        </w:rPr>
        <w:t xml:space="preserve"> División </w:t>
      </w:r>
      <w:r w:rsidR="002D589E" w:rsidRPr="00536027">
        <w:rPr>
          <w:rFonts w:ascii="Arial Narrow" w:eastAsia="Calibri" w:hAnsi="Arial Narrow" w:cs="Times New Roman"/>
          <w:sz w:val="16"/>
          <w:szCs w:val="16"/>
        </w:rPr>
        <w:t xml:space="preserve"> que a continuación se detalla</w:t>
      </w:r>
      <w:r w:rsidRPr="00536027">
        <w:rPr>
          <w:rFonts w:ascii="Arial Narrow" w:eastAsia="Calibri" w:hAnsi="Arial Narrow" w:cs="Times New Roman"/>
          <w:sz w:val="16"/>
          <w:szCs w:val="16"/>
        </w:rPr>
        <w:t xml:space="preserve">, </w:t>
      </w:r>
      <w:r w:rsidR="002D589E" w:rsidRPr="00536027">
        <w:rPr>
          <w:rFonts w:ascii="Arial Narrow" w:eastAsia="Calibri" w:hAnsi="Arial Narrow" w:cs="Times New Roman"/>
          <w:sz w:val="16"/>
          <w:szCs w:val="16"/>
        </w:rPr>
        <w:t xml:space="preserve"> la cual resuelve el comiso administrativo de mercancías sin multa por las infracciones administrativas vinculadas al contrabando de acuerdo a lo establecido en la Ley de Los Delitos Aduaneros, Ley N° 28008. </w:t>
      </w:r>
    </w:p>
    <w:tbl>
      <w:tblPr>
        <w:tblStyle w:val="Tablaconcuadrcula"/>
        <w:tblW w:w="0" w:type="auto"/>
        <w:tblInd w:w="311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3"/>
        <w:gridCol w:w="2315"/>
      </w:tblGrid>
      <w:tr w:rsidR="00536027" w:rsidRPr="00536027" w14:paraId="53814605" w14:textId="77777777" w:rsidTr="00536027">
        <w:tc>
          <w:tcPr>
            <w:tcW w:w="1980" w:type="dxa"/>
          </w:tcPr>
          <w:p w14:paraId="5D582A45" w14:textId="400D8614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536027">
              <w:rPr>
                <w:rFonts w:ascii="Arial Narrow" w:eastAsia="Calibri" w:hAnsi="Arial Narrow" w:cs="Times New Roman"/>
                <w:sz w:val="16"/>
                <w:szCs w:val="16"/>
              </w:rPr>
              <w:t>RESOLUCION DE DIVISIÓN</w:t>
            </w:r>
          </w:p>
        </w:tc>
        <w:tc>
          <w:tcPr>
            <w:tcW w:w="253" w:type="dxa"/>
          </w:tcPr>
          <w:p w14:paraId="1A5A7BD3" w14:textId="09F1FE62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315" w:type="dxa"/>
          </w:tcPr>
          <w:p w14:paraId="1C4D1091" w14:textId="0269D829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536027">
              <w:rPr>
                <w:rFonts w:ascii="Arial Narrow" w:hAnsi="Arial Narrow"/>
                <w:sz w:val="16"/>
                <w:szCs w:val="16"/>
              </w:rPr>
              <w:t>000068-2021-SUNAT/3O0500</w:t>
            </w:r>
          </w:p>
        </w:tc>
      </w:tr>
      <w:tr w:rsidR="00536027" w:rsidRPr="00536027" w14:paraId="05321349" w14:textId="77777777" w:rsidTr="00536027">
        <w:tc>
          <w:tcPr>
            <w:tcW w:w="1980" w:type="dxa"/>
          </w:tcPr>
          <w:p w14:paraId="21680243" w14:textId="64BDF1E0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536027">
              <w:rPr>
                <w:rFonts w:ascii="Arial Narrow" w:eastAsia="Calibri" w:hAnsi="Arial Narrow" w:cs="Times New Roman"/>
                <w:sz w:val="16"/>
                <w:szCs w:val="16"/>
              </w:rPr>
              <w:t>FECHA R.D.</w:t>
            </w:r>
          </w:p>
        </w:tc>
        <w:tc>
          <w:tcPr>
            <w:tcW w:w="253" w:type="dxa"/>
          </w:tcPr>
          <w:p w14:paraId="2E2B9304" w14:textId="23B8B06C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315" w:type="dxa"/>
          </w:tcPr>
          <w:p w14:paraId="58B3CFA7" w14:textId="066F500B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536027">
              <w:rPr>
                <w:rFonts w:ascii="Arial Narrow" w:hAnsi="Arial Narrow"/>
                <w:sz w:val="16"/>
                <w:szCs w:val="16"/>
              </w:rPr>
              <w:t>17.07.2021</w:t>
            </w:r>
          </w:p>
        </w:tc>
      </w:tr>
      <w:tr w:rsidR="00536027" w:rsidRPr="00536027" w14:paraId="5172C377" w14:textId="77777777" w:rsidTr="00536027">
        <w:tc>
          <w:tcPr>
            <w:tcW w:w="1980" w:type="dxa"/>
          </w:tcPr>
          <w:p w14:paraId="6D1A9449" w14:textId="17BE2F15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536027">
              <w:rPr>
                <w:rFonts w:ascii="Arial Narrow" w:eastAsia="Calibri" w:hAnsi="Arial Narrow" w:cs="Times New Roman"/>
                <w:sz w:val="16"/>
                <w:szCs w:val="16"/>
              </w:rPr>
              <w:t>HECHO GRAVADO</w:t>
            </w:r>
          </w:p>
        </w:tc>
        <w:tc>
          <w:tcPr>
            <w:tcW w:w="253" w:type="dxa"/>
          </w:tcPr>
          <w:p w14:paraId="2FB79A46" w14:textId="7F54E943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315" w:type="dxa"/>
          </w:tcPr>
          <w:p w14:paraId="31A63CAF" w14:textId="44F6AADA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536027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</w:tr>
      <w:tr w:rsidR="00536027" w:rsidRPr="00536027" w14:paraId="40E68D9A" w14:textId="77777777" w:rsidTr="00536027">
        <w:tc>
          <w:tcPr>
            <w:tcW w:w="1980" w:type="dxa"/>
          </w:tcPr>
          <w:p w14:paraId="3AC1876B" w14:textId="2C1AAC1E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536027">
              <w:rPr>
                <w:rFonts w:ascii="Arial Narrow" w:eastAsia="Calibri" w:hAnsi="Arial Narrow" w:cs="Times New Roman"/>
                <w:sz w:val="16"/>
                <w:szCs w:val="16"/>
              </w:rPr>
              <w:t>RESULTADO Y LIQUIDACIÓN DE COBRANZA</w:t>
            </w:r>
          </w:p>
        </w:tc>
        <w:tc>
          <w:tcPr>
            <w:tcW w:w="253" w:type="dxa"/>
          </w:tcPr>
          <w:p w14:paraId="2D74EFE2" w14:textId="77859ADC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315" w:type="dxa"/>
          </w:tcPr>
          <w:p w14:paraId="3C0AEB4F" w14:textId="77777777" w:rsidR="00536027" w:rsidRPr="00536027" w:rsidRDefault="00536027" w:rsidP="00536027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536027">
              <w:rPr>
                <w:rFonts w:ascii="Arial Narrow" w:hAnsi="Arial Narrow"/>
                <w:sz w:val="16"/>
                <w:szCs w:val="16"/>
              </w:rPr>
              <w:t>COMISO/CON MULTA</w:t>
            </w:r>
          </w:p>
          <w:p w14:paraId="7A238D09" w14:textId="2F0A5FD3" w:rsidR="00536027" w:rsidRPr="00536027" w:rsidRDefault="00536027" w:rsidP="00536027">
            <w:pPr>
              <w:spacing w:line="0" w:lineRule="atLeast"/>
              <w:rPr>
                <w:rFonts w:ascii="Arial Narrow" w:eastAsiaTheme="minorHAnsi" w:hAnsi="Arial Narrow"/>
                <w:sz w:val="16"/>
                <w:szCs w:val="16"/>
              </w:rPr>
            </w:pPr>
            <w:r w:rsidRPr="00536027">
              <w:rPr>
                <w:rFonts w:ascii="Arial Narrow" w:hAnsi="Arial Narrow"/>
                <w:sz w:val="16"/>
                <w:szCs w:val="16"/>
              </w:rPr>
              <w:t>LIQUIDACIÓN DE COBRANZA N° 082-2021-000497</w:t>
            </w:r>
          </w:p>
        </w:tc>
      </w:tr>
      <w:tr w:rsidR="00536027" w:rsidRPr="00536027" w14:paraId="1CE283E8" w14:textId="77777777" w:rsidTr="00536027">
        <w:tc>
          <w:tcPr>
            <w:tcW w:w="1980" w:type="dxa"/>
          </w:tcPr>
          <w:p w14:paraId="67D3262F" w14:textId="41DF1E45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536027">
              <w:rPr>
                <w:rFonts w:ascii="Arial Narrow" w:eastAsia="Calibri" w:hAnsi="Arial Narrow" w:cs="Times New Roman"/>
                <w:sz w:val="16"/>
                <w:szCs w:val="16"/>
              </w:rPr>
              <w:t>NOMBRE/RUC</w:t>
            </w:r>
          </w:p>
        </w:tc>
        <w:tc>
          <w:tcPr>
            <w:tcW w:w="253" w:type="dxa"/>
          </w:tcPr>
          <w:p w14:paraId="2A6CBFBA" w14:textId="5B92DCEF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315" w:type="dxa"/>
          </w:tcPr>
          <w:p w14:paraId="29041691" w14:textId="6D91DE37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536027">
              <w:rPr>
                <w:rFonts w:ascii="Arial Narrow" w:hAnsi="Arial Narrow"/>
                <w:sz w:val="16"/>
                <w:szCs w:val="16"/>
              </w:rPr>
              <w:t>CHÁVEZ TASILLA WALTER MIGUEL CON DNI N° 25797476</w:t>
            </w:r>
          </w:p>
        </w:tc>
      </w:tr>
      <w:tr w:rsidR="00536027" w:rsidRPr="00536027" w14:paraId="443CFB82" w14:textId="77777777" w:rsidTr="00536027">
        <w:tc>
          <w:tcPr>
            <w:tcW w:w="1980" w:type="dxa"/>
          </w:tcPr>
          <w:p w14:paraId="38EB1CD8" w14:textId="4D66B3FA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536027">
              <w:rPr>
                <w:rFonts w:ascii="Arial Narrow" w:eastAsia="Calibri" w:hAnsi="Arial Narrow" w:cs="Times New Roman"/>
                <w:sz w:val="16"/>
                <w:szCs w:val="16"/>
              </w:rPr>
              <w:t>NUMERO DE ACTAS DE INMOVILIZACION - INCAUTACION</w:t>
            </w:r>
          </w:p>
        </w:tc>
        <w:tc>
          <w:tcPr>
            <w:tcW w:w="253" w:type="dxa"/>
          </w:tcPr>
          <w:p w14:paraId="2EBE61D6" w14:textId="2C32B622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315" w:type="dxa"/>
          </w:tcPr>
          <w:p w14:paraId="1C14B3B6" w14:textId="77777777" w:rsidR="00536027" w:rsidRPr="00536027" w:rsidRDefault="00536027" w:rsidP="00536027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536027">
              <w:rPr>
                <w:rFonts w:ascii="Arial Narrow" w:hAnsi="Arial Narrow"/>
                <w:sz w:val="16"/>
                <w:szCs w:val="16"/>
              </w:rPr>
              <w:t>N° 082-0300-2021-000032</w:t>
            </w:r>
          </w:p>
          <w:p w14:paraId="58BC20A3" w14:textId="77777777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536027" w:rsidRPr="00536027" w14:paraId="214EFE9B" w14:textId="77777777" w:rsidTr="00536027">
        <w:tc>
          <w:tcPr>
            <w:tcW w:w="1980" w:type="dxa"/>
          </w:tcPr>
          <w:p w14:paraId="72899273" w14:textId="16AE074A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536027">
              <w:rPr>
                <w:rFonts w:ascii="Arial Narrow" w:eastAsia="Calibri" w:hAnsi="Arial Narrow" w:cs="Times New Roman"/>
                <w:sz w:val="16"/>
                <w:szCs w:val="16"/>
              </w:rPr>
              <w:t>DESCRIPCIÓN DE LA MERCANCIA</w:t>
            </w:r>
          </w:p>
        </w:tc>
        <w:tc>
          <w:tcPr>
            <w:tcW w:w="253" w:type="dxa"/>
          </w:tcPr>
          <w:p w14:paraId="22C43905" w14:textId="3082131D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315" w:type="dxa"/>
          </w:tcPr>
          <w:p w14:paraId="5CCC3661" w14:textId="4ADE03AE" w:rsidR="00536027" w:rsidRPr="00536027" w:rsidRDefault="00536027" w:rsidP="0053602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536027">
              <w:rPr>
                <w:rFonts w:ascii="Arial Narrow" w:hAnsi="Arial Narrow"/>
                <w:sz w:val="16"/>
                <w:szCs w:val="16"/>
              </w:rPr>
              <w:t>MASCARILLAS</w:t>
            </w:r>
          </w:p>
        </w:tc>
      </w:tr>
    </w:tbl>
    <w:p w14:paraId="63863126" w14:textId="77777777" w:rsidR="00536027" w:rsidRPr="00536027" w:rsidRDefault="00536027" w:rsidP="00536027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65423671" w14:textId="77777777" w:rsidR="00885CC7" w:rsidRPr="00536027" w:rsidRDefault="00885CC7" w:rsidP="00536027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2" w14:textId="77777777" w:rsidR="00885CC7" w:rsidRPr="00536027" w:rsidRDefault="00885CC7" w:rsidP="00536027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3" w14:textId="77777777" w:rsidR="00885CC7" w:rsidRPr="00536027" w:rsidRDefault="00885CC7" w:rsidP="00536027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4" w14:textId="77777777" w:rsidR="00392BDC" w:rsidRPr="00536027" w:rsidRDefault="00392BDC" w:rsidP="00536027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5" w14:textId="77777777" w:rsidR="00392BDC" w:rsidRPr="00536027" w:rsidRDefault="00392BDC" w:rsidP="00536027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6" w14:textId="77777777" w:rsidR="00392BDC" w:rsidRPr="00536027" w:rsidRDefault="00392BDC" w:rsidP="00536027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7" w14:textId="77777777" w:rsidR="00392BDC" w:rsidRPr="00536027" w:rsidRDefault="00392BDC" w:rsidP="00536027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8" w14:textId="77777777" w:rsidR="00392BDC" w:rsidRPr="00536027" w:rsidRDefault="00392BDC" w:rsidP="00536027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9" w14:textId="77777777" w:rsidR="00B76D30" w:rsidRPr="00536027" w:rsidRDefault="00B76D30" w:rsidP="00536027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42367A" w14:textId="77777777" w:rsidR="002D589E" w:rsidRPr="00536027" w:rsidRDefault="002D589E" w:rsidP="00536027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sectPr w:rsidR="002D589E" w:rsidRPr="00536027" w:rsidSect="00536027">
      <w:pgSz w:w="11907" w:h="16839" w:code="9"/>
      <w:pgMar w:top="1417" w:right="56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51"/>
    <w:rsid w:val="00006D94"/>
    <w:rsid w:val="00014BD1"/>
    <w:rsid w:val="00056709"/>
    <w:rsid w:val="000670D5"/>
    <w:rsid w:val="00093FE4"/>
    <w:rsid w:val="000D1CE9"/>
    <w:rsid w:val="00112F59"/>
    <w:rsid w:val="00116F1C"/>
    <w:rsid w:val="00125A48"/>
    <w:rsid w:val="001414AD"/>
    <w:rsid w:val="00154189"/>
    <w:rsid w:val="001A1834"/>
    <w:rsid w:val="001B5253"/>
    <w:rsid w:val="001D1A75"/>
    <w:rsid w:val="001E2A0F"/>
    <w:rsid w:val="002126F2"/>
    <w:rsid w:val="0022354A"/>
    <w:rsid w:val="002334B5"/>
    <w:rsid w:val="0025326A"/>
    <w:rsid w:val="0025367C"/>
    <w:rsid w:val="002B0851"/>
    <w:rsid w:val="002D589E"/>
    <w:rsid w:val="002D7D6C"/>
    <w:rsid w:val="00307E84"/>
    <w:rsid w:val="00392BDC"/>
    <w:rsid w:val="003A1187"/>
    <w:rsid w:val="003E04F6"/>
    <w:rsid w:val="003F24D3"/>
    <w:rsid w:val="00401C4A"/>
    <w:rsid w:val="00401DB1"/>
    <w:rsid w:val="00406C1C"/>
    <w:rsid w:val="00420A32"/>
    <w:rsid w:val="004517E9"/>
    <w:rsid w:val="00482042"/>
    <w:rsid w:val="004C4916"/>
    <w:rsid w:val="004C7A27"/>
    <w:rsid w:val="00521BA7"/>
    <w:rsid w:val="00536027"/>
    <w:rsid w:val="00540B65"/>
    <w:rsid w:val="00550BA5"/>
    <w:rsid w:val="0056158E"/>
    <w:rsid w:val="005645B6"/>
    <w:rsid w:val="0057238D"/>
    <w:rsid w:val="00586011"/>
    <w:rsid w:val="00591D1E"/>
    <w:rsid w:val="00596949"/>
    <w:rsid w:val="005B1830"/>
    <w:rsid w:val="005C2E05"/>
    <w:rsid w:val="005D46CE"/>
    <w:rsid w:val="005E0500"/>
    <w:rsid w:val="005E380E"/>
    <w:rsid w:val="005F56FB"/>
    <w:rsid w:val="00612D85"/>
    <w:rsid w:val="006204E3"/>
    <w:rsid w:val="00646EFB"/>
    <w:rsid w:val="006670DE"/>
    <w:rsid w:val="00691CC3"/>
    <w:rsid w:val="006B4EAF"/>
    <w:rsid w:val="006C15F1"/>
    <w:rsid w:val="006C665D"/>
    <w:rsid w:val="007073E5"/>
    <w:rsid w:val="00744692"/>
    <w:rsid w:val="00766B00"/>
    <w:rsid w:val="00766E05"/>
    <w:rsid w:val="007C25EA"/>
    <w:rsid w:val="00807668"/>
    <w:rsid w:val="00815389"/>
    <w:rsid w:val="008530C0"/>
    <w:rsid w:val="00885CC7"/>
    <w:rsid w:val="008C1CD9"/>
    <w:rsid w:val="008F127A"/>
    <w:rsid w:val="00951A0A"/>
    <w:rsid w:val="00952D64"/>
    <w:rsid w:val="009946B8"/>
    <w:rsid w:val="009B29E2"/>
    <w:rsid w:val="009C4AC9"/>
    <w:rsid w:val="009D5E08"/>
    <w:rsid w:val="00A17F62"/>
    <w:rsid w:val="00A52761"/>
    <w:rsid w:val="00A941D3"/>
    <w:rsid w:val="00A96B90"/>
    <w:rsid w:val="00AD5BE6"/>
    <w:rsid w:val="00B149FB"/>
    <w:rsid w:val="00B21D9A"/>
    <w:rsid w:val="00B43CA3"/>
    <w:rsid w:val="00B4586C"/>
    <w:rsid w:val="00B52DD2"/>
    <w:rsid w:val="00B608AF"/>
    <w:rsid w:val="00B76D30"/>
    <w:rsid w:val="00B94CCC"/>
    <w:rsid w:val="00B96A68"/>
    <w:rsid w:val="00BE1410"/>
    <w:rsid w:val="00C13070"/>
    <w:rsid w:val="00C2696E"/>
    <w:rsid w:val="00C415ED"/>
    <w:rsid w:val="00C425E7"/>
    <w:rsid w:val="00C5772F"/>
    <w:rsid w:val="00C90A2B"/>
    <w:rsid w:val="00CD7A51"/>
    <w:rsid w:val="00CE0510"/>
    <w:rsid w:val="00D044DD"/>
    <w:rsid w:val="00D35B14"/>
    <w:rsid w:val="00D92384"/>
    <w:rsid w:val="00E10189"/>
    <w:rsid w:val="00E40C41"/>
    <w:rsid w:val="00E73B1A"/>
    <w:rsid w:val="00E7723D"/>
    <w:rsid w:val="00EA610C"/>
    <w:rsid w:val="00ED5877"/>
    <w:rsid w:val="00F27486"/>
    <w:rsid w:val="00F4402B"/>
    <w:rsid w:val="00F57FBE"/>
    <w:rsid w:val="00F752C1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23659"/>
  <w15:docId w15:val="{DD13FD64-2EDD-47A2-BECD-B8EB66E5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0C0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5D41B-F6BC-4A47-8B29-F2A161C9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Microsoft Office User</cp:lastModifiedBy>
  <cp:revision>5</cp:revision>
  <cp:lastPrinted>2015-07-01T20:14:00Z</cp:lastPrinted>
  <dcterms:created xsi:type="dcterms:W3CDTF">2021-07-20T16:46:00Z</dcterms:created>
  <dcterms:modified xsi:type="dcterms:W3CDTF">2021-07-22T00:01:00Z</dcterms:modified>
</cp:coreProperties>
</file>