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3187" w14:textId="77777777" w:rsidR="00493743" w:rsidRDefault="00493743" w:rsidP="00493743">
      <w:pPr>
        <w:spacing w:after="0" w:line="0" w:lineRule="atLeast"/>
        <w:ind w:left="426" w:hanging="14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88B244C" w14:textId="77777777" w:rsidR="00493743" w:rsidRDefault="00493743" w:rsidP="00493743">
      <w:pPr>
        <w:spacing w:after="0" w:line="0" w:lineRule="atLeast"/>
        <w:ind w:left="426" w:hanging="14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327447B" w14:textId="77777777" w:rsidR="00493743" w:rsidRDefault="00493743" w:rsidP="00493743">
      <w:pPr>
        <w:spacing w:after="0" w:line="0" w:lineRule="atLeast"/>
        <w:ind w:left="426" w:hanging="14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CA3D8F3" w14:textId="77777777" w:rsidR="00493743" w:rsidRDefault="00493743" w:rsidP="00493743">
      <w:pPr>
        <w:spacing w:after="0" w:line="0" w:lineRule="atLeast"/>
        <w:ind w:left="426" w:hanging="14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41ADFE0" w14:textId="77777777" w:rsidR="00493743" w:rsidRDefault="00493743" w:rsidP="00493743">
      <w:pPr>
        <w:spacing w:after="0" w:line="0" w:lineRule="atLeast"/>
        <w:ind w:left="426" w:hanging="142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5DD00ED" w14:textId="54C6A7A9" w:rsidR="00107F95" w:rsidRPr="008F2B67" w:rsidRDefault="00107F95" w:rsidP="00493743">
      <w:pPr>
        <w:spacing w:after="0" w:line="0" w:lineRule="atLeast"/>
        <w:ind w:left="426" w:hanging="142"/>
        <w:jc w:val="center"/>
        <w:rPr>
          <w:rFonts w:ascii="Arial Narrow" w:hAnsi="Arial Narrow"/>
          <w:b/>
          <w:bCs/>
          <w:sz w:val="16"/>
          <w:szCs w:val="16"/>
        </w:rPr>
      </w:pPr>
      <w:r w:rsidRPr="008F2B67">
        <w:rPr>
          <w:rFonts w:ascii="Arial Narrow" w:hAnsi="Arial Narrow"/>
          <w:b/>
          <w:bCs/>
          <w:sz w:val="16"/>
          <w:szCs w:val="16"/>
        </w:rPr>
        <w:t xml:space="preserve">SUPERINTENDENCIA NACIONAL DE ADUANAS Y </w:t>
      </w:r>
      <w:r w:rsidR="00493743">
        <w:rPr>
          <w:rFonts w:ascii="Arial Narrow" w:hAnsi="Arial Narrow"/>
          <w:b/>
          <w:bCs/>
          <w:sz w:val="16"/>
          <w:szCs w:val="16"/>
        </w:rPr>
        <w:t xml:space="preserve">DE </w:t>
      </w:r>
      <w:r w:rsidRPr="008F2B67">
        <w:rPr>
          <w:rFonts w:ascii="Arial Narrow" w:hAnsi="Arial Narrow"/>
          <w:b/>
          <w:bCs/>
          <w:sz w:val="16"/>
          <w:szCs w:val="16"/>
        </w:rPr>
        <w:t>ADMINISTRACION TRIBUTARIA</w:t>
      </w:r>
    </w:p>
    <w:p w14:paraId="0A793388" w14:textId="77777777" w:rsidR="00107F95" w:rsidRDefault="00107F95" w:rsidP="00493743">
      <w:pPr>
        <w:spacing w:after="0" w:line="0" w:lineRule="atLeast"/>
        <w:ind w:left="3544" w:right="3225"/>
        <w:jc w:val="center"/>
        <w:rPr>
          <w:rFonts w:ascii="Arial Narrow" w:hAnsi="Arial Narrow"/>
          <w:b/>
          <w:bCs/>
          <w:sz w:val="16"/>
          <w:szCs w:val="16"/>
        </w:rPr>
      </w:pPr>
      <w:r w:rsidRPr="008F2B67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8F2B67">
        <w:rPr>
          <w:rFonts w:ascii="Arial Narrow" w:hAnsi="Arial Narrow"/>
          <w:b/>
          <w:bCs/>
          <w:sz w:val="16"/>
          <w:szCs w:val="16"/>
        </w:rPr>
        <w:t xml:space="preserve"> </w:t>
      </w:r>
      <w:r w:rsidRPr="008F2B67">
        <w:rPr>
          <w:rFonts w:ascii="Arial Narrow" w:hAnsi="Arial Narrow"/>
          <w:b/>
          <w:bCs/>
          <w:sz w:val="16"/>
          <w:szCs w:val="16"/>
        </w:rPr>
        <w:t>DE TACNA</w:t>
      </w:r>
    </w:p>
    <w:p w14:paraId="3C8287CE" w14:textId="77777777" w:rsidR="008F2B67" w:rsidRPr="008F2B67" w:rsidRDefault="008F2B67" w:rsidP="00493743">
      <w:pPr>
        <w:spacing w:after="0" w:line="0" w:lineRule="atLeast"/>
        <w:ind w:left="3544" w:right="3225"/>
        <w:jc w:val="center"/>
        <w:rPr>
          <w:rFonts w:ascii="Arial Narrow" w:hAnsi="Arial Narrow"/>
          <w:b/>
          <w:bCs/>
          <w:sz w:val="16"/>
          <w:szCs w:val="16"/>
        </w:rPr>
      </w:pPr>
    </w:p>
    <w:p w14:paraId="66BA9B0E" w14:textId="4FE154A4" w:rsidR="00107F95" w:rsidRPr="008F2B67" w:rsidRDefault="00107F95" w:rsidP="006A0244">
      <w:pPr>
        <w:spacing w:after="0" w:line="0" w:lineRule="atLeast"/>
        <w:ind w:left="2977" w:right="2800"/>
        <w:jc w:val="center"/>
        <w:rPr>
          <w:rFonts w:ascii="Arial Narrow" w:hAnsi="Arial Narrow"/>
          <w:b/>
          <w:bCs/>
          <w:sz w:val="16"/>
          <w:szCs w:val="16"/>
        </w:rPr>
      </w:pPr>
      <w:r w:rsidRPr="008F2B67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8F2B67">
        <w:rPr>
          <w:rFonts w:ascii="Arial Narrow" w:hAnsi="Arial Narrow"/>
          <w:b/>
          <w:bCs/>
          <w:sz w:val="16"/>
          <w:szCs w:val="16"/>
        </w:rPr>
        <w:t>Ó</w:t>
      </w:r>
      <w:r w:rsidRPr="008F2B67">
        <w:rPr>
          <w:rFonts w:ascii="Arial Narrow" w:hAnsi="Arial Narrow"/>
          <w:b/>
          <w:bCs/>
          <w:sz w:val="16"/>
          <w:szCs w:val="16"/>
        </w:rPr>
        <w:t xml:space="preserve">N ADMINISTRATIVA </w:t>
      </w:r>
      <w:r w:rsidR="006A0244">
        <w:rPr>
          <w:rFonts w:ascii="Arial Narrow" w:hAnsi="Arial Narrow"/>
          <w:b/>
          <w:bCs/>
          <w:sz w:val="16"/>
          <w:szCs w:val="16"/>
        </w:rPr>
        <w:br/>
      </w:r>
      <w:r w:rsidR="006A0244" w:rsidRPr="006A0244">
        <w:rPr>
          <w:rFonts w:ascii="Arial Narrow" w:hAnsi="Arial Narrow"/>
          <w:sz w:val="16"/>
          <w:szCs w:val="16"/>
        </w:rPr>
        <w:t>(Publicada en el Boletín del Diario Oficial El Peruano del 01.04.2024)</w:t>
      </w:r>
    </w:p>
    <w:p w14:paraId="1FDB6033" w14:textId="77777777" w:rsidR="00107F95" w:rsidRPr="00C82F55" w:rsidRDefault="00107F95" w:rsidP="00493743">
      <w:pPr>
        <w:spacing w:after="0" w:line="0" w:lineRule="atLeast"/>
        <w:ind w:left="3544" w:right="3225"/>
        <w:jc w:val="center"/>
        <w:rPr>
          <w:rFonts w:ascii="Arial Narrow" w:hAnsi="Arial Narrow"/>
          <w:sz w:val="16"/>
          <w:szCs w:val="16"/>
        </w:rPr>
      </w:pPr>
    </w:p>
    <w:p w14:paraId="3E063E86" w14:textId="77777777" w:rsidR="009263D2" w:rsidRPr="00C82F55" w:rsidRDefault="00BF660F" w:rsidP="00493743">
      <w:pPr>
        <w:spacing w:after="0" w:line="0" w:lineRule="atLeast"/>
        <w:ind w:left="3544" w:right="3225"/>
        <w:jc w:val="both"/>
        <w:rPr>
          <w:rFonts w:ascii="Arial Narrow" w:hAnsi="Arial Narrow"/>
          <w:sz w:val="16"/>
          <w:szCs w:val="16"/>
        </w:rPr>
      </w:pPr>
      <w:r w:rsidRPr="00C82F55">
        <w:rPr>
          <w:rFonts w:ascii="Arial Narrow" w:hAnsi="Arial Narrow"/>
          <w:sz w:val="16"/>
          <w:szCs w:val="16"/>
        </w:rPr>
        <w:t>D</w:t>
      </w:r>
      <w:r w:rsidR="00107F95" w:rsidRPr="00C82F55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C82F55">
        <w:rPr>
          <w:rFonts w:ascii="Arial Narrow" w:hAnsi="Arial Narrow"/>
          <w:sz w:val="16"/>
          <w:szCs w:val="16"/>
        </w:rPr>
        <w:t>artículo</w:t>
      </w:r>
      <w:r w:rsidR="00107F95" w:rsidRPr="00C82F55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C82F55">
        <w:rPr>
          <w:rFonts w:ascii="Arial Narrow" w:hAnsi="Arial Narrow"/>
          <w:sz w:val="16"/>
          <w:szCs w:val="16"/>
        </w:rPr>
        <w:t>s</w:t>
      </w:r>
      <w:r w:rsidR="00107F95" w:rsidRPr="00C82F55">
        <w:rPr>
          <w:rFonts w:ascii="Arial Narrow" w:hAnsi="Arial Narrow"/>
          <w:sz w:val="16"/>
          <w:szCs w:val="16"/>
        </w:rPr>
        <w:t xml:space="preserve"> modificatoria</w:t>
      </w:r>
      <w:r w:rsidR="009263D2" w:rsidRPr="00C82F55">
        <w:rPr>
          <w:rFonts w:ascii="Arial Narrow" w:hAnsi="Arial Narrow"/>
          <w:sz w:val="16"/>
          <w:szCs w:val="16"/>
        </w:rPr>
        <w:t>s</w:t>
      </w:r>
      <w:r w:rsidR="00107F95" w:rsidRPr="00C82F55">
        <w:rPr>
          <w:rFonts w:ascii="Arial Narrow" w:hAnsi="Arial Narrow"/>
          <w:sz w:val="16"/>
          <w:szCs w:val="16"/>
        </w:rPr>
        <w:t xml:space="preserve">, </w:t>
      </w:r>
      <w:r w:rsidR="00923EFA" w:rsidRPr="00C82F55">
        <w:rPr>
          <w:rFonts w:ascii="Arial Narrow" w:hAnsi="Arial Narrow"/>
          <w:sz w:val="16"/>
          <w:szCs w:val="16"/>
        </w:rPr>
        <w:t>Ley de</w:t>
      </w:r>
      <w:r w:rsidR="009263D2" w:rsidRPr="00C82F55">
        <w:rPr>
          <w:rFonts w:ascii="Arial Narrow" w:hAnsi="Arial Narrow"/>
          <w:sz w:val="16"/>
          <w:szCs w:val="16"/>
        </w:rPr>
        <w:t>l</w:t>
      </w:r>
      <w:r w:rsidR="00923EFA" w:rsidRPr="00C82F55">
        <w:rPr>
          <w:rFonts w:ascii="Arial Narrow" w:hAnsi="Arial Narrow"/>
          <w:sz w:val="16"/>
          <w:szCs w:val="16"/>
        </w:rPr>
        <w:t xml:space="preserve"> Procedimiento</w:t>
      </w:r>
      <w:r w:rsidR="00DD5293" w:rsidRPr="00C82F55">
        <w:rPr>
          <w:rFonts w:ascii="Arial Narrow" w:hAnsi="Arial Narrow"/>
          <w:sz w:val="16"/>
          <w:szCs w:val="16"/>
        </w:rPr>
        <w:t xml:space="preserve"> Administrativo</w:t>
      </w:r>
      <w:r w:rsidR="009263D2" w:rsidRPr="00C82F55">
        <w:rPr>
          <w:rFonts w:ascii="Arial Narrow" w:hAnsi="Arial Narrow"/>
          <w:sz w:val="16"/>
          <w:szCs w:val="16"/>
        </w:rPr>
        <w:t xml:space="preserve"> </w:t>
      </w:r>
      <w:r w:rsidR="00DD5293" w:rsidRPr="00C82F55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C82F55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C82F55">
        <w:rPr>
          <w:rFonts w:ascii="Arial Narrow" w:hAnsi="Arial Narrow"/>
          <w:sz w:val="16"/>
          <w:szCs w:val="16"/>
        </w:rPr>
        <w:t xml:space="preserve"> </w:t>
      </w:r>
      <w:r w:rsidR="00107F95" w:rsidRPr="00C82F55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C82F55">
        <w:rPr>
          <w:rFonts w:ascii="Arial Narrow" w:hAnsi="Arial Narrow"/>
          <w:sz w:val="16"/>
          <w:szCs w:val="16"/>
        </w:rPr>
        <w:t xml:space="preserve"> N°</w:t>
      </w:r>
      <w:r w:rsidR="00107F95" w:rsidRPr="00C82F55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C82F55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C82F55">
        <w:rPr>
          <w:rFonts w:ascii="Arial Narrow" w:hAnsi="Arial Narrow"/>
          <w:sz w:val="16"/>
          <w:szCs w:val="16"/>
        </w:rPr>
        <w:t xml:space="preserve"> </w:t>
      </w:r>
      <w:r w:rsidR="00DD5293" w:rsidRPr="00C82F55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C82F55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C82F55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C82F55">
        <w:rPr>
          <w:rFonts w:ascii="Arial Narrow" w:hAnsi="Arial Narrow"/>
          <w:sz w:val="16"/>
          <w:szCs w:val="16"/>
        </w:rPr>
        <w:t>el</w:t>
      </w:r>
      <w:r w:rsidR="00107F95" w:rsidRPr="00C82F55">
        <w:rPr>
          <w:rFonts w:ascii="Arial Narrow" w:hAnsi="Arial Narrow"/>
          <w:sz w:val="16"/>
          <w:szCs w:val="16"/>
        </w:rPr>
        <w:t xml:space="preserve"> actas</w:t>
      </w:r>
      <w:r w:rsidR="00122B93" w:rsidRPr="00C82F55">
        <w:rPr>
          <w:rFonts w:ascii="Arial Narrow" w:hAnsi="Arial Narrow"/>
          <w:sz w:val="16"/>
          <w:szCs w:val="16"/>
        </w:rPr>
        <w:t xml:space="preserve"> </w:t>
      </w:r>
      <w:r w:rsidR="00107F95" w:rsidRPr="00C82F55">
        <w:rPr>
          <w:rFonts w:ascii="Arial Narrow" w:hAnsi="Arial Narrow"/>
          <w:sz w:val="16"/>
          <w:szCs w:val="16"/>
        </w:rPr>
        <w:t>de incautación indicada</w:t>
      </w:r>
      <w:r w:rsidR="009263D2" w:rsidRPr="00C82F55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3BCF5D43" w14:textId="66823DBF" w:rsidR="00107F95" w:rsidRPr="00C82F55" w:rsidRDefault="00991A03" w:rsidP="00493743">
      <w:pPr>
        <w:spacing w:after="0" w:line="0" w:lineRule="atLeast"/>
        <w:ind w:left="3544" w:right="3225"/>
        <w:jc w:val="both"/>
        <w:rPr>
          <w:rFonts w:ascii="Arial Narrow" w:hAnsi="Arial Narrow"/>
          <w:sz w:val="16"/>
          <w:szCs w:val="16"/>
        </w:rPr>
      </w:pPr>
      <w:r w:rsidRPr="00C82F55">
        <w:rPr>
          <w:rFonts w:ascii="Arial Narrow" w:hAnsi="Arial Narrow"/>
          <w:sz w:val="16"/>
          <w:szCs w:val="16"/>
        </w:rPr>
        <w:t>L</w:t>
      </w:r>
      <w:r w:rsidR="00B245CD" w:rsidRPr="00C82F55">
        <w:rPr>
          <w:rFonts w:ascii="Arial Narrow" w:hAnsi="Arial Narrow"/>
          <w:sz w:val="16"/>
          <w:szCs w:val="16"/>
        </w:rPr>
        <w:t xml:space="preserve">a </w:t>
      </w:r>
      <w:r w:rsidR="00107F95" w:rsidRPr="00C82F55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C82F55">
        <w:rPr>
          <w:rFonts w:ascii="Arial Narrow" w:hAnsi="Arial Narrow"/>
          <w:sz w:val="16"/>
          <w:szCs w:val="16"/>
        </w:rPr>
        <w:t xml:space="preserve"> </w:t>
      </w:r>
      <w:r w:rsidR="00107F95" w:rsidRPr="00C82F55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C82F55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C82F55">
        <w:rPr>
          <w:rFonts w:ascii="Arial Narrow" w:hAnsi="Arial Narrow"/>
          <w:sz w:val="16"/>
          <w:szCs w:val="16"/>
        </w:rPr>
        <w:t>,</w:t>
      </w:r>
      <w:r w:rsidR="009263D2" w:rsidRPr="00C82F55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C82F55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C82F55">
        <w:rPr>
          <w:rFonts w:ascii="Arial Narrow" w:hAnsi="Arial Narrow"/>
          <w:sz w:val="16"/>
          <w:szCs w:val="16"/>
        </w:rPr>
        <w:t>artículo</w:t>
      </w:r>
      <w:r w:rsidR="00107F95" w:rsidRPr="00C82F55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1D399F9F" w14:textId="65FADF28" w:rsidR="004D7099" w:rsidRDefault="00107F95" w:rsidP="00493743">
      <w:pPr>
        <w:spacing w:after="0" w:line="0" w:lineRule="atLeast"/>
        <w:ind w:left="3544" w:right="3225"/>
        <w:jc w:val="both"/>
        <w:rPr>
          <w:rFonts w:ascii="Arial Narrow" w:hAnsi="Arial Narrow"/>
          <w:sz w:val="16"/>
          <w:szCs w:val="16"/>
        </w:rPr>
      </w:pPr>
      <w:r w:rsidRPr="00C82F55">
        <w:rPr>
          <w:rFonts w:ascii="Arial Narrow" w:hAnsi="Arial Narrow"/>
          <w:sz w:val="16"/>
          <w:szCs w:val="16"/>
        </w:rPr>
        <w:t xml:space="preserve">Resolución </w:t>
      </w:r>
      <w:r w:rsidR="00375B00" w:rsidRPr="00C82F55">
        <w:rPr>
          <w:rFonts w:ascii="Arial Narrow" w:hAnsi="Arial Narrow"/>
          <w:sz w:val="16"/>
          <w:szCs w:val="16"/>
        </w:rPr>
        <w:t>Jefatural de División</w:t>
      </w:r>
      <w:r w:rsidRPr="00C82F55">
        <w:rPr>
          <w:rFonts w:ascii="Arial Narrow" w:hAnsi="Arial Narrow"/>
          <w:sz w:val="16"/>
          <w:szCs w:val="16"/>
        </w:rPr>
        <w:t xml:space="preserve"> N° </w:t>
      </w:r>
      <w:r w:rsidR="000D08D4" w:rsidRPr="00C82F55">
        <w:rPr>
          <w:rFonts w:ascii="Arial Narrow" w:hAnsi="Arial Narrow"/>
          <w:sz w:val="16"/>
          <w:szCs w:val="16"/>
        </w:rPr>
        <w:t>172-3G0500/202</w:t>
      </w:r>
      <w:r w:rsidR="001E0C0D" w:rsidRPr="00C82F55">
        <w:rPr>
          <w:rFonts w:ascii="Arial Narrow" w:hAnsi="Arial Narrow"/>
          <w:sz w:val="16"/>
          <w:szCs w:val="16"/>
        </w:rPr>
        <w:t>4</w:t>
      </w:r>
      <w:r w:rsidR="000D08D4" w:rsidRPr="00C82F55">
        <w:rPr>
          <w:rFonts w:ascii="Arial Narrow" w:hAnsi="Arial Narrow"/>
          <w:sz w:val="16"/>
          <w:szCs w:val="16"/>
        </w:rPr>
        <w:t>-000</w:t>
      </w:r>
      <w:r w:rsidR="001E0C0D" w:rsidRPr="00C82F55">
        <w:rPr>
          <w:rFonts w:ascii="Arial Narrow" w:hAnsi="Arial Narrow"/>
          <w:sz w:val="16"/>
          <w:szCs w:val="16"/>
        </w:rPr>
        <w:t>138</w:t>
      </w:r>
    </w:p>
    <w:tbl>
      <w:tblPr>
        <w:tblStyle w:val="Tablaconcuadrcula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53"/>
        <w:gridCol w:w="2298"/>
      </w:tblGrid>
      <w:tr w:rsidR="00892CC4" w14:paraId="6F20B421" w14:textId="77777777" w:rsidTr="004937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3334F" w14:textId="11EF7829" w:rsidR="008F2B67" w:rsidRDefault="00892CC4" w:rsidP="00FF03FF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82F55">
              <w:rPr>
                <w:rFonts w:ascii="Arial Narrow" w:hAnsi="Arial Narrow"/>
                <w:sz w:val="16"/>
                <w:szCs w:val="16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AE4337E" w14:textId="7653DEEE" w:rsidR="008F2B67" w:rsidRDefault="00892CC4" w:rsidP="00FF03FF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1C9" w14:textId="05752EC0" w:rsidR="008F2B67" w:rsidRDefault="00892CC4" w:rsidP="00FF03FF">
            <w:pPr>
              <w:pStyle w:val="Sinespaciado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82F55">
              <w:rPr>
                <w:rFonts w:ascii="Arial Narrow" w:hAnsi="Arial Narrow"/>
                <w:sz w:val="16"/>
                <w:szCs w:val="16"/>
              </w:rPr>
              <w:t>172-0202-2020-000300 de fecha 11.10.2019</w:t>
            </w:r>
          </w:p>
        </w:tc>
      </w:tr>
      <w:tr w:rsidR="00892CC4" w14:paraId="121AE02A" w14:textId="77777777" w:rsidTr="004937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B3658" w14:textId="478A8652" w:rsidR="008F2B67" w:rsidRDefault="00892CC4" w:rsidP="00FF03FF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82F55">
              <w:rPr>
                <w:rFonts w:ascii="Arial Narrow" w:hAnsi="Arial Narrow"/>
                <w:sz w:val="16"/>
                <w:szCs w:val="16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750BE96" w14:textId="0A9C4D98" w:rsidR="008F2B67" w:rsidRDefault="00892CC4" w:rsidP="00FF03FF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A8D" w14:textId="241AC2A3" w:rsidR="008F2B67" w:rsidRDefault="00892CC4" w:rsidP="00FF03FF">
            <w:pPr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C82F55">
              <w:rPr>
                <w:rFonts w:ascii="Arial Narrow" w:hAnsi="Arial Narrow"/>
                <w:sz w:val="16"/>
                <w:szCs w:val="16"/>
              </w:rPr>
              <w:t>N.º 000138-2024-SUNAT/3G0500 de fecha 23.03.2024</w:t>
            </w:r>
          </w:p>
        </w:tc>
      </w:tr>
      <w:tr w:rsidR="00493743" w14:paraId="79871AB1" w14:textId="77777777" w:rsidTr="00493743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9C2C" w14:textId="77777777" w:rsidR="00892CC4" w:rsidRDefault="00892CC4" w:rsidP="008F2B6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2F55">
              <w:rPr>
                <w:rFonts w:ascii="Arial Narrow" w:hAnsi="Arial Narrow"/>
                <w:sz w:val="16"/>
                <w:szCs w:val="16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23AB3118" w14:textId="2C9D1EB9" w:rsidR="00892CC4" w:rsidRDefault="00892CC4" w:rsidP="008F2B67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2F55">
              <w:rPr>
                <w:rFonts w:ascii="Arial Narrow" w:hAnsi="Arial Narrow"/>
                <w:sz w:val="16"/>
                <w:szCs w:val="16"/>
              </w:rPr>
              <w:t>ARTICULO UNICO: Declarar el COMISO de las mercancías consignadas en el Acta de Incautación N° 172-0202-2020 -000300 de fecha 12.3.2020, que parte integrante de la presente Resolución; conforme a los fundamentos de hecho y derechos expuestos en la parte considerativa de la presente.</w:t>
            </w:r>
          </w:p>
        </w:tc>
      </w:tr>
    </w:tbl>
    <w:p w14:paraId="5D008573" w14:textId="58457BE7" w:rsidR="000A101D" w:rsidRPr="00C82F55" w:rsidRDefault="000A101D" w:rsidP="00D95691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0A101D" w:rsidRPr="00C82F55" w:rsidSect="00493743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134A" w14:textId="77777777" w:rsidR="00BA3ED1" w:rsidRDefault="00BA3ED1" w:rsidP="005319CE">
      <w:pPr>
        <w:spacing w:after="0" w:line="240" w:lineRule="auto"/>
      </w:pPr>
      <w:r>
        <w:separator/>
      </w:r>
    </w:p>
  </w:endnote>
  <w:endnote w:type="continuationSeparator" w:id="0">
    <w:p w14:paraId="34AAF06E" w14:textId="77777777" w:rsidR="00BA3ED1" w:rsidRDefault="00BA3ED1" w:rsidP="005319CE">
      <w:pPr>
        <w:spacing w:after="0" w:line="240" w:lineRule="auto"/>
      </w:pPr>
      <w:r>
        <w:continuationSeparator/>
      </w:r>
    </w:p>
  </w:endnote>
  <w:endnote w:type="continuationNotice" w:id="1">
    <w:p w14:paraId="51223CB2" w14:textId="77777777" w:rsidR="00D95691" w:rsidRDefault="00D956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7912" w14:textId="77777777" w:rsidR="00BA3ED1" w:rsidRDefault="00BA3ED1" w:rsidP="005319CE">
      <w:pPr>
        <w:spacing w:after="0" w:line="240" w:lineRule="auto"/>
      </w:pPr>
      <w:r>
        <w:separator/>
      </w:r>
    </w:p>
  </w:footnote>
  <w:footnote w:type="continuationSeparator" w:id="0">
    <w:p w14:paraId="76A219BC" w14:textId="77777777" w:rsidR="00BA3ED1" w:rsidRDefault="00BA3ED1" w:rsidP="005319CE">
      <w:pPr>
        <w:spacing w:after="0" w:line="240" w:lineRule="auto"/>
      </w:pPr>
      <w:r>
        <w:continuationSeparator/>
      </w:r>
    </w:p>
  </w:footnote>
  <w:footnote w:type="continuationNotice" w:id="1">
    <w:p w14:paraId="0EE77705" w14:textId="77777777" w:rsidR="00D95691" w:rsidRDefault="00D9569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5A8F"/>
    <w:rsid w:val="000D76D9"/>
    <w:rsid w:val="000E1982"/>
    <w:rsid w:val="000E7934"/>
    <w:rsid w:val="000F3EE5"/>
    <w:rsid w:val="00107F95"/>
    <w:rsid w:val="00122B93"/>
    <w:rsid w:val="001435FD"/>
    <w:rsid w:val="001740A0"/>
    <w:rsid w:val="001A7DF9"/>
    <w:rsid w:val="001C7EE6"/>
    <w:rsid w:val="001E0C0D"/>
    <w:rsid w:val="001F3673"/>
    <w:rsid w:val="00235118"/>
    <w:rsid w:val="0024134F"/>
    <w:rsid w:val="00247717"/>
    <w:rsid w:val="00280B1A"/>
    <w:rsid w:val="002A34CA"/>
    <w:rsid w:val="002B08A0"/>
    <w:rsid w:val="002D69AC"/>
    <w:rsid w:val="00310D76"/>
    <w:rsid w:val="00316AA1"/>
    <w:rsid w:val="00335B64"/>
    <w:rsid w:val="0037423B"/>
    <w:rsid w:val="0037573A"/>
    <w:rsid w:val="00375B00"/>
    <w:rsid w:val="003D4101"/>
    <w:rsid w:val="00407E6F"/>
    <w:rsid w:val="004421C2"/>
    <w:rsid w:val="004555A8"/>
    <w:rsid w:val="00464F5B"/>
    <w:rsid w:val="004718F9"/>
    <w:rsid w:val="00493743"/>
    <w:rsid w:val="004A54D3"/>
    <w:rsid w:val="004D64C9"/>
    <w:rsid w:val="004D7099"/>
    <w:rsid w:val="004E21D2"/>
    <w:rsid w:val="004E2231"/>
    <w:rsid w:val="004F0A73"/>
    <w:rsid w:val="004F3A5E"/>
    <w:rsid w:val="005319CE"/>
    <w:rsid w:val="005550B5"/>
    <w:rsid w:val="00571AC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15F6D"/>
    <w:rsid w:val="00624B06"/>
    <w:rsid w:val="00632AFA"/>
    <w:rsid w:val="00654B20"/>
    <w:rsid w:val="00673016"/>
    <w:rsid w:val="00682FF5"/>
    <w:rsid w:val="00683F39"/>
    <w:rsid w:val="0069120F"/>
    <w:rsid w:val="00692B34"/>
    <w:rsid w:val="006947FC"/>
    <w:rsid w:val="006A0244"/>
    <w:rsid w:val="006B6933"/>
    <w:rsid w:val="006C5431"/>
    <w:rsid w:val="00721041"/>
    <w:rsid w:val="00741332"/>
    <w:rsid w:val="00796BD9"/>
    <w:rsid w:val="007C0315"/>
    <w:rsid w:val="007D7C47"/>
    <w:rsid w:val="00801EC2"/>
    <w:rsid w:val="00802FE8"/>
    <w:rsid w:val="00813866"/>
    <w:rsid w:val="00823836"/>
    <w:rsid w:val="00843AC9"/>
    <w:rsid w:val="008443C4"/>
    <w:rsid w:val="00882A6C"/>
    <w:rsid w:val="00892CC4"/>
    <w:rsid w:val="008C2CF4"/>
    <w:rsid w:val="008C7AFF"/>
    <w:rsid w:val="008F0D2A"/>
    <w:rsid w:val="008F2B67"/>
    <w:rsid w:val="00923EFA"/>
    <w:rsid w:val="009263D2"/>
    <w:rsid w:val="00936528"/>
    <w:rsid w:val="00991A03"/>
    <w:rsid w:val="009B4CF7"/>
    <w:rsid w:val="009D2812"/>
    <w:rsid w:val="009D4370"/>
    <w:rsid w:val="009E0B92"/>
    <w:rsid w:val="00A12EF5"/>
    <w:rsid w:val="00A220BD"/>
    <w:rsid w:val="00A30FBE"/>
    <w:rsid w:val="00A36837"/>
    <w:rsid w:val="00A42CDE"/>
    <w:rsid w:val="00A44E43"/>
    <w:rsid w:val="00A50480"/>
    <w:rsid w:val="00A57027"/>
    <w:rsid w:val="00A751F1"/>
    <w:rsid w:val="00A9458F"/>
    <w:rsid w:val="00AB2C18"/>
    <w:rsid w:val="00AB68CE"/>
    <w:rsid w:val="00AC414B"/>
    <w:rsid w:val="00AD075A"/>
    <w:rsid w:val="00B12B85"/>
    <w:rsid w:val="00B221DE"/>
    <w:rsid w:val="00B245CD"/>
    <w:rsid w:val="00B3560A"/>
    <w:rsid w:val="00B977AB"/>
    <w:rsid w:val="00BA3ED1"/>
    <w:rsid w:val="00BC0897"/>
    <w:rsid w:val="00BD48E1"/>
    <w:rsid w:val="00BE5E5D"/>
    <w:rsid w:val="00BF660F"/>
    <w:rsid w:val="00C70A2E"/>
    <w:rsid w:val="00C7519F"/>
    <w:rsid w:val="00C82F55"/>
    <w:rsid w:val="00C85E18"/>
    <w:rsid w:val="00CC2E69"/>
    <w:rsid w:val="00CC43FF"/>
    <w:rsid w:val="00CC7E62"/>
    <w:rsid w:val="00D24CDB"/>
    <w:rsid w:val="00D42EC5"/>
    <w:rsid w:val="00D65E78"/>
    <w:rsid w:val="00D72516"/>
    <w:rsid w:val="00D76FDB"/>
    <w:rsid w:val="00D95691"/>
    <w:rsid w:val="00D96A95"/>
    <w:rsid w:val="00DC3AB7"/>
    <w:rsid w:val="00DC6533"/>
    <w:rsid w:val="00DD5293"/>
    <w:rsid w:val="00DE1F79"/>
    <w:rsid w:val="00E0375F"/>
    <w:rsid w:val="00E37AD5"/>
    <w:rsid w:val="00E777A1"/>
    <w:rsid w:val="00E845EE"/>
    <w:rsid w:val="00E96574"/>
    <w:rsid w:val="00EA1B83"/>
    <w:rsid w:val="00EB7DF0"/>
    <w:rsid w:val="00F7623D"/>
    <w:rsid w:val="00FB0B54"/>
    <w:rsid w:val="00FD600A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D7D4AA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DC3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1clara">
    <w:name w:val="Grid Table 1 Light"/>
    <w:basedOn w:val="Tablanormal"/>
    <w:uiPriority w:val="46"/>
    <w:rsid w:val="00FB0B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DC3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/>
    </w:rPr>
  </w:style>
  <w:style w:type="table" w:styleId="Tablaconcuadrculaclara">
    <w:name w:val="Grid Table Light"/>
    <w:basedOn w:val="Tablanormal"/>
    <w:uiPriority w:val="40"/>
    <w:rsid w:val="008F2B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Meniz Cieza Fernando Salvador</cp:lastModifiedBy>
  <cp:revision>11</cp:revision>
  <cp:lastPrinted>2019-07-01T18:48:00Z</cp:lastPrinted>
  <dcterms:created xsi:type="dcterms:W3CDTF">2024-03-26T15:15:00Z</dcterms:created>
  <dcterms:modified xsi:type="dcterms:W3CDTF">2024-03-26T20:56:00Z</dcterms:modified>
</cp:coreProperties>
</file>