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00ED" w14:textId="4CDC69F0" w:rsidR="00107F95" w:rsidRPr="00AA75AB" w:rsidRDefault="00107F95" w:rsidP="00AA75AB">
      <w:pPr>
        <w:spacing w:after="0" w:line="0" w:lineRule="atLeast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 xml:space="preserve">SUPERINTENDENCIA NACIONAL DE ADUANAS Y </w:t>
      </w:r>
      <w:r w:rsid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 xml:space="preserve">DE </w:t>
      </w: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ADMINISTRACION TRIBUTARIA</w:t>
      </w:r>
    </w:p>
    <w:p w14:paraId="0A793388" w14:textId="77777777" w:rsidR="00107F95" w:rsidRDefault="00107F95" w:rsidP="00AA75AB">
      <w:pPr>
        <w:spacing w:after="0" w:line="0" w:lineRule="atLeast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INTENDENCIA DE ADUANA</w:t>
      </w:r>
      <w:r w:rsidR="009263D2"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 xml:space="preserve"> </w:t>
      </w: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DE TACNA</w:t>
      </w:r>
    </w:p>
    <w:p w14:paraId="26600553" w14:textId="77777777" w:rsidR="00AA75AB" w:rsidRDefault="00AA75AB" w:rsidP="00AA75AB">
      <w:pPr>
        <w:spacing w:after="0" w:line="0" w:lineRule="atLeast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</w:p>
    <w:p w14:paraId="65B4961B" w14:textId="5BEF68BE" w:rsidR="008D3500" w:rsidRDefault="008D3500" w:rsidP="00AA75AB">
      <w:pPr>
        <w:spacing w:after="0" w:line="0" w:lineRule="atLeast"/>
        <w:jc w:val="center"/>
        <w:rPr>
          <w:rFonts w:ascii="Arial Narrow" w:hAnsi="Arial Narrow"/>
          <w:bCs/>
          <w:sz w:val="16"/>
          <w:szCs w:val="16"/>
        </w:rPr>
      </w:pPr>
      <w:r w:rsidRPr="0013007D">
        <w:rPr>
          <w:rFonts w:ascii="Arial Narrow" w:hAnsi="Arial Narrow"/>
          <w:bCs/>
          <w:sz w:val="16"/>
          <w:szCs w:val="16"/>
        </w:rPr>
        <w:t xml:space="preserve">(Publicada en el Boletín del Diario Oficial El Peruano del </w:t>
      </w:r>
      <w:r w:rsidRPr="00C858EE">
        <w:rPr>
          <w:rFonts w:ascii="Arial Narrow" w:hAnsi="Arial Narrow"/>
          <w:sz w:val="16"/>
          <w:szCs w:val="16"/>
        </w:rPr>
        <w:t>1</w:t>
      </w:r>
      <w:r>
        <w:rPr>
          <w:rFonts w:ascii="Arial Narrow" w:hAnsi="Arial Narrow"/>
          <w:sz w:val="16"/>
          <w:szCs w:val="16"/>
        </w:rPr>
        <w:t>1</w:t>
      </w:r>
      <w:r w:rsidRPr="0013007D">
        <w:rPr>
          <w:rFonts w:ascii="Arial Narrow" w:hAnsi="Arial Narrow"/>
          <w:bCs/>
          <w:sz w:val="16"/>
          <w:szCs w:val="16"/>
        </w:rPr>
        <w:t>.04.2024)</w:t>
      </w:r>
    </w:p>
    <w:p w14:paraId="1A55A851" w14:textId="77777777" w:rsidR="008D3500" w:rsidRPr="00AA75AB" w:rsidRDefault="008D3500" w:rsidP="00AA75AB">
      <w:pPr>
        <w:spacing w:after="0" w:line="0" w:lineRule="atLeast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</w:p>
    <w:p w14:paraId="66BA9B0E" w14:textId="77777777" w:rsidR="00107F95" w:rsidRPr="00AA75AB" w:rsidRDefault="00107F95" w:rsidP="00AA75AB">
      <w:pPr>
        <w:spacing w:after="0" w:line="0" w:lineRule="atLeast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NOTIFICACI</w:t>
      </w:r>
      <w:r w:rsidR="009263D2"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Ó</w:t>
      </w: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 xml:space="preserve">N ADMINISTRATIVA </w:t>
      </w:r>
    </w:p>
    <w:p w14:paraId="1FDB6033" w14:textId="77777777" w:rsidR="00107F95" w:rsidRPr="00AA75AB" w:rsidRDefault="00107F95" w:rsidP="00AA75AB">
      <w:pPr>
        <w:spacing w:after="0" w:line="0" w:lineRule="atLeast"/>
        <w:jc w:val="center"/>
        <w:rPr>
          <w:rFonts w:ascii="Arial Narrow" w:hAnsi="Arial Narrow"/>
          <w:color w:val="000000" w:themeColor="text1"/>
          <w:sz w:val="16"/>
          <w:szCs w:val="16"/>
        </w:rPr>
      </w:pPr>
    </w:p>
    <w:p w14:paraId="3E063E86" w14:textId="77777777" w:rsidR="009263D2" w:rsidRPr="00AA75AB" w:rsidRDefault="00BF660F" w:rsidP="00AA75AB">
      <w:pPr>
        <w:spacing w:after="0" w:line="0" w:lineRule="atLeast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>D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e conformidad con lo dispuesto en el </w:t>
      </w:r>
      <w:r w:rsidR="004E21D2" w:rsidRPr="00AA75AB">
        <w:rPr>
          <w:rFonts w:ascii="Arial Narrow" w:hAnsi="Arial Narrow"/>
          <w:color w:val="000000" w:themeColor="text1"/>
          <w:sz w:val="16"/>
          <w:szCs w:val="16"/>
        </w:rPr>
        <w:t>artículo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>s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 modificatoria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>s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, </w:t>
      </w:r>
      <w:r w:rsidR="00923EFA" w:rsidRPr="00AA75AB">
        <w:rPr>
          <w:rFonts w:ascii="Arial Narrow" w:hAnsi="Arial Narrow"/>
          <w:color w:val="000000" w:themeColor="text1"/>
          <w:sz w:val="16"/>
          <w:szCs w:val="16"/>
        </w:rPr>
        <w:t>Ley de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>l</w:t>
      </w:r>
      <w:r w:rsidR="00923EFA" w:rsidRPr="00AA75AB">
        <w:rPr>
          <w:rFonts w:ascii="Arial Narrow" w:hAnsi="Arial Narrow"/>
          <w:color w:val="000000" w:themeColor="text1"/>
          <w:sz w:val="16"/>
          <w:szCs w:val="16"/>
        </w:rPr>
        <w:t xml:space="preserve"> Procedimiento</w:t>
      </w:r>
      <w:r w:rsidR="00DD5293" w:rsidRPr="00AA75AB">
        <w:rPr>
          <w:rFonts w:ascii="Arial Narrow" w:hAnsi="Arial Narrow"/>
          <w:color w:val="000000" w:themeColor="text1"/>
          <w:sz w:val="16"/>
          <w:szCs w:val="16"/>
        </w:rPr>
        <w:t xml:space="preserve"> Administrativo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DD5293" w:rsidRPr="00AA75AB">
        <w:rPr>
          <w:rFonts w:ascii="Arial Narrow" w:hAnsi="Arial Narrow"/>
          <w:color w:val="000000" w:themeColor="text1"/>
          <w:sz w:val="16"/>
          <w:szCs w:val="16"/>
        </w:rPr>
        <w:t xml:space="preserve">General-Ley N° 27444, cumple con NOTIFICAR a las 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>personas naturales y/o jurídicas, que la Intendencia de Aduana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>de Tacna, en aplicación del Artículo 1°, en concordancia con los artículos 33° y 38° de la Ley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N°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 28008 Ley de los Delitos Aduaneros</w:t>
      </w:r>
      <w:r w:rsidR="00DD5293" w:rsidRPr="00AA75AB">
        <w:rPr>
          <w:rFonts w:ascii="Arial Narrow" w:hAnsi="Arial Narrow"/>
          <w:color w:val="000000" w:themeColor="text1"/>
          <w:sz w:val="16"/>
          <w:szCs w:val="16"/>
        </w:rPr>
        <w:t xml:space="preserve"> y Decreto Legislativo N° 1053 – Ley General de Aduanas, ha decretado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DD5293" w:rsidRPr="00AA75AB">
        <w:rPr>
          <w:rFonts w:ascii="Arial Narrow" w:hAnsi="Arial Narrow"/>
          <w:color w:val="000000" w:themeColor="text1"/>
          <w:sz w:val="16"/>
          <w:szCs w:val="16"/>
        </w:rPr>
        <w:t>los siguientes actos administrativos mediante Resolución Jefatural de División,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en relación a las 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 mercancías descritas en </w:t>
      </w:r>
      <w:r w:rsidR="00122B93" w:rsidRPr="00AA75AB">
        <w:rPr>
          <w:rFonts w:ascii="Arial Narrow" w:hAnsi="Arial Narrow"/>
          <w:color w:val="000000" w:themeColor="text1"/>
          <w:sz w:val="16"/>
          <w:szCs w:val="16"/>
        </w:rPr>
        <w:t>el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 actas</w:t>
      </w:r>
      <w:r w:rsidR="00122B93"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>de incautación indicada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en la presente notificación.</w:t>
      </w:r>
    </w:p>
    <w:p w14:paraId="27DF4481" w14:textId="63313568" w:rsidR="00BC0897" w:rsidRPr="00AA75AB" w:rsidRDefault="00991A03" w:rsidP="00AA75AB">
      <w:pPr>
        <w:spacing w:after="0" w:line="0" w:lineRule="atLeast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>L</w:t>
      </w:r>
      <w:r w:rsidR="00B245CD" w:rsidRPr="00AA75AB">
        <w:rPr>
          <w:rFonts w:ascii="Arial Narrow" w:hAnsi="Arial Narrow"/>
          <w:color w:val="000000" w:themeColor="text1"/>
          <w:sz w:val="16"/>
          <w:szCs w:val="16"/>
        </w:rPr>
        <w:t xml:space="preserve">a 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>persona natural y/o jurídica con legítimo interés, puede acercarse a la Intendencia de Aduana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>de Tacna ubicada en el Parque Industrial, Mz. A, Lote 5 y 6 – Pocollay – Tacna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o a través de la Mesa de Partes Virtual - SUNAT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>,</w:t>
      </w:r>
      <w:r w:rsidR="009263D2" w:rsidRPr="00AA75AB">
        <w:rPr>
          <w:rFonts w:ascii="Arial Narrow" w:hAnsi="Arial Narrow"/>
          <w:color w:val="000000" w:themeColor="text1"/>
          <w:sz w:val="16"/>
          <w:szCs w:val="16"/>
        </w:rPr>
        <w:t xml:space="preserve"> para solicitar la Resolución notificada. 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AA75AB">
        <w:rPr>
          <w:rFonts w:ascii="Arial Narrow" w:hAnsi="Arial Narrow"/>
          <w:color w:val="000000" w:themeColor="text1"/>
          <w:sz w:val="16"/>
          <w:szCs w:val="16"/>
        </w:rPr>
        <w:t>artículo</w:t>
      </w:r>
      <w:r w:rsidR="00107F95" w:rsidRPr="00AA75AB">
        <w:rPr>
          <w:rFonts w:ascii="Arial Narrow" w:hAnsi="Arial Narrow"/>
          <w:color w:val="000000" w:themeColor="text1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clara"/>
        <w:tblW w:w="10343" w:type="dxa"/>
        <w:tblLook w:val="04A0" w:firstRow="1" w:lastRow="0" w:firstColumn="1" w:lastColumn="0" w:noHBand="0" w:noVBand="1"/>
      </w:tblPr>
      <w:tblGrid>
        <w:gridCol w:w="1555"/>
        <w:gridCol w:w="1549"/>
        <w:gridCol w:w="7239"/>
      </w:tblGrid>
      <w:tr w:rsidR="00AA75AB" w:rsidRPr="00AA75AB" w14:paraId="001DB1EF" w14:textId="77777777" w:rsidTr="00AA75AB">
        <w:trPr>
          <w:trHeight w:val="20"/>
        </w:trPr>
        <w:tc>
          <w:tcPr>
            <w:tcW w:w="1555" w:type="dxa"/>
            <w:hideMark/>
          </w:tcPr>
          <w:p w14:paraId="078ED8CD" w14:textId="77777777" w:rsidR="00BC0897" w:rsidRPr="00AA75AB" w:rsidRDefault="00BC0897" w:rsidP="00AA75AB">
            <w:pPr>
              <w:pStyle w:val="Sinespaciado"/>
              <w:spacing w:line="0" w:lineRule="atLeas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Acta de Incautación</w:t>
            </w:r>
          </w:p>
        </w:tc>
        <w:tc>
          <w:tcPr>
            <w:tcW w:w="1549" w:type="dxa"/>
            <w:hideMark/>
          </w:tcPr>
          <w:p w14:paraId="0E1FED78" w14:textId="77777777" w:rsidR="00BC0897" w:rsidRPr="00AA75AB" w:rsidRDefault="00BC0897" w:rsidP="00AA75AB">
            <w:pPr>
              <w:pStyle w:val="Sinespaciado"/>
              <w:spacing w:line="0" w:lineRule="atLeas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Resolución de División</w:t>
            </w:r>
          </w:p>
        </w:tc>
        <w:tc>
          <w:tcPr>
            <w:tcW w:w="7239" w:type="dxa"/>
            <w:noWrap/>
            <w:hideMark/>
          </w:tcPr>
          <w:p w14:paraId="79E5CE06" w14:textId="77777777" w:rsidR="00BC0897" w:rsidRPr="00AA75AB" w:rsidRDefault="00BC0897" w:rsidP="00AA75AB">
            <w:pPr>
              <w:pStyle w:val="Sinespaciado"/>
              <w:spacing w:line="0" w:lineRule="atLeas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Determinación</w:t>
            </w:r>
          </w:p>
        </w:tc>
      </w:tr>
      <w:tr w:rsidR="00AA75AB" w:rsidRPr="00AA75AB" w14:paraId="4EEC5EE0" w14:textId="77777777" w:rsidTr="00AA75AB">
        <w:trPr>
          <w:trHeight w:val="20"/>
        </w:trPr>
        <w:tc>
          <w:tcPr>
            <w:tcW w:w="1555" w:type="dxa"/>
            <w:hideMark/>
          </w:tcPr>
          <w:p w14:paraId="43CE840D" w14:textId="17B19A49" w:rsidR="00BC0897" w:rsidRPr="00AA75AB" w:rsidRDefault="00BC0897" w:rsidP="00AA75A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172-0</w:t>
            </w:r>
            <w:r w:rsidR="00DC3AB7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400</w:t>
            </w: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-20</w:t>
            </w:r>
            <w:r w:rsidR="00DB2646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20</w:t>
            </w: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-</w:t>
            </w:r>
          </w:p>
          <w:p w14:paraId="64ACD278" w14:textId="705DEBEE" w:rsidR="00BC0897" w:rsidRPr="00AA75AB" w:rsidRDefault="00BC0897" w:rsidP="00AA75A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000</w:t>
            </w:r>
            <w:r w:rsidR="00DC3AB7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0</w:t>
            </w:r>
            <w:r w:rsidR="00DB2646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83 y 172-0400-2020-000085</w:t>
            </w: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de fecha</w:t>
            </w:r>
            <w:r w:rsidR="00DB2646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26</w:t>
            </w:r>
            <w:r w:rsidR="00DC3AB7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.10.20</w:t>
            </w:r>
            <w:r w:rsidR="00DB2646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49" w:type="dxa"/>
            <w:hideMark/>
          </w:tcPr>
          <w:p w14:paraId="55132713" w14:textId="0D7CB2A6" w:rsidR="00BC0897" w:rsidRPr="00AA75AB" w:rsidRDefault="00DB2646" w:rsidP="00AA75A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N.º 000156-2024-SUNAT/3G0500 </w:t>
            </w:r>
            <w:r w:rsidR="00BC0897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de fecha</w:t>
            </w: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04</w:t>
            </w:r>
            <w:r w:rsidR="00DC3AB7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4</w:t>
            </w:r>
            <w:r w:rsidR="00DC3AB7"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.202</w:t>
            </w: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239" w:type="dxa"/>
          </w:tcPr>
          <w:p w14:paraId="5ACEE9CE" w14:textId="09D133DA" w:rsidR="00DC3AB7" w:rsidRPr="00AA75AB" w:rsidRDefault="00DB2646" w:rsidP="00AA75A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A75AB">
              <w:rPr>
                <w:rFonts w:ascii="Arial Narrow" w:hAnsi="Arial Narrow"/>
                <w:color w:val="000000" w:themeColor="text1"/>
                <w:sz w:val="16"/>
                <w:szCs w:val="16"/>
              </w:rPr>
              <w:t>ARTÍCULO ÚNICO . - Declarar el COMISO de las mercancías consignadas en el Acta de Incautación N° 172-0400-2020-000083 del 2 6.10.2020 y Acta de Incautación N° 172-0400-2020 -000085 del 26.10.2020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5D008573" w14:textId="77777777" w:rsidR="000A101D" w:rsidRPr="00AA75AB" w:rsidRDefault="000A101D" w:rsidP="00AA75AB">
      <w:pPr>
        <w:spacing w:after="0" w:line="0" w:lineRule="atLeast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75F9981E" w14:textId="77777777" w:rsidR="00154D8E" w:rsidRPr="00AA75AB" w:rsidRDefault="00154D8E" w:rsidP="00AA75AB">
      <w:pPr>
        <w:spacing w:after="0" w:line="0" w:lineRule="atLeast"/>
        <w:ind w:right="-74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NOTIFICACION ADMINISTRATIVA</w:t>
      </w:r>
    </w:p>
    <w:p w14:paraId="034DB4DB" w14:textId="77777777" w:rsidR="00154D8E" w:rsidRPr="00AA75AB" w:rsidRDefault="00154D8E" w:rsidP="00AA75AB">
      <w:pPr>
        <w:spacing w:after="0" w:line="0" w:lineRule="atLeast"/>
        <w:ind w:right="-74"/>
        <w:rPr>
          <w:rFonts w:ascii="Arial Narrow" w:hAnsi="Arial Narrow"/>
          <w:color w:val="000000" w:themeColor="text1"/>
          <w:sz w:val="16"/>
          <w:szCs w:val="16"/>
        </w:rPr>
      </w:pPr>
    </w:p>
    <w:p w14:paraId="571FF612" w14:textId="77777777" w:rsidR="00154D8E" w:rsidRPr="00AA75AB" w:rsidRDefault="00154D8E" w:rsidP="00AA75AB">
      <w:pPr>
        <w:spacing w:after="0" w:line="0" w:lineRule="atLeast"/>
        <w:ind w:right="-74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De conformidad con lo dispuesto en el artículo 104° inciso e) del Texto Único Ordenado del Código Tributario, aprobado por DS N° 133-2013-EF y sus modificatorias, Ley del Procedimiento Administrativo General-Ley N° 27444, cumple con NOTIFICAR a la interesada </w:t>
      </w:r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 xml:space="preserve">BELIZ MARITZA BLANCO BUSTAMANTE identificada con Carnet de Extranjería </w:t>
      </w:r>
      <w:proofErr w:type="spellStart"/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>N°</w:t>
      </w:r>
      <w:proofErr w:type="spellEnd"/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 xml:space="preserve"> 003992674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proofErr w:type="spellStart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>mediante</w:t>
      </w:r>
      <w:proofErr w:type="spellEnd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 xml:space="preserve"> la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 Notificación N° 90-2024-SUNAT/3G0800, que la Intendencia de Aduana de Tacna, en aplicación del Artículo 1°, Decreto Legislativo N° 1053 – Ley General de Aduanas y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el numeral 2 y 6 del apartado D. del Procedimiento Específico: Control-PE.00.01: Inmovilización-Incautación y Determinación Legal de Mercancías aprobado mediante Resolución N° 0131-2023-SUNAT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, ha emitido el </w:t>
      </w:r>
      <w:r w:rsidRPr="00AA75AB">
        <w:rPr>
          <w:rFonts w:ascii="Arial Narrow" w:hAnsi="Arial Narrow"/>
          <w:color w:val="000000" w:themeColor="text1"/>
          <w:sz w:val="16"/>
          <w:szCs w:val="16"/>
          <w:u w:val="single"/>
        </w:rPr>
        <w:t xml:space="preserve">requerimiento de subsanación de la solicitud de devolución de mercancía presentada a través del </w:t>
      </w:r>
      <w:proofErr w:type="spellStart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u w:val="single"/>
          <w:lang w:val="fr-FR"/>
        </w:rPr>
        <w:t>Expediente</w:t>
      </w:r>
      <w:proofErr w:type="spellEnd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u w:val="single"/>
          <w:lang w:val="fr-FR"/>
        </w:rPr>
        <w:t xml:space="preserve"> N° 172-URD999-2024-1006928</w:t>
      </w:r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 xml:space="preserve">, 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en relación a las  mercancías descritas en el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Acta de Incautación N° 172-2024-000660.</w:t>
      </w:r>
    </w:p>
    <w:p w14:paraId="002FF972" w14:textId="77777777" w:rsidR="00154D8E" w:rsidRPr="00AA75AB" w:rsidRDefault="00154D8E" w:rsidP="00AA75AB">
      <w:pPr>
        <w:spacing w:after="0"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u w:val="single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En ese sentido,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el numeral 2 del apartado D. del Procedimiento Específico: Control-PE.00.01: Inmovilización-Incautación y Determinación Legal de Mercancías aprobado mediante Resolución N° 0131-2023-SUNAT, establece el contenido de la solicitud de levantamiento de inmovilización o de devolución de la mercancía o medio de transporte incautado. Asimismo, de acuerdo con el numeral 6 del mismo apartado, cuando no se cumpla con alguno de los requisitos señalados previamente, el funcionario aduanero notifica al solicitante para que, en el </w:t>
      </w:r>
      <w:r w:rsidRPr="00AA75AB">
        <w:rPr>
          <w:rFonts w:ascii="Arial Narrow" w:hAnsi="Arial Narrow" w:cs="Arial"/>
          <w:color w:val="000000" w:themeColor="text1"/>
          <w:sz w:val="16"/>
          <w:szCs w:val="16"/>
          <w:u w:val="single"/>
        </w:rPr>
        <w:t>plazo de tres días hábiles contado a partir del día siguiente de su notificación, subsane las omisiones que pudieran existir.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  Que, en el presente caso, de la solicitud de devolución de mercancía vinculada al Acta de Incautación N° 172-2024-000660, presentada a través del documento de la referencia, se observan omisiones referidas a los incisos g) y h), las cuales se precisan a continuación y deberán ser subsanadas en el plazo señalado: “g) Los fundamentos que sustenten la solicitud; h) los documentos que amparen la pretensión. De presentar comprobantes de pago, se debe especificar la mercancía que se encuentra amparada por estos”. Consecuentemente, </w:t>
      </w:r>
      <w:r w:rsidRPr="00AA75AB">
        <w:rPr>
          <w:rFonts w:ascii="Arial Narrow" w:hAnsi="Arial Narrow" w:cs="Arial"/>
          <w:color w:val="000000" w:themeColor="text1"/>
          <w:sz w:val="16"/>
          <w:szCs w:val="16"/>
          <w:u w:val="single"/>
        </w:rPr>
        <w:t>vencido el plazo sin haberse efectuado la subsanación, se emite la resolución que declara inadmisible la solicitud y, de corresponder, se aplican las sanciones.</w:t>
      </w:r>
    </w:p>
    <w:p w14:paraId="4B8139EB" w14:textId="77777777" w:rsidR="00154D8E" w:rsidRPr="00AA75AB" w:rsidRDefault="00154D8E" w:rsidP="00AA75AB">
      <w:pPr>
        <w:spacing w:after="0"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Para responder al requerimiento, deberá presentar su expediente a través de la Mesa de Partes Virtual o en cualquier dependencia de la SUNAT, adjuntando la documentación solicitada.</w:t>
      </w:r>
    </w:p>
    <w:p w14:paraId="3797CC5B" w14:textId="77777777" w:rsidR="00154D8E" w:rsidRPr="00AA75AB" w:rsidRDefault="00154D8E" w:rsidP="00AA75AB">
      <w:pPr>
        <w:spacing w:after="0" w:line="0" w:lineRule="atLeast"/>
        <w:ind w:right="-74"/>
        <w:jc w:val="center"/>
        <w:rPr>
          <w:rFonts w:ascii="Arial Narrow" w:hAnsi="Arial Narrow"/>
          <w:color w:val="000000" w:themeColor="text1"/>
          <w:sz w:val="16"/>
          <w:szCs w:val="16"/>
        </w:rPr>
      </w:pPr>
    </w:p>
    <w:p w14:paraId="55879B12" w14:textId="77777777" w:rsidR="00154D8E" w:rsidRPr="00AA75AB" w:rsidRDefault="00154D8E" w:rsidP="00AA75AB">
      <w:pPr>
        <w:spacing w:after="0" w:line="0" w:lineRule="atLeast"/>
        <w:ind w:right="-74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NOTIFICACION ADMINISTRATIVA</w:t>
      </w:r>
    </w:p>
    <w:p w14:paraId="4E54DD7A" w14:textId="77777777" w:rsidR="00154D8E" w:rsidRPr="00AA75AB" w:rsidRDefault="00154D8E" w:rsidP="00AA75AB">
      <w:pPr>
        <w:spacing w:after="0" w:line="0" w:lineRule="atLeast"/>
        <w:ind w:right="-74"/>
        <w:rPr>
          <w:rFonts w:ascii="Arial Narrow" w:hAnsi="Arial Narrow"/>
          <w:color w:val="000000" w:themeColor="text1"/>
          <w:sz w:val="16"/>
          <w:szCs w:val="16"/>
        </w:rPr>
      </w:pPr>
    </w:p>
    <w:p w14:paraId="28C1664A" w14:textId="77777777" w:rsidR="00154D8E" w:rsidRPr="00AA75AB" w:rsidRDefault="00154D8E" w:rsidP="00AA75AB">
      <w:pPr>
        <w:spacing w:after="0" w:line="0" w:lineRule="atLeast"/>
        <w:ind w:right="-74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De conformidad con lo dispuesto en el artículo 104° inciso e) del Texto Único Ordenado del Código Tributario, aprobado por DS N° 133-2013-EF y sus modificatorias, Ley del Procedimiento Administrativo General-Ley N° 27444, cumple con NOTIFICAR a la interesada </w:t>
      </w:r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 xml:space="preserve">GREGORIA YAMPARA ZEGARRA identificada con Pasaporte </w:t>
      </w:r>
      <w:proofErr w:type="spellStart"/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>N°</w:t>
      </w:r>
      <w:proofErr w:type="spellEnd"/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 xml:space="preserve"> 82887989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proofErr w:type="spellStart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>mediante</w:t>
      </w:r>
      <w:proofErr w:type="spellEnd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 xml:space="preserve"> la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 Notificación N° 91-2024-SUNAT/3G0800, que la Intendencia de Aduana de Tacna, en aplicación del Artículo 1°, Decreto Legislativo N° 1053 – Ley General de Aduanas y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el numeral 2 y 6 del apartado D. del Procedimiento Específico: Control-PE.00.01: Inmovilización-Incautación y Determinación Legal de Mercancías aprobado mediante Resolución N° 0131-2023-SUNAT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, el </w:t>
      </w:r>
      <w:r w:rsidRPr="00AA75AB">
        <w:rPr>
          <w:rFonts w:ascii="Arial Narrow" w:hAnsi="Arial Narrow"/>
          <w:color w:val="000000" w:themeColor="text1"/>
          <w:sz w:val="16"/>
          <w:szCs w:val="16"/>
          <w:u w:val="single"/>
        </w:rPr>
        <w:t xml:space="preserve">requerimiento de subsanación de la solicitud de devolución de mercancía presentada a través del </w:t>
      </w:r>
      <w:proofErr w:type="spellStart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u w:val="single"/>
          <w:lang w:val="fr-FR"/>
        </w:rPr>
        <w:t>Expediente</w:t>
      </w:r>
      <w:proofErr w:type="spellEnd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u w:val="single"/>
          <w:lang w:val="fr-FR"/>
        </w:rPr>
        <w:t xml:space="preserve"> N° 172-URD119-2024-237203</w:t>
      </w:r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 xml:space="preserve">, 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en relación a las  mercancías descritas en el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Acta de Incautación N° 172-2024-000163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>.</w:t>
      </w:r>
    </w:p>
    <w:p w14:paraId="1E7DFDFA" w14:textId="77777777" w:rsidR="00154D8E" w:rsidRPr="00AA75AB" w:rsidRDefault="00154D8E" w:rsidP="00AA75AB">
      <w:pPr>
        <w:autoSpaceDE w:val="0"/>
        <w:autoSpaceDN w:val="0"/>
        <w:adjustRightInd w:val="0"/>
        <w:spacing w:after="0"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En ese sentido,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el numeral 2 del apartado D. del Procedimiento Específico: Control-PE.00.01: Inmovilización-Incautación y Determinación Legal de Mercancías, establece el contenido de la solicitud de levantamiento de inmovilización o de devolución de la mercancía o medio de transporte incautado. Asimismo, de acuerdo con el numeral 6 del mismo apartado, cuando no se cumpla con alguno de los requisitos señalados previamente, el funcionario aduanero notifica al solicitante para que, en el </w:t>
      </w:r>
      <w:r w:rsidRPr="00AA75AB">
        <w:rPr>
          <w:rFonts w:ascii="Arial Narrow" w:hAnsi="Arial Narrow" w:cs="Arial"/>
          <w:color w:val="000000" w:themeColor="text1"/>
          <w:sz w:val="16"/>
          <w:szCs w:val="16"/>
          <w:u w:val="single"/>
        </w:rPr>
        <w:t xml:space="preserve">plazo de tres días hábiles contado a partir del día siguiente de su notificación,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subsane las omisiones que pudieran existir</w:t>
      </w:r>
      <w:r w:rsidRPr="00AA75AB">
        <w:rPr>
          <w:rFonts w:ascii="Arial Narrow" w:hAnsi="Arial Narrow" w:cs="Arial"/>
          <w:color w:val="000000" w:themeColor="text1"/>
          <w:sz w:val="16"/>
          <w:szCs w:val="16"/>
          <w:u w:val="single"/>
        </w:rPr>
        <w:t>.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  Que, en el presente caso, de la solicitud de devolución de mercancía vinculada al Acta de Incautación N° 172-2024-000163, presentada a través del </w:t>
      </w:r>
      <w:proofErr w:type="spellStart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>Expediente</w:t>
      </w:r>
      <w:proofErr w:type="spellEnd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 xml:space="preserve"> N° 172-URD119-2024-237203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, se observan omisiones referidas al inciso h), las cuales se precisan a continuación y deberán ser subsanadas en el plazo señalado: “h) los documentos que amparen la pretensión. De presentar comprobantes de pago, se debe especificar la mercancía que se encuentra amparada por estos”. Consecuentemente, </w:t>
      </w:r>
      <w:r w:rsidRPr="00AA75AB">
        <w:rPr>
          <w:rFonts w:ascii="Arial Narrow" w:hAnsi="Arial Narrow" w:cs="Arial"/>
          <w:color w:val="000000" w:themeColor="text1"/>
          <w:sz w:val="16"/>
          <w:szCs w:val="16"/>
          <w:u w:val="single"/>
        </w:rPr>
        <w:t>vencido el plazo sin haberse efectuado la subsanación, se emite la resolución que declara inadmisible la solicitud y, de corresponder, se aplican las sanciones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. </w:t>
      </w:r>
    </w:p>
    <w:p w14:paraId="6285122C" w14:textId="77777777" w:rsidR="00154D8E" w:rsidRPr="00AA75AB" w:rsidRDefault="00154D8E" w:rsidP="00AA75AB">
      <w:pPr>
        <w:autoSpaceDE w:val="0"/>
        <w:autoSpaceDN w:val="0"/>
        <w:adjustRightInd w:val="0"/>
        <w:spacing w:after="0"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Para responder al requerimiento, deberá presentar su expediente a través de la Mesa de Partes Virtual o en cualquier dependencia de la SUNAT, adjuntando la documentación solicitada.</w:t>
      </w:r>
    </w:p>
    <w:p w14:paraId="2616FE39" w14:textId="77777777" w:rsidR="00154D8E" w:rsidRPr="00AA75AB" w:rsidRDefault="00154D8E" w:rsidP="00AA75AB">
      <w:pPr>
        <w:spacing w:after="0" w:line="0" w:lineRule="atLeast"/>
        <w:ind w:right="-74"/>
        <w:jc w:val="center"/>
        <w:rPr>
          <w:rFonts w:ascii="Arial Narrow" w:hAnsi="Arial Narrow"/>
          <w:color w:val="000000" w:themeColor="text1"/>
          <w:sz w:val="16"/>
          <w:szCs w:val="16"/>
        </w:rPr>
      </w:pPr>
    </w:p>
    <w:p w14:paraId="5B239B2F" w14:textId="77777777" w:rsidR="00154D8E" w:rsidRPr="00AA75AB" w:rsidRDefault="00154D8E" w:rsidP="00AA75AB">
      <w:pPr>
        <w:spacing w:after="0" w:line="0" w:lineRule="atLeast"/>
        <w:ind w:right="-74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b/>
          <w:bCs/>
          <w:color w:val="000000" w:themeColor="text1"/>
          <w:sz w:val="16"/>
          <w:szCs w:val="16"/>
        </w:rPr>
        <w:t>NOTIFICACION ADMINISTRATIVA</w:t>
      </w:r>
    </w:p>
    <w:p w14:paraId="0005490C" w14:textId="77777777" w:rsidR="00154D8E" w:rsidRPr="00AA75AB" w:rsidRDefault="00154D8E" w:rsidP="00AA75AB">
      <w:pPr>
        <w:spacing w:after="0" w:line="0" w:lineRule="atLeast"/>
        <w:ind w:right="-74"/>
        <w:rPr>
          <w:rFonts w:ascii="Arial Narrow" w:hAnsi="Arial Narrow"/>
          <w:color w:val="000000" w:themeColor="text1"/>
          <w:sz w:val="16"/>
          <w:szCs w:val="16"/>
        </w:rPr>
      </w:pPr>
    </w:p>
    <w:p w14:paraId="65D00535" w14:textId="77777777" w:rsidR="00154D8E" w:rsidRPr="00AA75AB" w:rsidRDefault="00154D8E" w:rsidP="00AA75AB">
      <w:pPr>
        <w:spacing w:after="0" w:line="0" w:lineRule="atLeast"/>
        <w:ind w:right="-74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De conformidad con lo dispuesto en el artículo 104° inciso e) del Texto Único Ordenado del Código Tributario, aprobado por DS N° 133-2013-EF y sus modificatorias, Ley del Procedimiento Administrativo General-Ley N° 27444, cumple con NOTIFICAR a la interesada </w:t>
      </w:r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 xml:space="preserve">LUCRECIA LOURDES CHOQUE NINA identificada con DNI </w:t>
      </w:r>
      <w:proofErr w:type="spellStart"/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>N°</w:t>
      </w:r>
      <w:proofErr w:type="spellEnd"/>
      <w:r w:rsidRPr="00AA75AB">
        <w:rPr>
          <w:rFonts w:ascii="Arial Narrow" w:eastAsia="Times New Roman" w:hAnsi="Arial Narrow" w:cstheme="minorHAnsi"/>
          <w:color w:val="000000" w:themeColor="text1"/>
          <w:sz w:val="16"/>
          <w:szCs w:val="16"/>
          <w:lang w:val="es-ES" w:eastAsia="es-ES"/>
        </w:rPr>
        <w:t xml:space="preserve"> 00490776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proofErr w:type="spellStart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>mediante</w:t>
      </w:r>
      <w:proofErr w:type="spellEnd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 xml:space="preserve"> la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 Notificación N° 92-2024-SUNAT/3G0800 con la copia del Acta de Incautación N° 172-0204-2024-000082 solicitada precisando que la mercancía de interés se encuentra contenida en el ítem N° 01 de la misma; y, asimismo, que la Intendencia de Aduana de Tacna, en aplicación del Artículo 1°, Decreto Legislativo N° 1053 – Ley General de Aduanas y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el numeral 2 y 6 del apartado D. del Procedimiento Específico: Control-PE.00.01: Inmovilización-Incautación y Determinación Legal de Mercancías aprobado mediante Resolución N° 0131-2023-SUNAT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, emite el </w:t>
      </w:r>
      <w:r w:rsidRPr="00AA75AB">
        <w:rPr>
          <w:rFonts w:ascii="Arial Narrow" w:hAnsi="Arial Narrow"/>
          <w:color w:val="000000" w:themeColor="text1"/>
          <w:sz w:val="16"/>
          <w:szCs w:val="16"/>
          <w:u w:val="single"/>
        </w:rPr>
        <w:t xml:space="preserve">requerimiento de subsanación de la solicitud de devolución de mercancía presentada a través del </w:t>
      </w:r>
      <w:proofErr w:type="spellStart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u w:val="single"/>
          <w:lang w:val="fr-FR"/>
        </w:rPr>
        <w:t>Expediente</w:t>
      </w:r>
      <w:proofErr w:type="spellEnd"/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u w:val="single"/>
          <w:lang w:val="fr-FR"/>
        </w:rPr>
        <w:t xml:space="preserve"> N° 172-URD119-2024-106247</w:t>
      </w:r>
      <w:r w:rsidRPr="00AA75AB">
        <w:rPr>
          <w:rFonts w:ascii="Arial Narrow" w:hAnsi="Arial Narrow" w:cs="Arial"/>
          <w:snapToGrid w:val="0"/>
          <w:color w:val="000000" w:themeColor="text1"/>
          <w:sz w:val="16"/>
          <w:szCs w:val="16"/>
          <w:lang w:val="fr-FR"/>
        </w:rPr>
        <w:t xml:space="preserve">, 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en relación a las  mercancías descritas en el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Acta de Incautación N° 172-2024-000082.</w:t>
      </w:r>
    </w:p>
    <w:p w14:paraId="7864B6C4" w14:textId="77777777" w:rsidR="00154D8E" w:rsidRPr="00AA75AB" w:rsidRDefault="00154D8E" w:rsidP="00AA75AB">
      <w:pPr>
        <w:spacing w:after="0"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En ese sentido, 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el numeral 2 del apartado D. del Procedimiento Específico: Control-PE.00.01: Inmovilización-Incautación y Determinación Legal de Mercancías, establece el contenido de la solicitud de levantamiento de inmovilización o de devolución de la mercancía o medio de transporte incautado. Asimismo, de acuerdo con el numeral 6 del mismo apartado, cuando no se cumpla con alguno de los requisitos señalados previamente, el funcionario aduanero notifica al solicitante para que, en el </w:t>
      </w:r>
      <w:r w:rsidRPr="00AA75AB">
        <w:rPr>
          <w:rFonts w:ascii="Arial Narrow" w:hAnsi="Arial Narrow" w:cs="Arial"/>
          <w:color w:val="000000" w:themeColor="text1"/>
          <w:sz w:val="16"/>
          <w:szCs w:val="16"/>
          <w:u w:val="single"/>
        </w:rPr>
        <w:t>plazo de tres días hábiles contado a partir del día siguiente de su notificación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, subsane las omisiones que pudieran existir.  Que, en el presente caso, de la solicitud de devolución de mercancía vinculada al Acta de Incautación N° 172-0204-2024-000082, presentada a través del documento de la referencia, se observan omisiones referidas al inciso h), las cuales se precisan a continuación y deberán ser subsanadas en el plazo señalado: “h) Los documentos que amparen la pretensión. De presentar comprobantes de pago, se debe especificar la mercancía que se encuentra amparada por estos”. Consecuentemente, </w:t>
      </w:r>
      <w:r w:rsidRPr="00AA75AB">
        <w:rPr>
          <w:rFonts w:ascii="Arial Narrow" w:hAnsi="Arial Narrow" w:cs="Arial"/>
          <w:color w:val="000000" w:themeColor="text1"/>
          <w:sz w:val="16"/>
          <w:szCs w:val="16"/>
          <w:u w:val="single"/>
        </w:rPr>
        <w:t>vencido el plazo sin haberse efectuado la subsanación, se emite la resolución que declara inadmisible la solicitud</w:t>
      </w:r>
      <w:r w:rsidRPr="00AA75AB">
        <w:rPr>
          <w:rFonts w:ascii="Arial Narrow" w:hAnsi="Arial Narrow" w:cs="Arial"/>
          <w:color w:val="000000" w:themeColor="text1"/>
          <w:sz w:val="16"/>
          <w:szCs w:val="16"/>
        </w:rPr>
        <w:t xml:space="preserve"> y, de corresponder, se aplican las sanciones. </w:t>
      </w:r>
    </w:p>
    <w:p w14:paraId="4AC47636" w14:textId="11FD8851" w:rsidR="00154D8E" w:rsidRPr="00AA75AB" w:rsidRDefault="00154D8E" w:rsidP="00AA75AB">
      <w:pPr>
        <w:spacing w:after="0" w:line="0" w:lineRule="atLeast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AA75AB">
        <w:rPr>
          <w:rFonts w:ascii="Arial Narrow" w:hAnsi="Arial Narrow" w:cs="Arial"/>
          <w:color w:val="000000" w:themeColor="text1"/>
          <w:sz w:val="16"/>
          <w:szCs w:val="16"/>
        </w:rPr>
        <w:t>Para responder al requerimiento, deberá presentar su expediente a través de la</w:t>
      </w:r>
      <w:r w:rsidRPr="00AA75AB">
        <w:rPr>
          <w:rFonts w:ascii="Arial Narrow" w:hAnsi="Arial Narrow"/>
          <w:color w:val="000000" w:themeColor="text1"/>
          <w:sz w:val="16"/>
          <w:szCs w:val="16"/>
        </w:rPr>
        <w:t xml:space="preserve"> Mesa de Partes Virtual o en cualquier dependencia de la SUNAT, adjuntando la documentación solicitada.</w:t>
      </w:r>
    </w:p>
    <w:p w14:paraId="6DF7DCF1" w14:textId="62A7527D" w:rsidR="00154D8E" w:rsidRDefault="00154D8E" w:rsidP="003E6A54">
      <w:pPr>
        <w:autoSpaceDE w:val="0"/>
        <w:autoSpaceDN w:val="0"/>
        <w:adjustRightInd w:val="0"/>
        <w:spacing w:after="0"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3CF7F64C" w14:textId="16E3BF9E" w:rsidR="0011633E" w:rsidRDefault="0011633E" w:rsidP="003E6A54">
      <w:pPr>
        <w:spacing w:after="0" w:line="0" w:lineRule="atLeast"/>
        <w:ind w:right="-74"/>
        <w:jc w:val="center"/>
        <w:rPr>
          <w:rFonts w:ascii="Arial Narrow" w:hAnsi="Arial Narrow"/>
          <w:b/>
          <w:bCs/>
          <w:sz w:val="16"/>
          <w:szCs w:val="16"/>
        </w:rPr>
      </w:pPr>
      <w:r w:rsidRPr="008E48AA">
        <w:rPr>
          <w:rFonts w:ascii="Arial Narrow" w:hAnsi="Arial Narrow"/>
          <w:b/>
          <w:bCs/>
          <w:sz w:val="16"/>
          <w:szCs w:val="16"/>
        </w:rPr>
        <w:t>NOTIFICACION ADMINISTRATIVA</w:t>
      </w:r>
    </w:p>
    <w:p w14:paraId="0FB08E7D" w14:textId="77777777" w:rsidR="0011633E" w:rsidRPr="008E48AA" w:rsidRDefault="0011633E" w:rsidP="003E6A54">
      <w:pPr>
        <w:spacing w:after="0" w:line="0" w:lineRule="atLeast"/>
        <w:ind w:right="-7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35712D4" w14:textId="77777777" w:rsidR="0011633E" w:rsidRPr="008E48AA" w:rsidRDefault="0011633E" w:rsidP="003E6A54">
      <w:pPr>
        <w:spacing w:after="0" w:line="0" w:lineRule="atLeast"/>
        <w:ind w:right="-74"/>
        <w:rPr>
          <w:rFonts w:ascii="Arial Narrow" w:hAnsi="Arial Narrow"/>
          <w:sz w:val="16"/>
          <w:szCs w:val="16"/>
        </w:rPr>
      </w:pPr>
    </w:p>
    <w:p w14:paraId="3E79F215" w14:textId="46634977" w:rsidR="0011633E" w:rsidRPr="009700A4" w:rsidRDefault="0011633E" w:rsidP="003E6A5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C6231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DS N° 133-2013-EF y sus modificatorias, Ley del Procedimiento Administrativo General-Ley N° 27444, </w:t>
      </w:r>
      <w:r>
        <w:rPr>
          <w:rFonts w:ascii="Arial Narrow" w:hAnsi="Arial Narrow"/>
          <w:sz w:val="16"/>
          <w:szCs w:val="16"/>
        </w:rPr>
        <w:t xml:space="preserve">se </w:t>
      </w:r>
      <w:r w:rsidRPr="00DC6231">
        <w:rPr>
          <w:rFonts w:ascii="Arial Narrow" w:hAnsi="Arial Narrow"/>
          <w:sz w:val="16"/>
          <w:szCs w:val="16"/>
        </w:rPr>
        <w:t xml:space="preserve">cumple con NOTIFICAR a la interesada </w:t>
      </w:r>
      <w:r w:rsidRPr="00DD1460">
        <w:rPr>
          <w:rFonts w:ascii="Arial Narrow" w:hAnsi="Arial Narrow"/>
          <w:b/>
          <w:bCs/>
          <w:sz w:val="16"/>
          <w:szCs w:val="16"/>
        </w:rPr>
        <w:t>LUZ MARITZA APOLITANO MANTILLA identificada con DNI N° 18106910</w:t>
      </w:r>
      <w:r w:rsidRPr="00DC6231">
        <w:rPr>
          <w:rFonts w:ascii="Arial Narrow" w:hAnsi="Arial Narrow"/>
          <w:sz w:val="16"/>
          <w:szCs w:val="16"/>
        </w:rPr>
        <w:t xml:space="preserve"> </w:t>
      </w:r>
      <w:r w:rsidRPr="00DD1460">
        <w:rPr>
          <w:rFonts w:ascii="Arial Narrow" w:hAnsi="Arial Narrow"/>
          <w:sz w:val="16"/>
          <w:szCs w:val="16"/>
        </w:rPr>
        <w:t>mediante la</w:t>
      </w:r>
      <w:r w:rsidRPr="00DC6231">
        <w:rPr>
          <w:rFonts w:ascii="Arial Narrow" w:hAnsi="Arial Narrow"/>
          <w:sz w:val="16"/>
          <w:szCs w:val="16"/>
        </w:rPr>
        <w:t xml:space="preserve"> </w:t>
      </w:r>
      <w:r w:rsidRPr="00DD1460">
        <w:rPr>
          <w:rFonts w:ascii="Arial Narrow" w:hAnsi="Arial Narrow"/>
          <w:sz w:val="16"/>
          <w:szCs w:val="16"/>
        </w:rPr>
        <w:t>Notificación N° 94-2024-SUNAT/3G0800</w:t>
      </w:r>
      <w:r w:rsidRPr="00DC6231">
        <w:rPr>
          <w:rFonts w:ascii="Arial Narrow" w:hAnsi="Arial Narrow"/>
          <w:sz w:val="16"/>
          <w:szCs w:val="16"/>
        </w:rPr>
        <w:t xml:space="preserve">, </w:t>
      </w:r>
      <w:r>
        <w:rPr>
          <w:rFonts w:ascii="Arial Narrow" w:hAnsi="Arial Narrow"/>
          <w:sz w:val="16"/>
          <w:szCs w:val="16"/>
        </w:rPr>
        <w:t xml:space="preserve">la respuesta a su solicitud remitida mediante la </w:t>
      </w:r>
      <w:r w:rsidRPr="00DD1460">
        <w:rPr>
          <w:rFonts w:ascii="Arial Narrow" w:hAnsi="Arial Narrow"/>
          <w:sz w:val="16"/>
          <w:szCs w:val="16"/>
        </w:rPr>
        <w:t xml:space="preserve">a la Carta N° 01-003-2024 presentada a través del Expediente N° 082-URD102-2024-242709. En este sentido, se informa </w:t>
      </w:r>
      <w:r w:rsidRPr="00DC6231">
        <w:rPr>
          <w:rFonts w:ascii="Arial Narrow" w:hAnsi="Arial Narrow"/>
          <w:sz w:val="16"/>
          <w:szCs w:val="16"/>
        </w:rPr>
        <w:t>que la Intendencia de Aduana de Tacna, en aplicación del Artículo 1°</w:t>
      </w:r>
      <w:r>
        <w:rPr>
          <w:rFonts w:ascii="Arial Narrow" w:hAnsi="Arial Narrow"/>
          <w:sz w:val="16"/>
          <w:szCs w:val="16"/>
        </w:rPr>
        <w:t xml:space="preserve"> y 98° del </w:t>
      </w:r>
      <w:r w:rsidRPr="00DC6231">
        <w:rPr>
          <w:rFonts w:ascii="Arial Narrow" w:hAnsi="Arial Narrow"/>
          <w:sz w:val="16"/>
          <w:szCs w:val="16"/>
        </w:rPr>
        <w:t>Decreto Legislativo N° 1053 – Ley General de Aduanas</w:t>
      </w:r>
      <w:r>
        <w:rPr>
          <w:rFonts w:ascii="Arial Narrow" w:hAnsi="Arial Narrow"/>
          <w:sz w:val="16"/>
          <w:szCs w:val="16"/>
        </w:rPr>
        <w:t xml:space="preserve">, y el artículo 7° del </w:t>
      </w:r>
      <w:r w:rsidRPr="00DD1460">
        <w:rPr>
          <w:rFonts w:ascii="Arial Narrow" w:hAnsi="Arial Narrow"/>
          <w:sz w:val="16"/>
          <w:szCs w:val="16"/>
        </w:rPr>
        <w:t>Reglamento para el Ingreso, Salida y Permanencia Temporal de Vehículos de Uso Particular para Turismo, aprobado por Decreto Supremo N.º 076-2017-EF, realizó la búsqueda en el Módulo de Control Vehicular</w:t>
      </w:r>
      <w:r>
        <w:rPr>
          <w:rFonts w:ascii="Arial Narrow" w:hAnsi="Arial Narrow"/>
          <w:sz w:val="16"/>
          <w:szCs w:val="16"/>
        </w:rPr>
        <w:t xml:space="preserve"> </w:t>
      </w:r>
      <w:r w:rsidRPr="00DD1460">
        <w:rPr>
          <w:rFonts w:ascii="Arial Narrow" w:hAnsi="Arial Narrow"/>
          <w:sz w:val="16"/>
          <w:szCs w:val="16"/>
        </w:rPr>
        <w:t xml:space="preserve">Web de SUNAT del vehículo con placa de rodaje chilena N° TGDR10, resultando que, se encontró que </w:t>
      </w:r>
      <w:r w:rsidRPr="00DD1460">
        <w:rPr>
          <w:rFonts w:ascii="Arial Narrow" w:hAnsi="Arial Narrow"/>
          <w:b/>
          <w:bCs/>
          <w:sz w:val="16"/>
          <w:szCs w:val="16"/>
          <w:u w:val="single"/>
        </w:rPr>
        <w:t>el último viaje de ingreso registrado en fecha 27.02.2024 ya ha sido regularizado</w:t>
      </w:r>
      <w:r w:rsidRPr="00DD1460">
        <w:rPr>
          <w:rFonts w:ascii="Arial Narrow" w:hAnsi="Arial Narrow"/>
          <w:sz w:val="16"/>
          <w:szCs w:val="16"/>
          <w:u w:val="single"/>
        </w:rPr>
        <w:t xml:space="preserve"> con la respectiva salida en fecha 22.03.2024 por el conductor identificado como Miguel Angel Ramos Velásquez.</w:t>
      </w:r>
    </w:p>
    <w:p w14:paraId="14EC013B" w14:textId="6345EF52" w:rsidR="0011633E" w:rsidRPr="00AA75AB" w:rsidRDefault="0011633E" w:rsidP="003E6A54">
      <w:pPr>
        <w:autoSpaceDE w:val="0"/>
        <w:autoSpaceDN w:val="0"/>
        <w:adjustRightInd w:val="0"/>
        <w:spacing w:after="0"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540F9CA7" w14:textId="38D48207" w:rsidR="00154D8E" w:rsidRPr="00AA75AB" w:rsidRDefault="00154D8E" w:rsidP="003E6A54">
      <w:pPr>
        <w:spacing w:after="0" w:line="0" w:lineRule="atLeast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sectPr w:rsidR="00154D8E" w:rsidRPr="00AA75AB" w:rsidSect="008D3500">
      <w:pgSz w:w="11900" w:h="16840"/>
      <w:pgMar w:top="978" w:right="1077" w:bottom="1075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176B" w14:textId="77777777" w:rsidR="00C27E33" w:rsidRDefault="00C27E33" w:rsidP="005319CE">
      <w:pPr>
        <w:spacing w:after="0" w:line="240" w:lineRule="auto"/>
      </w:pPr>
      <w:r>
        <w:separator/>
      </w:r>
    </w:p>
  </w:endnote>
  <w:endnote w:type="continuationSeparator" w:id="0">
    <w:p w14:paraId="4876A456" w14:textId="77777777" w:rsidR="00C27E33" w:rsidRDefault="00C27E33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C2F1" w14:textId="77777777" w:rsidR="00C27E33" w:rsidRDefault="00C27E33" w:rsidP="005319CE">
      <w:pPr>
        <w:spacing w:after="0" w:line="240" w:lineRule="auto"/>
      </w:pPr>
      <w:r>
        <w:separator/>
      </w:r>
    </w:p>
  </w:footnote>
  <w:footnote w:type="continuationSeparator" w:id="0">
    <w:p w14:paraId="3BCDD7E6" w14:textId="77777777" w:rsidR="00C27E33" w:rsidRDefault="00C27E33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64744"/>
    <w:rsid w:val="000A101D"/>
    <w:rsid w:val="000D08D4"/>
    <w:rsid w:val="000D5A8F"/>
    <w:rsid w:val="000D76D9"/>
    <w:rsid w:val="000E1982"/>
    <w:rsid w:val="000E7934"/>
    <w:rsid w:val="000F3EE5"/>
    <w:rsid w:val="00107F95"/>
    <w:rsid w:val="0011633E"/>
    <w:rsid w:val="00122B93"/>
    <w:rsid w:val="001435FD"/>
    <w:rsid w:val="00154D8E"/>
    <w:rsid w:val="001740A0"/>
    <w:rsid w:val="001838EE"/>
    <w:rsid w:val="001A7DF9"/>
    <w:rsid w:val="001C7EE6"/>
    <w:rsid w:val="001F3673"/>
    <w:rsid w:val="00235118"/>
    <w:rsid w:val="0024134F"/>
    <w:rsid w:val="00247717"/>
    <w:rsid w:val="00280B1A"/>
    <w:rsid w:val="002A34CA"/>
    <w:rsid w:val="002B08A0"/>
    <w:rsid w:val="002D69AC"/>
    <w:rsid w:val="00310D76"/>
    <w:rsid w:val="00316AA1"/>
    <w:rsid w:val="00335B64"/>
    <w:rsid w:val="0037423B"/>
    <w:rsid w:val="0037573A"/>
    <w:rsid w:val="00375B00"/>
    <w:rsid w:val="003D4101"/>
    <w:rsid w:val="003E6A54"/>
    <w:rsid w:val="00407E6F"/>
    <w:rsid w:val="004421C2"/>
    <w:rsid w:val="004555A8"/>
    <w:rsid w:val="004718F9"/>
    <w:rsid w:val="004A54D3"/>
    <w:rsid w:val="004D64C9"/>
    <w:rsid w:val="004D7099"/>
    <w:rsid w:val="004E21D2"/>
    <w:rsid w:val="004E2231"/>
    <w:rsid w:val="004F0A73"/>
    <w:rsid w:val="004F3A5E"/>
    <w:rsid w:val="005319CE"/>
    <w:rsid w:val="005550B5"/>
    <w:rsid w:val="00571AC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36F6D"/>
    <w:rsid w:val="00654B20"/>
    <w:rsid w:val="00673016"/>
    <w:rsid w:val="00682FF5"/>
    <w:rsid w:val="00683F39"/>
    <w:rsid w:val="0069120F"/>
    <w:rsid w:val="006947FC"/>
    <w:rsid w:val="006B6933"/>
    <w:rsid w:val="006C5431"/>
    <w:rsid w:val="00721041"/>
    <w:rsid w:val="00741332"/>
    <w:rsid w:val="00796BD9"/>
    <w:rsid w:val="007C0315"/>
    <w:rsid w:val="007D7C47"/>
    <w:rsid w:val="00801EC2"/>
    <w:rsid w:val="00802FE8"/>
    <w:rsid w:val="00813866"/>
    <w:rsid w:val="00823836"/>
    <w:rsid w:val="00843AC9"/>
    <w:rsid w:val="008443C4"/>
    <w:rsid w:val="00882A6C"/>
    <w:rsid w:val="008C2CF4"/>
    <w:rsid w:val="008C7AFF"/>
    <w:rsid w:val="008D3500"/>
    <w:rsid w:val="008F0D2A"/>
    <w:rsid w:val="00923EFA"/>
    <w:rsid w:val="009263D2"/>
    <w:rsid w:val="00936528"/>
    <w:rsid w:val="00991A03"/>
    <w:rsid w:val="009B4CF7"/>
    <w:rsid w:val="009D2812"/>
    <w:rsid w:val="009D4370"/>
    <w:rsid w:val="009E0B92"/>
    <w:rsid w:val="00A12EF5"/>
    <w:rsid w:val="00A220BD"/>
    <w:rsid w:val="00A30FBE"/>
    <w:rsid w:val="00A36837"/>
    <w:rsid w:val="00A42CDE"/>
    <w:rsid w:val="00A44E43"/>
    <w:rsid w:val="00A50480"/>
    <w:rsid w:val="00A50543"/>
    <w:rsid w:val="00A57027"/>
    <w:rsid w:val="00A751F1"/>
    <w:rsid w:val="00A9458F"/>
    <w:rsid w:val="00AA75AB"/>
    <w:rsid w:val="00AB2C18"/>
    <w:rsid w:val="00AB68CE"/>
    <w:rsid w:val="00AC414B"/>
    <w:rsid w:val="00AD075A"/>
    <w:rsid w:val="00B12B85"/>
    <w:rsid w:val="00B221DE"/>
    <w:rsid w:val="00B245CD"/>
    <w:rsid w:val="00B3560A"/>
    <w:rsid w:val="00B977AB"/>
    <w:rsid w:val="00BC0897"/>
    <w:rsid w:val="00BD48E1"/>
    <w:rsid w:val="00BE5E5D"/>
    <w:rsid w:val="00BF660F"/>
    <w:rsid w:val="00C27E33"/>
    <w:rsid w:val="00C70A2E"/>
    <w:rsid w:val="00C7519F"/>
    <w:rsid w:val="00C85E18"/>
    <w:rsid w:val="00CC2E69"/>
    <w:rsid w:val="00CC43FF"/>
    <w:rsid w:val="00CC7E62"/>
    <w:rsid w:val="00D24CDB"/>
    <w:rsid w:val="00D42EC5"/>
    <w:rsid w:val="00D65E78"/>
    <w:rsid w:val="00D76FDB"/>
    <w:rsid w:val="00D96A95"/>
    <w:rsid w:val="00DB2646"/>
    <w:rsid w:val="00DC3AB7"/>
    <w:rsid w:val="00DC6533"/>
    <w:rsid w:val="00DD5293"/>
    <w:rsid w:val="00DE1F79"/>
    <w:rsid w:val="00E0375F"/>
    <w:rsid w:val="00E37AD5"/>
    <w:rsid w:val="00E777A1"/>
    <w:rsid w:val="00E845EE"/>
    <w:rsid w:val="00E96574"/>
    <w:rsid w:val="00EA1B83"/>
    <w:rsid w:val="00EB7DF0"/>
    <w:rsid w:val="00F51455"/>
    <w:rsid w:val="00F7623D"/>
    <w:rsid w:val="00FB0B54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D7D4A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3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1clara">
    <w:name w:val="Grid Table 1 Light"/>
    <w:basedOn w:val="Tablanormal"/>
    <w:uiPriority w:val="46"/>
    <w:rsid w:val="00FB0B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C3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  <w:style w:type="table" w:styleId="Tablaconcuadrculaclara">
    <w:name w:val="Grid Table Light"/>
    <w:basedOn w:val="Tablanormal"/>
    <w:uiPriority w:val="40"/>
    <w:rsid w:val="00AA75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4</cp:revision>
  <cp:lastPrinted>2024-04-09T20:44:00Z</cp:lastPrinted>
  <dcterms:created xsi:type="dcterms:W3CDTF">2024-04-09T20:44:00Z</dcterms:created>
  <dcterms:modified xsi:type="dcterms:W3CDTF">2024-04-09T20:46:00Z</dcterms:modified>
</cp:coreProperties>
</file>