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8F94" w14:textId="77777777" w:rsidR="00547DE8" w:rsidRDefault="00547DE8" w:rsidP="00547DE8">
      <w:pPr>
        <w:pStyle w:val="Ttulo3"/>
        <w:spacing w:before="0" w:after="40" w:line="0" w:lineRule="atLeast"/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  <w:bookmarkStart w:id="0" w:name="_Hlk32333784"/>
    </w:p>
    <w:p w14:paraId="5660FA1A" w14:textId="77777777" w:rsidR="00547DE8" w:rsidRDefault="00547DE8" w:rsidP="00547DE8">
      <w:pPr>
        <w:pStyle w:val="Ttulo3"/>
        <w:spacing w:before="0" w:after="40" w:line="0" w:lineRule="atLeast"/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</w:p>
    <w:p w14:paraId="5F00BAE3" w14:textId="77777777" w:rsidR="00547DE8" w:rsidRDefault="00547DE8" w:rsidP="00547DE8">
      <w:pPr>
        <w:pStyle w:val="Ttulo3"/>
        <w:spacing w:before="0" w:after="40" w:line="0" w:lineRule="atLeast"/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</w:p>
    <w:p w14:paraId="57AC49DC" w14:textId="77777777" w:rsidR="00547DE8" w:rsidRDefault="00547DE8" w:rsidP="00547DE8">
      <w:pPr>
        <w:pStyle w:val="Ttulo3"/>
        <w:spacing w:before="0" w:after="40" w:line="0" w:lineRule="atLeast"/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</w:p>
    <w:p w14:paraId="484419E6" w14:textId="77777777" w:rsidR="00547DE8" w:rsidRDefault="00547DE8" w:rsidP="00547DE8">
      <w:pPr>
        <w:pStyle w:val="Ttulo3"/>
        <w:spacing w:before="0" w:after="40" w:line="0" w:lineRule="atLeast"/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</w:p>
    <w:p w14:paraId="32373714" w14:textId="77777777" w:rsidR="00547DE8" w:rsidRDefault="00547DE8" w:rsidP="00547DE8">
      <w:pPr>
        <w:pStyle w:val="Ttulo3"/>
        <w:spacing w:before="0" w:after="40" w:line="0" w:lineRule="atLeast"/>
        <w:ind w:left="-426" w:right="-284"/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</w:p>
    <w:p w14:paraId="01A23CA5" w14:textId="77777777" w:rsidR="00547DE8" w:rsidRDefault="00547DE8" w:rsidP="00547DE8">
      <w:pPr>
        <w:pStyle w:val="Ttulo3"/>
        <w:spacing w:before="0" w:after="40" w:line="0" w:lineRule="atLeast"/>
        <w:ind w:left="-426" w:right="-284"/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</w:p>
    <w:p w14:paraId="55F5AD8C" w14:textId="77777777" w:rsidR="00547DE8" w:rsidRDefault="00547DE8" w:rsidP="00547DE8">
      <w:pPr>
        <w:pStyle w:val="Ttulo3"/>
        <w:spacing w:before="0" w:after="40" w:line="0" w:lineRule="atLeast"/>
        <w:ind w:left="-426" w:right="-284"/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</w:p>
    <w:p w14:paraId="6F00CBC6" w14:textId="47FD2809" w:rsidR="00472E09" w:rsidRPr="00547DE8" w:rsidRDefault="00547DE8" w:rsidP="00547DE8">
      <w:pPr>
        <w:pStyle w:val="Ttulo3"/>
        <w:spacing w:before="0" w:after="40" w:line="0" w:lineRule="atLeast"/>
        <w:ind w:left="-426" w:right="-284"/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  <w:r w:rsidRPr="00547DE8">
        <w:rPr>
          <w:rFonts w:ascii="Arial Narrow" w:hAnsi="Arial Narrow" w:cs="Arial"/>
          <w:color w:val="000000" w:themeColor="text1"/>
          <w:sz w:val="16"/>
          <w:szCs w:val="16"/>
        </w:rPr>
        <w:t>SUPERINTENDENCIA NACIONAL DE ADUANAS Y ADMINISTRACIÓN TRIBUTARIA</w:t>
      </w:r>
    </w:p>
    <w:p w14:paraId="0C9657A7" w14:textId="6E36025C" w:rsidR="00472E09" w:rsidRPr="00547DE8" w:rsidRDefault="00547DE8" w:rsidP="00547DE8">
      <w:pPr>
        <w:spacing w:after="40"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547DE8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DE ADUANA DE TACNA</w:t>
      </w:r>
    </w:p>
    <w:p w14:paraId="26859DBB" w14:textId="77777777" w:rsidR="00472E09" w:rsidRPr="009433BA" w:rsidRDefault="00472E09" w:rsidP="00547DE8">
      <w:pPr>
        <w:pStyle w:val="Ttulo3"/>
        <w:spacing w:before="0" w:after="40" w:line="0" w:lineRule="atLeast"/>
        <w:jc w:val="center"/>
        <w:rPr>
          <w:rFonts w:ascii="Arial Narrow" w:hAnsi="Arial Narrow" w:cs="Arial"/>
          <w:color w:val="000000" w:themeColor="text1"/>
          <w:sz w:val="10"/>
          <w:szCs w:val="10"/>
        </w:rPr>
      </w:pPr>
    </w:p>
    <w:p w14:paraId="02518FE5" w14:textId="399C73CA" w:rsidR="00CC413B" w:rsidRPr="00547DE8" w:rsidRDefault="00547DE8" w:rsidP="00547DE8">
      <w:pPr>
        <w:pStyle w:val="Ttulo3"/>
        <w:spacing w:before="0" w:after="40" w:line="0" w:lineRule="atLeast"/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  <w:r w:rsidRPr="00547DE8">
        <w:rPr>
          <w:rFonts w:ascii="Arial Narrow" w:hAnsi="Arial Narrow" w:cs="Arial"/>
          <w:color w:val="000000" w:themeColor="text1"/>
          <w:sz w:val="16"/>
          <w:szCs w:val="16"/>
        </w:rPr>
        <w:t xml:space="preserve">NOTIFICACIÓN </w:t>
      </w:r>
      <w:proofErr w:type="spellStart"/>
      <w:r w:rsidRPr="00547DE8">
        <w:rPr>
          <w:rFonts w:ascii="Arial Narrow" w:hAnsi="Arial Narrow" w:cs="Arial"/>
          <w:color w:val="000000" w:themeColor="text1"/>
          <w:sz w:val="16"/>
          <w:szCs w:val="16"/>
        </w:rPr>
        <w:t>Nº</w:t>
      </w:r>
      <w:proofErr w:type="spellEnd"/>
      <w:r w:rsidRPr="00547DE8">
        <w:rPr>
          <w:rFonts w:ascii="Arial Narrow" w:hAnsi="Arial Narrow" w:cs="Arial"/>
          <w:color w:val="000000" w:themeColor="text1"/>
          <w:sz w:val="16"/>
          <w:szCs w:val="16"/>
        </w:rPr>
        <w:t xml:space="preserve"> 103-2024-SUNAT/3G0800</w:t>
      </w:r>
      <w:r w:rsidR="009433BA">
        <w:rPr>
          <w:rFonts w:ascii="Arial Narrow" w:hAnsi="Arial Narrow" w:cs="Arial"/>
          <w:color w:val="000000" w:themeColor="text1"/>
          <w:sz w:val="16"/>
          <w:szCs w:val="16"/>
        </w:rPr>
        <w:br/>
      </w:r>
      <w:r w:rsidR="009433BA" w:rsidRPr="009433BA">
        <w:rPr>
          <w:rFonts w:ascii="Arial Narrow" w:hAnsi="Arial Narrow"/>
          <w:b w:val="0"/>
          <w:bCs w:val="0"/>
          <w:color w:val="000000" w:themeColor="text1"/>
          <w:sz w:val="16"/>
          <w:szCs w:val="16"/>
        </w:rPr>
        <w:t>(Publicada en el Boletín del Diario Oficial El Peruano del 22.04.2024)</w:t>
      </w:r>
    </w:p>
    <w:p w14:paraId="0060E6E3" w14:textId="77777777" w:rsidR="009433BA" w:rsidRDefault="009433BA" w:rsidP="00547DE8">
      <w:pPr>
        <w:widowControl w:val="0"/>
        <w:tabs>
          <w:tab w:val="left" w:pos="1418"/>
        </w:tabs>
        <w:spacing w:after="40" w:line="0" w:lineRule="atLeast"/>
        <w:rPr>
          <w:rFonts w:ascii="Arial Narrow" w:hAnsi="Arial Narrow" w:cs="Arial"/>
          <w:snapToGrid w:val="0"/>
          <w:sz w:val="16"/>
          <w:szCs w:val="16"/>
        </w:rPr>
      </w:pPr>
    </w:p>
    <w:p w14:paraId="0E09E371" w14:textId="660F9F58" w:rsidR="00CC413B" w:rsidRPr="00547DE8" w:rsidRDefault="00CC413B" w:rsidP="00547DE8">
      <w:pPr>
        <w:widowControl w:val="0"/>
        <w:tabs>
          <w:tab w:val="left" w:pos="1418"/>
        </w:tabs>
        <w:spacing w:after="40" w:line="0" w:lineRule="atLeast"/>
        <w:rPr>
          <w:rFonts w:ascii="Arial Narrow" w:hAnsi="Arial Narrow" w:cs="Arial"/>
          <w:snapToGrid w:val="0"/>
          <w:sz w:val="16"/>
          <w:szCs w:val="16"/>
        </w:rPr>
      </w:pPr>
      <w:r w:rsidRPr="00547DE8">
        <w:rPr>
          <w:rFonts w:ascii="Arial Narrow" w:hAnsi="Arial Narrow" w:cs="Arial"/>
          <w:snapToGrid w:val="0"/>
          <w:sz w:val="16"/>
          <w:szCs w:val="16"/>
        </w:rPr>
        <w:t>Destinatario</w:t>
      </w:r>
      <w:r w:rsidRPr="00547DE8">
        <w:rPr>
          <w:rFonts w:ascii="Arial Narrow" w:hAnsi="Arial Narrow" w:cs="Arial"/>
          <w:snapToGrid w:val="0"/>
          <w:sz w:val="16"/>
          <w:szCs w:val="16"/>
        </w:rPr>
        <w:tab/>
        <w:t>:</w:t>
      </w:r>
      <w:r w:rsidR="00651B75" w:rsidRPr="00547DE8">
        <w:rPr>
          <w:rFonts w:ascii="Arial Narrow" w:hAnsi="Arial Narrow" w:cs="Arial"/>
          <w:snapToGrid w:val="0"/>
          <w:sz w:val="16"/>
          <w:szCs w:val="16"/>
        </w:rPr>
        <w:t xml:space="preserve"> </w:t>
      </w:r>
      <w:r w:rsidR="00200A14" w:rsidRPr="00547DE8"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  <w:t>NIEVA SALAZAR, JORGE ANTONIO</w:t>
      </w:r>
    </w:p>
    <w:p w14:paraId="36F779D1" w14:textId="1154D7F3" w:rsidR="003215C1" w:rsidRPr="00547DE8" w:rsidRDefault="00200A14" w:rsidP="00547DE8">
      <w:pPr>
        <w:widowControl w:val="0"/>
        <w:tabs>
          <w:tab w:val="left" w:pos="1418"/>
        </w:tabs>
        <w:spacing w:after="40" w:line="0" w:lineRule="atLeast"/>
        <w:rPr>
          <w:rFonts w:ascii="Arial Narrow" w:hAnsi="Arial Narrow" w:cs="Arial"/>
          <w:snapToGrid w:val="0"/>
          <w:sz w:val="16"/>
          <w:szCs w:val="16"/>
        </w:rPr>
      </w:pPr>
      <w:r w:rsidRPr="00547DE8">
        <w:rPr>
          <w:rFonts w:ascii="Arial Narrow" w:hAnsi="Arial Narrow" w:cs="Arial"/>
          <w:snapToGrid w:val="0"/>
          <w:sz w:val="16"/>
          <w:szCs w:val="16"/>
        </w:rPr>
        <w:t>Cédula de Identidad</w:t>
      </w:r>
      <w:r w:rsidR="003215C1" w:rsidRPr="00547DE8">
        <w:rPr>
          <w:rFonts w:ascii="Arial Narrow" w:hAnsi="Arial Narrow" w:cs="Arial"/>
          <w:snapToGrid w:val="0"/>
          <w:sz w:val="16"/>
          <w:szCs w:val="16"/>
        </w:rPr>
        <w:tab/>
        <w:t xml:space="preserve">: </w:t>
      </w:r>
      <w:r w:rsidRPr="00547DE8">
        <w:rPr>
          <w:rFonts w:ascii="Arial Narrow" w:hAnsi="Arial Narrow" w:cs="Arial"/>
          <w:snapToGrid w:val="0"/>
          <w:sz w:val="16"/>
          <w:szCs w:val="16"/>
        </w:rPr>
        <w:t>93970322</w:t>
      </w:r>
    </w:p>
    <w:p w14:paraId="56A4322F" w14:textId="7EED3348" w:rsidR="001551C6" w:rsidRPr="00547DE8" w:rsidRDefault="001551C6" w:rsidP="00547DE8">
      <w:pPr>
        <w:widowControl w:val="0"/>
        <w:tabs>
          <w:tab w:val="left" w:pos="1418"/>
        </w:tabs>
        <w:spacing w:after="40" w:line="0" w:lineRule="atLeast"/>
        <w:ind w:left="2835" w:hanging="2835"/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</w:pPr>
      <w:r w:rsidRPr="00547DE8"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  <w:t>D</w:t>
      </w:r>
      <w:r w:rsidR="00077979" w:rsidRPr="00547DE8"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  <w:t>irección</w:t>
      </w:r>
      <w:r w:rsidRPr="00547DE8"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  <w:tab/>
        <w:t xml:space="preserve">: </w:t>
      </w:r>
      <w:r w:rsidR="00200A14" w:rsidRPr="00547DE8"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  <w:t>Tocopilla - Chile</w:t>
      </w:r>
    </w:p>
    <w:p w14:paraId="62A2E0F8" w14:textId="6CD53F39" w:rsidR="00CC413B" w:rsidRPr="00547DE8" w:rsidRDefault="00CC413B" w:rsidP="00547DE8">
      <w:pPr>
        <w:widowControl w:val="0"/>
        <w:tabs>
          <w:tab w:val="left" w:pos="1418"/>
        </w:tabs>
        <w:spacing w:after="40" w:line="0" w:lineRule="atLeast"/>
        <w:rPr>
          <w:rFonts w:ascii="Arial Narrow" w:hAnsi="Arial Narrow" w:cs="Arial"/>
          <w:snapToGrid w:val="0"/>
          <w:sz w:val="16"/>
          <w:szCs w:val="16"/>
        </w:rPr>
      </w:pPr>
      <w:r w:rsidRPr="00547DE8">
        <w:rPr>
          <w:rFonts w:ascii="Arial Narrow" w:hAnsi="Arial Narrow" w:cs="Arial"/>
          <w:snapToGrid w:val="0"/>
          <w:sz w:val="16"/>
          <w:szCs w:val="16"/>
        </w:rPr>
        <w:t>Asunto</w:t>
      </w:r>
      <w:r w:rsidRPr="00547DE8">
        <w:rPr>
          <w:rFonts w:ascii="Arial Narrow" w:hAnsi="Arial Narrow" w:cs="Arial"/>
          <w:snapToGrid w:val="0"/>
          <w:sz w:val="16"/>
          <w:szCs w:val="16"/>
        </w:rPr>
        <w:tab/>
        <w:t xml:space="preserve">: </w:t>
      </w:r>
      <w:r w:rsidR="003456D2" w:rsidRPr="00547DE8">
        <w:rPr>
          <w:rFonts w:ascii="Arial Narrow" w:hAnsi="Arial Narrow" w:cs="Arial"/>
          <w:snapToGrid w:val="0"/>
          <w:sz w:val="16"/>
          <w:szCs w:val="16"/>
        </w:rPr>
        <w:t>Se informa sobre pago de multa</w:t>
      </w:r>
    </w:p>
    <w:p w14:paraId="57143E0F" w14:textId="4BE76777" w:rsidR="00B40880" w:rsidRPr="00547DE8" w:rsidRDefault="00CC413B" w:rsidP="00547DE8">
      <w:pPr>
        <w:widowControl w:val="0"/>
        <w:tabs>
          <w:tab w:val="left" w:pos="1418"/>
        </w:tabs>
        <w:spacing w:after="40" w:line="0" w:lineRule="atLeast"/>
        <w:rPr>
          <w:rFonts w:ascii="Arial Narrow" w:hAnsi="Arial Narrow" w:cs="Arial"/>
          <w:snapToGrid w:val="0"/>
          <w:sz w:val="16"/>
          <w:szCs w:val="16"/>
          <w:lang w:val="fr-FR"/>
        </w:rPr>
      </w:pPr>
      <w:r w:rsidRPr="00547DE8">
        <w:rPr>
          <w:rFonts w:ascii="Arial Narrow" w:hAnsi="Arial Narrow" w:cs="Arial"/>
          <w:snapToGrid w:val="0"/>
          <w:sz w:val="16"/>
          <w:szCs w:val="16"/>
          <w:lang w:val="es-PE"/>
        </w:rPr>
        <w:t>Referencia</w:t>
      </w:r>
      <w:r w:rsidRPr="00547DE8">
        <w:rPr>
          <w:rFonts w:ascii="Arial Narrow" w:hAnsi="Arial Narrow" w:cs="Arial"/>
          <w:snapToGrid w:val="0"/>
          <w:sz w:val="16"/>
          <w:szCs w:val="16"/>
          <w:lang w:val="fr-FR"/>
        </w:rPr>
        <w:tab/>
        <w:t xml:space="preserve">: </w:t>
      </w:r>
      <w:r w:rsidR="00B40880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 xml:space="preserve">a) </w:t>
      </w:r>
      <w:proofErr w:type="spellStart"/>
      <w:r w:rsidR="00077979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>Expediente</w:t>
      </w:r>
      <w:proofErr w:type="spellEnd"/>
      <w:r w:rsidR="00077979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 xml:space="preserve"> N° 172-URD</w:t>
      </w:r>
      <w:r w:rsidR="003456D2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>999</w:t>
      </w:r>
      <w:r w:rsidR="00077979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>-202</w:t>
      </w:r>
      <w:r w:rsidR="00200A14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>3</w:t>
      </w:r>
      <w:r w:rsidR="00077979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>-</w:t>
      </w:r>
      <w:r w:rsidR="00200A14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>1006928 y</w:t>
      </w:r>
      <w:r w:rsidR="00B40880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>;</w:t>
      </w:r>
    </w:p>
    <w:p w14:paraId="0A9F925C" w14:textId="2B61AC53" w:rsidR="00CC413B" w:rsidRPr="00547DE8" w:rsidRDefault="00B40880" w:rsidP="00547DE8">
      <w:pPr>
        <w:widowControl w:val="0"/>
        <w:tabs>
          <w:tab w:val="left" w:pos="1418"/>
        </w:tabs>
        <w:spacing w:after="40" w:line="0" w:lineRule="atLeast"/>
        <w:rPr>
          <w:rFonts w:ascii="Arial Narrow" w:hAnsi="Arial Narrow" w:cs="Arial"/>
          <w:snapToGrid w:val="0"/>
          <w:sz w:val="16"/>
          <w:szCs w:val="16"/>
          <w:lang w:val="fr-FR"/>
        </w:rPr>
      </w:pPr>
      <w:r w:rsidRPr="00547DE8">
        <w:rPr>
          <w:rFonts w:ascii="Arial Narrow" w:hAnsi="Arial Narrow" w:cs="Arial"/>
          <w:snapToGrid w:val="0"/>
          <w:sz w:val="16"/>
          <w:szCs w:val="16"/>
          <w:lang w:val="fr-FR"/>
        </w:rPr>
        <w:tab/>
      </w:r>
      <w:r w:rsidR="00547DE8">
        <w:rPr>
          <w:rFonts w:ascii="Arial Narrow" w:hAnsi="Arial Narrow" w:cs="Arial"/>
          <w:snapToGrid w:val="0"/>
          <w:sz w:val="16"/>
          <w:szCs w:val="16"/>
          <w:lang w:val="fr-FR"/>
        </w:rPr>
        <w:t xml:space="preserve">  </w:t>
      </w:r>
      <w:r w:rsidRPr="00547DE8">
        <w:rPr>
          <w:rFonts w:ascii="Arial Narrow" w:hAnsi="Arial Narrow" w:cs="Arial"/>
          <w:snapToGrid w:val="0"/>
          <w:sz w:val="16"/>
          <w:szCs w:val="16"/>
          <w:lang w:val="fr-FR"/>
        </w:rPr>
        <w:t xml:space="preserve">b) </w:t>
      </w:r>
      <w:proofErr w:type="spellStart"/>
      <w:r w:rsidRPr="00547DE8">
        <w:rPr>
          <w:rFonts w:ascii="Arial Narrow" w:hAnsi="Arial Narrow" w:cs="Arial"/>
          <w:snapToGrid w:val="0"/>
          <w:sz w:val="16"/>
          <w:szCs w:val="16"/>
          <w:lang w:val="fr-FR"/>
        </w:rPr>
        <w:t>Expediente</w:t>
      </w:r>
      <w:proofErr w:type="spellEnd"/>
      <w:r w:rsidRPr="00547DE8">
        <w:rPr>
          <w:rFonts w:ascii="Arial Narrow" w:hAnsi="Arial Narrow" w:cs="Arial"/>
          <w:snapToGrid w:val="0"/>
          <w:sz w:val="16"/>
          <w:szCs w:val="16"/>
          <w:lang w:val="fr-FR"/>
        </w:rPr>
        <w:t xml:space="preserve"> </w:t>
      </w:r>
      <w:r w:rsidR="00200A14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>N° 172-URD999-2023-1092314</w:t>
      </w:r>
      <w:r w:rsidR="00CC413B" w:rsidRPr="00547DE8">
        <w:rPr>
          <w:rFonts w:ascii="Arial Narrow" w:hAnsi="Arial Narrow" w:cs="Arial"/>
          <w:snapToGrid w:val="0"/>
          <w:sz w:val="16"/>
          <w:szCs w:val="16"/>
          <w:lang w:val="fr-FR"/>
        </w:rPr>
        <w:tab/>
        <w:t xml:space="preserve">  </w:t>
      </w:r>
    </w:p>
    <w:p w14:paraId="743BEEE4" w14:textId="4CE12B17" w:rsidR="00CC413B" w:rsidRPr="00547DE8" w:rsidRDefault="00CC413B" w:rsidP="00547DE8">
      <w:pPr>
        <w:widowControl w:val="0"/>
        <w:pBdr>
          <w:bottom w:val="single" w:sz="12" w:space="1" w:color="auto"/>
        </w:pBdr>
        <w:tabs>
          <w:tab w:val="left" w:pos="1418"/>
        </w:tabs>
        <w:spacing w:after="40" w:line="0" w:lineRule="atLeast"/>
        <w:rPr>
          <w:rFonts w:ascii="Arial Narrow" w:hAnsi="Arial Narrow" w:cs="Arial"/>
          <w:snapToGrid w:val="0"/>
          <w:sz w:val="16"/>
          <w:szCs w:val="16"/>
        </w:rPr>
      </w:pPr>
      <w:r w:rsidRPr="00547DE8">
        <w:rPr>
          <w:rFonts w:ascii="Arial Narrow" w:hAnsi="Arial Narrow" w:cs="Arial"/>
          <w:snapToGrid w:val="0"/>
          <w:sz w:val="16"/>
          <w:szCs w:val="16"/>
        </w:rPr>
        <w:t>Fecha</w:t>
      </w:r>
      <w:r w:rsidRPr="00547DE8">
        <w:rPr>
          <w:rFonts w:ascii="Arial Narrow" w:hAnsi="Arial Narrow" w:cs="Arial"/>
          <w:snapToGrid w:val="0"/>
          <w:sz w:val="16"/>
          <w:szCs w:val="16"/>
        </w:rPr>
        <w:tab/>
        <w:t xml:space="preserve">: Tacna, </w:t>
      </w:r>
      <w:r w:rsidR="00200A14" w:rsidRPr="00547DE8">
        <w:rPr>
          <w:rFonts w:ascii="Arial Narrow" w:hAnsi="Arial Narrow" w:cs="Arial"/>
          <w:snapToGrid w:val="0"/>
          <w:sz w:val="16"/>
          <w:szCs w:val="16"/>
        </w:rPr>
        <w:t>17</w:t>
      </w:r>
      <w:r w:rsidR="003456D2" w:rsidRPr="00547DE8">
        <w:rPr>
          <w:rFonts w:ascii="Arial Narrow" w:hAnsi="Arial Narrow" w:cs="Arial"/>
          <w:snapToGrid w:val="0"/>
          <w:sz w:val="16"/>
          <w:szCs w:val="16"/>
        </w:rPr>
        <w:t xml:space="preserve"> de </w:t>
      </w:r>
      <w:r w:rsidR="00200A14" w:rsidRPr="00547DE8">
        <w:rPr>
          <w:rFonts w:ascii="Arial Narrow" w:hAnsi="Arial Narrow" w:cs="Arial"/>
          <w:snapToGrid w:val="0"/>
          <w:sz w:val="16"/>
          <w:szCs w:val="16"/>
        </w:rPr>
        <w:t>abril</w:t>
      </w:r>
      <w:r w:rsidR="003456D2" w:rsidRPr="00547DE8">
        <w:rPr>
          <w:rFonts w:ascii="Arial Narrow" w:hAnsi="Arial Narrow" w:cs="Arial"/>
          <w:snapToGrid w:val="0"/>
          <w:sz w:val="16"/>
          <w:szCs w:val="16"/>
        </w:rPr>
        <w:t xml:space="preserve"> de 2024</w:t>
      </w:r>
    </w:p>
    <w:bookmarkEnd w:id="0"/>
    <w:p w14:paraId="463756B2" w14:textId="6C423310" w:rsidR="00B40880" w:rsidRPr="00547DE8" w:rsidRDefault="003456D2" w:rsidP="00547DE8">
      <w:pPr>
        <w:spacing w:after="40" w:line="0" w:lineRule="atLeast"/>
        <w:jc w:val="both"/>
        <w:rPr>
          <w:rFonts w:ascii="Arial Narrow" w:hAnsi="Arial Narrow" w:cs="Arial"/>
          <w:sz w:val="16"/>
          <w:szCs w:val="16"/>
        </w:rPr>
      </w:pPr>
      <w:r w:rsidRPr="00547DE8">
        <w:rPr>
          <w:rFonts w:ascii="Arial Narrow" w:hAnsi="Arial Narrow" w:cs="Arial"/>
          <w:sz w:val="16"/>
          <w:szCs w:val="16"/>
        </w:rPr>
        <w:t xml:space="preserve">Tengo el agrado de dirigirme a usted, en atención </w:t>
      </w:r>
      <w:r w:rsidR="00B40880" w:rsidRPr="00547DE8">
        <w:rPr>
          <w:rFonts w:ascii="Arial Narrow" w:hAnsi="Arial Narrow" w:cs="Arial"/>
          <w:sz w:val="16"/>
          <w:szCs w:val="16"/>
        </w:rPr>
        <w:t>a los documentos a) y b)</w:t>
      </w:r>
      <w:r w:rsidRPr="00547DE8">
        <w:rPr>
          <w:rFonts w:ascii="Arial Narrow" w:hAnsi="Arial Narrow" w:cs="Arial"/>
          <w:sz w:val="16"/>
          <w:szCs w:val="16"/>
        </w:rPr>
        <w:t xml:space="preserve"> de la referencia, a través del cual </w:t>
      </w:r>
      <w:r w:rsidR="00200A14" w:rsidRPr="00547DE8">
        <w:rPr>
          <w:rFonts w:ascii="Arial Narrow" w:hAnsi="Arial Narrow" w:cs="Arial"/>
          <w:sz w:val="16"/>
          <w:szCs w:val="16"/>
        </w:rPr>
        <w:t xml:space="preserve">la Sra. Sra. </w:t>
      </w:r>
      <w:r w:rsidR="00200A14" w:rsidRPr="00547DE8">
        <w:rPr>
          <w:rFonts w:ascii="Arial Narrow" w:eastAsia="Arial MT" w:hAnsi="Arial Narrow" w:cs="Arial"/>
          <w:sz w:val="16"/>
          <w:szCs w:val="16"/>
        </w:rPr>
        <w:t xml:space="preserve">Beliz Maritza Blanco Bustamante identificada con </w:t>
      </w:r>
      <w:proofErr w:type="gramStart"/>
      <w:r w:rsidR="00200A14" w:rsidRPr="00547DE8">
        <w:rPr>
          <w:rFonts w:ascii="Arial Narrow" w:eastAsia="Arial MT" w:hAnsi="Arial Narrow" w:cs="Arial"/>
          <w:sz w:val="16"/>
          <w:szCs w:val="16"/>
        </w:rPr>
        <w:t>Carnet</w:t>
      </w:r>
      <w:proofErr w:type="gramEnd"/>
      <w:r w:rsidR="00200A14" w:rsidRPr="00547DE8">
        <w:rPr>
          <w:rFonts w:ascii="Arial Narrow" w:eastAsia="Arial MT" w:hAnsi="Arial Narrow" w:cs="Arial"/>
          <w:sz w:val="16"/>
          <w:szCs w:val="16"/>
        </w:rPr>
        <w:t xml:space="preserve"> de Extranjería </w:t>
      </w:r>
      <w:proofErr w:type="spellStart"/>
      <w:r w:rsidR="00200A14" w:rsidRPr="00547DE8">
        <w:rPr>
          <w:rFonts w:ascii="Arial Narrow" w:eastAsia="Arial MT" w:hAnsi="Arial Narrow" w:cs="Arial"/>
          <w:sz w:val="16"/>
          <w:szCs w:val="16"/>
        </w:rPr>
        <w:t>N°</w:t>
      </w:r>
      <w:proofErr w:type="spellEnd"/>
      <w:r w:rsidR="00200A14" w:rsidRPr="00547DE8">
        <w:rPr>
          <w:rFonts w:ascii="Arial Narrow" w:eastAsia="Arial MT" w:hAnsi="Arial Narrow" w:cs="Arial"/>
          <w:sz w:val="16"/>
          <w:szCs w:val="16"/>
        </w:rPr>
        <w:t xml:space="preserve"> 003992674, </w:t>
      </w:r>
      <w:r w:rsidRPr="00547DE8">
        <w:rPr>
          <w:rFonts w:ascii="Arial Narrow" w:hAnsi="Arial Narrow" w:cs="Arial"/>
          <w:sz w:val="16"/>
          <w:szCs w:val="16"/>
        </w:rPr>
        <w:t xml:space="preserve">solicita la devolución de la mercancía descrita en el Acta de Incautación </w:t>
      </w:r>
      <w:proofErr w:type="spellStart"/>
      <w:r w:rsidRPr="00547DE8">
        <w:rPr>
          <w:rFonts w:ascii="Arial Narrow" w:hAnsi="Arial Narrow" w:cs="Arial"/>
          <w:sz w:val="16"/>
          <w:szCs w:val="16"/>
        </w:rPr>
        <w:t>N°</w:t>
      </w:r>
      <w:proofErr w:type="spellEnd"/>
      <w:r w:rsidRPr="00547DE8">
        <w:rPr>
          <w:rFonts w:ascii="Arial Narrow" w:hAnsi="Arial Narrow" w:cs="Arial"/>
          <w:sz w:val="16"/>
          <w:szCs w:val="16"/>
        </w:rPr>
        <w:t xml:space="preserve"> 172-</w:t>
      </w:r>
      <w:r w:rsidR="00200A14" w:rsidRPr="00547DE8">
        <w:rPr>
          <w:rFonts w:ascii="Arial Narrow" w:hAnsi="Arial Narrow" w:cs="Arial"/>
          <w:sz w:val="16"/>
          <w:szCs w:val="16"/>
        </w:rPr>
        <w:t>0204-</w:t>
      </w:r>
      <w:r w:rsidRPr="00547DE8">
        <w:rPr>
          <w:rFonts w:ascii="Arial Narrow" w:hAnsi="Arial Narrow" w:cs="Arial"/>
          <w:sz w:val="16"/>
          <w:szCs w:val="16"/>
        </w:rPr>
        <w:t>202</w:t>
      </w:r>
      <w:r w:rsidR="00200A14" w:rsidRPr="00547DE8">
        <w:rPr>
          <w:rFonts w:ascii="Arial Narrow" w:hAnsi="Arial Narrow" w:cs="Arial"/>
          <w:sz w:val="16"/>
          <w:szCs w:val="16"/>
        </w:rPr>
        <w:t>3</w:t>
      </w:r>
      <w:r w:rsidRPr="00547DE8">
        <w:rPr>
          <w:rFonts w:ascii="Arial Narrow" w:hAnsi="Arial Narrow" w:cs="Arial"/>
          <w:sz w:val="16"/>
          <w:szCs w:val="16"/>
        </w:rPr>
        <w:t>-000</w:t>
      </w:r>
      <w:r w:rsidR="00200A14" w:rsidRPr="00547DE8">
        <w:rPr>
          <w:rFonts w:ascii="Arial Narrow" w:hAnsi="Arial Narrow" w:cs="Arial"/>
          <w:sz w:val="16"/>
          <w:szCs w:val="16"/>
        </w:rPr>
        <w:t>660</w:t>
      </w:r>
      <w:r w:rsidRPr="00547DE8">
        <w:rPr>
          <w:rFonts w:ascii="Arial Narrow" w:hAnsi="Arial Narrow" w:cs="Arial"/>
          <w:sz w:val="16"/>
          <w:szCs w:val="16"/>
        </w:rPr>
        <w:t>, para comunicarle lo siguiente:</w:t>
      </w:r>
    </w:p>
    <w:p w14:paraId="7433321D" w14:textId="0B7FD0EF" w:rsidR="003456D2" w:rsidRPr="00547DE8" w:rsidRDefault="003456D2" w:rsidP="00547DE8">
      <w:pPr>
        <w:spacing w:after="40" w:line="0" w:lineRule="atLeast"/>
        <w:jc w:val="both"/>
        <w:rPr>
          <w:rFonts w:ascii="Arial Narrow" w:hAnsi="Arial Narrow" w:cs="Arial"/>
          <w:sz w:val="16"/>
          <w:szCs w:val="16"/>
        </w:rPr>
      </w:pPr>
      <w:r w:rsidRPr="00547DE8">
        <w:rPr>
          <w:rFonts w:ascii="Arial Narrow" w:hAnsi="Arial Narrow" w:cs="Arial"/>
          <w:sz w:val="16"/>
          <w:szCs w:val="16"/>
        </w:rPr>
        <w:t xml:space="preserve">De acuerdo al artículo 7° del Reglamento del Régimen Aduanero de Equipaje y Menaje de Casa aprobado por Decreto Supremo </w:t>
      </w:r>
      <w:proofErr w:type="spellStart"/>
      <w:r w:rsidRPr="00547DE8">
        <w:rPr>
          <w:rFonts w:ascii="Arial Narrow" w:hAnsi="Arial Narrow" w:cs="Arial"/>
          <w:sz w:val="16"/>
          <w:szCs w:val="16"/>
        </w:rPr>
        <w:t>N°</w:t>
      </w:r>
      <w:proofErr w:type="spellEnd"/>
      <w:r w:rsidRPr="00547DE8">
        <w:rPr>
          <w:rFonts w:ascii="Arial Narrow" w:hAnsi="Arial Narrow" w:cs="Arial"/>
          <w:sz w:val="16"/>
          <w:szCs w:val="16"/>
        </w:rPr>
        <w:t xml:space="preserve"> 182-2013-EF, concordante con el literal j) del artículo 200° de la Ley General de Aduanas aprobada por Decreto Legislativo </w:t>
      </w:r>
      <w:proofErr w:type="spellStart"/>
      <w:r w:rsidRPr="00547DE8">
        <w:rPr>
          <w:rFonts w:ascii="Arial Narrow" w:hAnsi="Arial Narrow" w:cs="Arial"/>
          <w:sz w:val="16"/>
          <w:szCs w:val="16"/>
        </w:rPr>
        <w:t>N°</w:t>
      </w:r>
      <w:proofErr w:type="spellEnd"/>
      <w:r w:rsidRPr="00547DE8">
        <w:rPr>
          <w:rFonts w:ascii="Arial Narrow" w:hAnsi="Arial Narrow" w:cs="Arial"/>
          <w:sz w:val="16"/>
          <w:szCs w:val="16"/>
        </w:rPr>
        <w:t xml:space="preserve"> 1053, se establece que, cuando los pasajeros omitan declarar sus equipajes o mercancías en la forma establecida, o exista diferencia entre la cantidad o la descripción declarada y lo encontrado como resultado del control aduanero, podrán recuperar dichos bienes, si en el plazo de treinta (30) días hábiles de notificada el acta de incautación:</w:t>
      </w:r>
      <w:r w:rsidR="00B40880" w:rsidRPr="00547DE8">
        <w:rPr>
          <w:rFonts w:ascii="Arial Narrow" w:hAnsi="Arial Narrow" w:cs="Arial"/>
          <w:sz w:val="16"/>
          <w:szCs w:val="16"/>
        </w:rPr>
        <w:t xml:space="preserve"> 1) </w:t>
      </w:r>
      <w:r w:rsidRPr="00547DE8">
        <w:rPr>
          <w:rFonts w:ascii="Arial Narrow" w:hAnsi="Arial Narrow" w:cs="Arial"/>
          <w:sz w:val="16"/>
          <w:szCs w:val="16"/>
        </w:rPr>
        <w:t>Cumple con pagar la deuda tributaria aduanera y recargos respectivos, y una multa ascendiente al 50% sobre el valor en aduana del bien establecido por la autoridad aduanera  y con los demás requisitos legales exigibles en caso de mercancía restringida, o</w:t>
      </w:r>
      <w:r w:rsidR="00B40880" w:rsidRPr="00547DE8">
        <w:rPr>
          <w:rFonts w:ascii="Arial Narrow" w:hAnsi="Arial Narrow" w:cs="Arial"/>
          <w:sz w:val="16"/>
          <w:szCs w:val="16"/>
        </w:rPr>
        <w:t xml:space="preserve"> 2) </w:t>
      </w:r>
      <w:r w:rsidRPr="00547DE8">
        <w:rPr>
          <w:rFonts w:ascii="Arial Narrow" w:hAnsi="Arial Narrow" w:cs="Arial"/>
          <w:sz w:val="16"/>
          <w:szCs w:val="16"/>
        </w:rPr>
        <w:t>Proceder a su retorno al exterior por cuenta propia o de tercero autorizado previo pago de la referida multa (50% sobre el valor en aduana).</w:t>
      </w:r>
    </w:p>
    <w:p w14:paraId="6B167759" w14:textId="77777777" w:rsidR="003456D2" w:rsidRPr="00547DE8" w:rsidRDefault="003456D2" w:rsidP="00547DE8">
      <w:pPr>
        <w:spacing w:after="40" w:line="0" w:lineRule="atLeast"/>
        <w:ind w:right="104"/>
        <w:jc w:val="both"/>
        <w:rPr>
          <w:rFonts w:ascii="Arial Narrow" w:hAnsi="Arial Narrow" w:cs="Arial"/>
          <w:sz w:val="16"/>
          <w:szCs w:val="16"/>
        </w:rPr>
      </w:pPr>
      <w:r w:rsidRPr="00547DE8">
        <w:rPr>
          <w:rFonts w:ascii="Arial Narrow" w:hAnsi="Arial Narrow" w:cs="Arial"/>
          <w:sz w:val="16"/>
          <w:szCs w:val="16"/>
        </w:rPr>
        <w:t>Asimismo, la norma indica que de no mediar acción por parte del pasajero durante el plazo establecido (treinta días hábiles de notificada la presente) la mercancía no declarada cae en comiso.</w:t>
      </w:r>
    </w:p>
    <w:p w14:paraId="12EA7219" w14:textId="0EC9A177" w:rsidR="00B40880" w:rsidRPr="00547DE8" w:rsidRDefault="003456D2" w:rsidP="00547DE8">
      <w:pPr>
        <w:spacing w:after="40" w:line="0" w:lineRule="atLeast"/>
        <w:ind w:right="104"/>
        <w:jc w:val="both"/>
        <w:rPr>
          <w:rFonts w:ascii="Arial Narrow" w:hAnsi="Arial Narrow" w:cs="Arial"/>
          <w:sz w:val="16"/>
          <w:szCs w:val="16"/>
        </w:rPr>
      </w:pPr>
      <w:r w:rsidRPr="00547DE8">
        <w:rPr>
          <w:rFonts w:ascii="Arial Narrow" w:hAnsi="Arial Narrow" w:cs="Arial"/>
          <w:sz w:val="16"/>
          <w:szCs w:val="16"/>
        </w:rPr>
        <w:t xml:space="preserve">Que, </w:t>
      </w:r>
      <w:r w:rsidR="00B40880" w:rsidRPr="00547DE8">
        <w:rPr>
          <w:rFonts w:ascii="Arial Narrow" w:hAnsi="Arial Narrow" w:cs="Arial"/>
          <w:sz w:val="16"/>
          <w:szCs w:val="16"/>
        </w:rPr>
        <w:t>en el presente caso solo procede el pago de la multa y el retorno al exterior de la mercancía, al tratarse de mercancía de ingreso prohibido al país</w:t>
      </w:r>
      <w:r w:rsidR="00F97C3C" w:rsidRPr="00547DE8">
        <w:rPr>
          <w:rFonts w:ascii="Arial Narrow" w:hAnsi="Arial Narrow" w:cs="Arial"/>
          <w:sz w:val="16"/>
          <w:szCs w:val="16"/>
        </w:rPr>
        <w:t xml:space="preserve"> (mercancía consistente en prendería y calzado de segundo uso).</w:t>
      </w:r>
    </w:p>
    <w:p w14:paraId="57ED7210" w14:textId="608FBCBF" w:rsidR="003456D2" w:rsidRPr="00547DE8" w:rsidRDefault="00B40880" w:rsidP="00547DE8">
      <w:pPr>
        <w:spacing w:after="40" w:line="0" w:lineRule="atLeast"/>
        <w:ind w:right="104"/>
        <w:jc w:val="both"/>
        <w:rPr>
          <w:rFonts w:ascii="Arial Narrow" w:hAnsi="Arial Narrow" w:cs="Arial"/>
          <w:sz w:val="16"/>
          <w:szCs w:val="16"/>
        </w:rPr>
      </w:pPr>
      <w:r w:rsidRPr="00547DE8">
        <w:rPr>
          <w:rFonts w:ascii="Arial Narrow" w:hAnsi="Arial Narrow" w:cs="Arial"/>
          <w:sz w:val="16"/>
          <w:szCs w:val="16"/>
        </w:rPr>
        <w:t>A</w:t>
      </w:r>
      <w:r w:rsidR="003456D2" w:rsidRPr="00547DE8">
        <w:rPr>
          <w:rFonts w:ascii="Arial Narrow" w:hAnsi="Arial Narrow" w:cs="Arial"/>
          <w:sz w:val="16"/>
          <w:szCs w:val="16"/>
        </w:rPr>
        <w:t xml:space="preserve"> fin de que pueda acceder a la recuperación de los bienes incautados deberá cancelar la multa descrita en el párrafo precedente, para lo cual se le informa que conforme al Informe de Aforo y Avalúo </w:t>
      </w:r>
      <w:proofErr w:type="spellStart"/>
      <w:r w:rsidR="003456D2" w:rsidRPr="00547DE8">
        <w:rPr>
          <w:rFonts w:ascii="Arial Narrow" w:hAnsi="Arial Narrow" w:cs="Arial"/>
          <w:sz w:val="16"/>
          <w:szCs w:val="16"/>
        </w:rPr>
        <w:t>N°</w:t>
      </w:r>
      <w:proofErr w:type="spellEnd"/>
      <w:r w:rsidR="003456D2" w:rsidRPr="00547DE8">
        <w:rPr>
          <w:rFonts w:ascii="Arial Narrow" w:hAnsi="Arial Narrow" w:cs="Arial"/>
          <w:sz w:val="16"/>
          <w:szCs w:val="16"/>
        </w:rPr>
        <w:t xml:space="preserve"> </w:t>
      </w:r>
      <w:r w:rsidR="00200A14" w:rsidRPr="00547DE8">
        <w:rPr>
          <w:rFonts w:ascii="Arial Narrow" w:hAnsi="Arial Narrow" w:cs="Arial"/>
          <w:sz w:val="16"/>
          <w:szCs w:val="16"/>
        </w:rPr>
        <w:t>001244</w:t>
      </w:r>
      <w:r w:rsidR="003456D2" w:rsidRPr="00547DE8">
        <w:rPr>
          <w:rFonts w:ascii="Arial Narrow" w:hAnsi="Arial Narrow" w:cs="Arial"/>
          <w:sz w:val="16"/>
          <w:szCs w:val="16"/>
        </w:rPr>
        <w:t>-202</w:t>
      </w:r>
      <w:r w:rsidR="00200A14" w:rsidRPr="00547DE8">
        <w:rPr>
          <w:rFonts w:ascii="Arial Narrow" w:hAnsi="Arial Narrow" w:cs="Arial"/>
          <w:sz w:val="16"/>
          <w:szCs w:val="16"/>
        </w:rPr>
        <w:t>3</w:t>
      </w:r>
      <w:r w:rsidR="003456D2" w:rsidRPr="00547DE8">
        <w:rPr>
          <w:rFonts w:ascii="Arial Narrow" w:hAnsi="Arial Narrow" w:cs="Arial"/>
          <w:sz w:val="16"/>
          <w:szCs w:val="16"/>
        </w:rPr>
        <w:t>-3G0800</w:t>
      </w:r>
      <w:r w:rsidR="00200A14" w:rsidRPr="00547DE8">
        <w:rPr>
          <w:rFonts w:ascii="Arial Narrow" w:hAnsi="Arial Narrow" w:cs="Arial"/>
          <w:sz w:val="16"/>
          <w:szCs w:val="16"/>
        </w:rPr>
        <w:t xml:space="preserve"> de fecha 03.09.2023</w:t>
      </w:r>
      <w:r w:rsidR="003456D2" w:rsidRPr="00547DE8">
        <w:rPr>
          <w:rFonts w:ascii="Arial Narrow" w:hAnsi="Arial Narrow" w:cs="Arial"/>
          <w:sz w:val="16"/>
          <w:szCs w:val="16"/>
        </w:rPr>
        <w:t xml:space="preserve">, mediante el cual se determina el valor en aduanas para la mercancía detallada en el Acta de Incautación de la referencia, la determinación del valor de la mercancía asciende a </w:t>
      </w:r>
      <w:r w:rsidR="00200A14" w:rsidRPr="00547DE8">
        <w:rPr>
          <w:rFonts w:ascii="Arial Narrow" w:hAnsi="Arial Narrow" w:cs="Arial"/>
          <w:sz w:val="16"/>
          <w:szCs w:val="16"/>
        </w:rPr>
        <w:t>seiscientos veinticuatro con 09/100</w:t>
      </w:r>
      <w:r w:rsidR="003456D2" w:rsidRPr="00547DE8">
        <w:rPr>
          <w:rFonts w:ascii="Arial Narrow" w:hAnsi="Arial Narrow" w:cs="Arial"/>
          <w:sz w:val="16"/>
          <w:szCs w:val="16"/>
        </w:rPr>
        <w:t xml:space="preserve"> dólares de los Estados Unidos de Norteamérica (US$ </w:t>
      </w:r>
      <w:r w:rsidR="00200A14" w:rsidRPr="00547DE8">
        <w:rPr>
          <w:rFonts w:ascii="Arial Narrow" w:hAnsi="Arial Narrow" w:cs="Arial"/>
          <w:sz w:val="16"/>
          <w:szCs w:val="16"/>
        </w:rPr>
        <w:t>624.09</w:t>
      </w:r>
      <w:r w:rsidR="003456D2" w:rsidRPr="00547DE8">
        <w:rPr>
          <w:rFonts w:ascii="Arial Narrow" w:hAnsi="Arial Narrow" w:cs="Arial"/>
          <w:sz w:val="16"/>
          <w:szCs w:val="16"/>
        </w:rPr>
        <w:t>), el mismo que sirve como base para el cálculo del monto de la multa, la cual debe ser cancelada en el plazo de treinta días hábiles computados a partir del día siguiente de recibida la presente.</w:t>
      </w:r>
    </w:p>
    <w:p w14:paraId="0DFCACBB" w14:textId="4FD58F03" w:rsidR="00B40880" w:rsidRPr="00547DE8" w:rsidRDefault="003456D2" w:rsidP="00547DE8">
      <w:pPr>
        <w:spacing w:after="40" w:line="0" w:lineRule="atLeast"/>
        <w:ind w:right="104"/>
        <w:jc w:val="both"/>
        <w:rPr>
          <w:rFonts w:ascii="Arial Narrow" w:hAnsi="Arial Narrow" w:cs="Arial"/>
          <w:sz w:val="16"/>
          <w:szCs w:val="16"/>
        </w:rPr>
      </w:pPr>
      <w:r w:rsidRPr="00547DE8">
        <w:rPr>
          <w:rFonts w:ascii="Arial Narrow" w:hAnsi="Arial Narrow" w:cs="Arial"/>
          <w:sz w:val="16"/>
          <w:szCs w:val="16"/>
        </w:rPr>
        <w:t>Para lo cual, deberá presentar su expediente a través de la Mesa de Partes Virtual o en cualquier dependencia de la SUNAT, solicitando la generación de autoliquidación, manifestando su voluntad de retornar la mercancía al exterior o nacionalizarla, a fin de emitir la Resolución respectiva, previo pago de la multa antes referida.</w:t>
      </w:r>
    </w:p>
    <w:p w14:paraId="5EAB8F97" w14:textId="2E9621A1" w:rsidR="00B40880" w:rsidRPr="00547DE8" w:rsidRDefault="00B40880" w:rsidP="00547DE8">
      <w:pPr>
        <w:spacing w:after="40" w:line="0" w:lineRule="atLeast"/>
        <w:ind w:right="104"/>
        <w:jc w:val="both"/>
        <w:rPr>
          <w:rFonts w:ascii="Arial Narrow" w:hAnsi="Arial Narrow" w:cs="Arial"/>
          <w:sz w:val="16"/>
          <w:szCs w:val="16"/>
        </w:rPr>
      </w:pPr>
    </w:p>
    <w:p w14:paraId="7973F524" w14:textId="5BC587DB" w:rsidR="000D78FC" w:rsidRPr="00547DE8" w:rsidRDefault="000D78FC" w:rsidP="00547DE8">
      <w:pPr>
        <w:spacing w:after="40" w:line="0" w:lineRule="atLeast"/>
        <w:ind w:right="104"/>
        <w:jc w:val="both"/>
        <w:rPr>
          <w:rFonts w:ascii="Arial Narrow" w:hAnsi="Arial Narrow" w:cs="Arial"/>
          <w:sz w:val="16"/>
          <w:szCs w:val="16"/>
        </w:rPr>
      </w:pPr>
    </w:p>
    <w:sectPr w:rsidR="000D78FC" w:rsidRPr="00547DE8" w:rsidSect="00547DE8">
      <w:headerReference w:type="even" r:id="rId8"/>
      <w:headerReference w:type="default" r:id="rId9"/>
      <w:footerReference w:type="default" r:id="rId10"/>
      <w:pgSz w:w="11907" w:h="16840" w:code="9"/>
      <w:pgMar w:top="170" w:right="3543" w:bottom="0" w:left="3828" w:header="135" w:footer="8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E469" w14:textId="77777777" w:rsidR="006D2367" w:rsidRDefault="006D2367">
      <w:r>
        <w:separator/>
      </w:r>
    </w:p>
  </w:endnote>
  <w:endnote w:type="continuationSeparator" w:id="0">
    <w:p w14:paraId="2A088354" w14:textId="77777777" w:rsidR="006D2367" w:rsidRDefault="006D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panose1 w:val="020B0604020202020204"/>
    <w:charset w:val="00"/>
    <w:family w:val="modern"/>
    <w:notTrueType/>
    <w:pitch w:val="variable"/>
    <w:sig w:usb0="A000002F" w:usb1="4000004A" w:usb2="00000000" w:usb3="00000000" w:csb0="00000111" w:csb1="00000000"/>
  </w:font>
  <w:font w:name="Antique Olive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BD41" w14:textId="77777777" w:rsidR="00B6392E" w:rsidRPr="003B6651" w:rsidRDefault="00A03C7E" w:rsidP="009B47B7">
    <w:pPr>
      <w:autoSpaceDE w:val="0"/>
      <w:autoSpaceDN w:val="0"/>
      <w:jc w:val="both"/>
      <w:rPr>
        <w:rFonts w:ascii="Arial" w:hAnsi="Arial" w:cs="Arial"/>
        <w:b/>
        <w:bCs/>
        <w:color w:val="000000"/>
        <w:sz w:val="14"/>
        <w:szCs w:val="14"/>
      </w:rPr>
    </w:pPr>
    <w:r w:rsidRPr="003B6651">
      <w:rPr>
        <w:rFonts w:ascii="Arial" w:hAnsi="Arial" w:cs="Arial"/>
        <w:b/>
        <w:bCs/>
        <w:color w:val="000000"/>
        <w:sz w:val="14"/>
        <w:szCs w:val="14"/>
      </w:rPr>
      <w:t xml:space="preserve"> </w:t>
    </w:r>
  </w:p>
  <w:p w14:paraId="754E6337" w14:textId="77777777" w:rsidR="00B6392E" w:rsidRPr="003B6651" w:rsidRDefault="00B6392E" w:rsidP="009B47B7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963D" w14:textId="77777777" w:rsidR="006D2367" w:rsidRDefault="006D2367">
      <w:r>
        <w:separator/>
      </w:r>
    </w:p>
  </w:footnote>
  <w:footnote w:type="continuationSeparator" w:id="0">
    <w:p w14:paraId="055F2118" w14:textId="77777777" w:rsidR="006D2367" w:rsidRDefault="006D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7B25" w14:textId="346625B9" w:rsidR="00FE646E" w:rsidRDefault="00FE646E">
    <w:pPr>
      <w:pStyle w:val="Encabezado"/>
    </w:pPr>
  </w:p>
  <w:p w14:paraId="4DC1F882" w14:textId="256765F3" w:rsidR="00FE646E" w:rsidRDefault="00FE646E">
    <w:pPr>
      <w:pStyle w:val="Encabezado"/>
    </w:pPr>
  </w:p>
  <w:p w14:paraId="0ABEE323" w14:textId="581C709B" w:rsidR="00FE646E" w:rsidRDefault="00FE646E">
    <w:pPr>
      <w:pStyle w:val="Encabezado"/>
    </w:pPr>
  </w:p>
  <w:p w14:paraId="5618E1AB" w14:textId="13964486" w:rsidR="00FE646E" w:rsidRDefault="00FE646E">
    <w:pPr>
      <w:pStyle w:val="Encabezado"/>
    </w:pPr>
  </w:p>
  <w:p w14:paraId="06CF95A3" w14:textId="64AC303B" w:rsidR="00FE646E" w:rsidRDefault="00FE64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1A4A" w14:textId="77777777" w:rsidR="00B6392E" w:rsidRDefault="00B6392E" w:rsidP="00F131A8">
    <w:pPr>
      <w:pStyle w:val="Ttulo3"/>
      <w:spacing w:before="0"/>
      <w:rPr>
        <w:rFonts w:ascii="Antique Olive" w:hAnsi="Antique Olive" w:cs="Arial"/>
        <w:b w:val="0"/>
        <w:color w:val="000000" w:themeColor="text1"/>
        <w:sz w:val="14"/>
        <w:szCs w:val="14"/>
      </w:rPr>
    </w:pPr>
  </w:p>
  <w:p w14:paraId="03673817" w14:textId="77777777" w:rsidR="00B6392E" w:rsidRDefault="00B6392E" w:rsidP="00F131A8">
    <w:pPr>
      <w:pStyle w:val="Ttulo3"/>
      <w:spacing w:before="0"/>
      <w:rPr>
        <w:rFonts w:ascii="Antique Olive" w:hAnsi="Antique Olive" w:cs="Arial"/>
        <w:b w:val="0"/>
        <w:color w:val="000000" w:themeColor="text1"/>
        <w:sz w:val="14"/>
        <w:szCs w:val="14"/>
      </w:rPr>
    </w:pPr>
  </w:p>
  <w:p w14:paraId="655A6F57" w14:textId="77777777" w:rsidR="00B6392E" w:rsidRPr="00F131A8" w:rsidRDefault="00A03C7E" w:rsidP="00FA45E5">
    <w:pPr>
      <w:jc w:val="both"/>
      <w:rPr>
        <w:rFonts w:ascii="Bahnschrift" w:hAnsi="Bahnschrift"/>
        <w:sz w:val="12"/>
        <w:szCs w:val="16"/>
      </w:rPr>
    </w:pPr>
    <w:r w:rsidRPr="00F131A8">
      <w:rPr>
        <w:rFonts w:ascii="Bahnschrift" w:hAnsi="Bahnschrift"/>
        <w:sz w:val="12"/>
        <w:szCs w:val="16"/>
      </w:rPr>
      <w:t xml:space="preserve">                                                   </w:t>
    </w:r>
  </w:p>
  <w:p w14:paraId="596E56BD" w14:textId="77777777" w:rsidR="00B6392E" w:rsidRPr="00F131A8" w:rsidRDefault="00A03C7E" w:rsidP="00FA45E5">
    <w:pPr>
      <w:jc w:val="both"/>
      <w:rPr>
        <w:rFonts w:ascii="Bahnschrift" w:hAnsi="Bahnschrift"/>
        <w:sz w:val="12"/>
        <w:szCs w:val="16"/>
      </w:rPr>
    </w:pPr>
    <w:r w:rsidRPr="00F131A8">
      <w:rPr>
        <w:rFonts w:ascii="Bahnschrift" w:hAnsi="Bahnschrift"/>
        <w:sz w:val="12"/>
        <w:szCs w:val="16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5D47"/>
    <w:multiLevelType w:val="hybridMultilevel"/>
    <w:tmpl w:val="7F06A3E4"/>
    <w:lvl w:ilvl="0" w:tplc="D2F803BA">
      <w:start w:val="1"/>
      <w:numFmt w:val="decimal"/>
      <w:lvlText w:val="%1."/>
      <w:lvlJc w:val="left"/>
      <w:pPr>
        <w:ind w:left="819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54F50761"/>
    <w:multiLevelType w:val="hybridMultilevel"/>
    <w:tmpl w:val="0DA00C64"/>
    <w:lvl w:ilvl="0" w:tplc="FB720E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3088"/>
    <w:multiLevelType w:val="hybridMultilevel"/>
    <w:tmpl w:val="A8C4EA1C"/>
    <w:lvl w:ilvl="0" w:tplc="E2069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59776">
    <w:abstractNumId w:val="1"/>
  </w:num>
  <w:num w:numId="2" w16cid:durableId="2014451828">
    <w:abstractNumId w:val="2"/>
  </w:num>
  <w:num w:numId="3" w16cid:durableId="150970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3B"/>
    <w:rsid w:val="000128F5"/>
    <w:rsid w:val="00036798"/>
    <w:rsid w:val="00077979"/>
    <w:rsid w:val="000B469F"/>
    <w:rsid w:val="000C06CD"/>
    <w:rsid w:val="000D0E64"/>
    <w:rsid w:val="000D38DD"/>
    <w:rsid w:val="000D78FC"/>
    <w:rsid w:val="00105256"/>
    <w:rsid w:val="001150CE"/>
    <w:rsid w:val="0014094F"/>
    <w:rsid w:val="001551C6"/>
    <w:rsid w:val="0019343D"/>
    <w:rsid w:val="00200A14"/>
    <w:rsid w:val="002B7318"/>
    <w:rsid w:val="002F0FE2"/>
    <w:rsid w:val="003215C1"/>
    <w:rsid w:val="003456D2"/>
    <w:rsid w:val="003B11D1"/>
    <w:rsid w:val="003E42D0"/>
    <w:rsid w:val="003F1D74"/>
    <w:rsid w:val="00414698"/>
    <w:rsid w:val="00472E09"/>
    <w:rsid w:val="00483648"/>
    <w:rsid w:val="00547DE8"/>
    <w:rsid w:val="005564FB"/>
    <w:rsid w:val="00576965"/>
    <w:rsid w:val="00651B75"/>
    <w:rsid w:val="00651BBC"/>
    <w:rsid w:val="00656033"/>
    <w:rsid w:val="006D2367"/>
    <w:rsid w:val="00790357"/>
    <w:rsid w:val="00790CAB"/>
    <w:rsid w:val="007A5660"/>
    <w:rsid w:val="00817025"/>
    <w:rsid w:val="00820F32"/>
    <w:rsid w:val="00863C14"/>
    <w:rsid w:val="008B0451"/>
    <w:rsid w:val="008D40F7"/>
    <w:rsid w:val="00910B2D"/>
    <w:rsid w:val="009433BA"/>
    <w:rsid w:val="00977C65"/>
    <w:rsid w:val="00A03C7E"/>
    <w:rsid w:val="00A62F1E"/>
    <w:rsid w:val="00A71BEC"/>
    <w:rsid w:val="00AA15D8"/>
    <w:rsid w:val="00AB0E82"/>
    <w:rsid w:val="00AC17D7"/>
    <w:rsid w:val="00AE236C"/>
    <w:rsid w:val="00B40880"/>
    <w:rsid w:val="00B6392E"/>
    <w:rsid w:val="00BE32B6"/>
    <w:rsid w:val="00C15ABB"/>
    <w:rsid w:val="00C30C7A"/>
    <w:rsid w:val="00CC413B"/>
    <w:rsid w:val="00D13433"/>
    <w:rsid w:val="00DD4454"/>
    <w:rsid w:val="00DE66EB"/>
    <w:rsid w:val="00E22AC5"/>
    <w:rsid w:val="00E359E3"/>
    <w:rsid w:val="00E53FF6"/>
    <w:rsid w:val="00EF71EC"/>
    <w:rsid w:val="00F72C0B"/>
    <w:rsid w:val="00F80256"/>
    <w:rsid w:val="00F855FC"/>
    <w:rsid w:val="00F97C3C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249C972"/>
  <w15:chartTrackingRefBased/>
  <w15:docId w15:val="{F4A3BD94-E01E-4491-B06D-75EEA2B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4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66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CC413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C41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1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C413B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66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2B73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90C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0C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90C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E64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64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215C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64ED-9327-4827-9C76-0B4CB09E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Guardia Rodriguez Fiorella Katherine</dc:creator>
  <cp:keywords/>
  <dc:description/>
  <cp:lastModifiedBy>Meniz Cieza Fernando Salvador</cp:lastModifiedBy>
  <cp:revision>4</cp:revision>
  <cp:lastPrinted>2024-04-18T20:31:00Z</cp:lastPrinted>
  <dcterms:created xsi:type="dcterms:W3CDTF">2024-04-18T20:31:00Z</dcterms:created>
  <dcterms:modified xsi:type="dcterms:W3CDTF">2024-04-18T20:47:00Z</dcterms:modified>
</cp:coreProperties>
</file>