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8A35A" w14:textId="2265AC95" w:rsidR="009C75E5" w:rsidRPr="009C75E5" w:rsidRDefault="009C75E5" w:rsidP="009C75E5">
      <w:pPr>
        <w:spacing w:after="0" w:line="240" w:lineRule="auto"/>
        <w:ind w:left="567" w:right="142"/>
        <w:contextualSpacing/>
        <w:jc w:val="center"/>
        <w:rPr>
          <w:rFonts w:ascii="Arial Narrow" w:hAnsi="Arial Narrow"/>
          <w:b/>
          <w:bCs/>
          <w:sz w:val="16"/>
          <w:szCs w:val="16"/>
        </w:rPr>
      </w:pPr>
      <w:r w:rsidRPr="009C75E5">
        <w:rPr>
          <w:rFonts w:ascii="Arial Narrow" w:hAnsi="Arial Narrow"/>
          <w:b/>
          <w:bCs/>
          <w:sz w:val="16"/>
          <w:szCs w:val="16"/>
        </w:rPr>
        <w:t>SUPERINTENDENCIA NACIONAL DE ADUANAS Y DE ADMINISTRACIÓN TRIBUTARIA</w:t>
      </w:r>
    </w:p>
    <w:p w14:paraId="7383248B" w14:textId="3A9B0AFB" w:rsidR="009C75E5" w:rsidRPr="009C75E5" w:rsidRDefault="009C75E5" w:rsidP="009C75E5">
      <w:pPr>
        <w:spacing w:after="0" w:line="240" w:lineRule="auto"/>
        <w:ind w:left="567" w:right="142"/>
        <w:contextualSpacing/>
        <w:jc w:val="center"/>
        <w:rPr>
          <w:rFonts w:ascii="Arial Narrow" w:hAnsi="Arial Narrow"/>
          <w:b/>
          <w:bCs/>
          <w:sz w:val="16"/>
          <w:szCs w:val="16"/>
        </w:rPr>
      </w:pPr>
      <w:r w:rsidRPr="009C75E5">
        <w:rPr>
          <w:rFonts w:ascii="Arial Narrow" w:hAnsi="Arial Narrow"/>
          <w:b/>
          <w:bCs/>
          <w:sz w:val="16"/>
          <w:szCs w:val="16"/>
        </w:rPr>
        <w:t>INTENDENCIA DE ADUANA DE TACNA</w:t>
      </w:r>
    </w:p>
    <w:p w14:paraId="3DB41550" w14:textId="77777777" w:rsidR="009C75E5" w:rsidRPr="009C75E5" w:rsidRDefault="009C75E5" w:rsidP="009C75E5">
      <w:pPr>
        <w:spacing w:after="0" w:line="240" w:lineRule="auto"/>
        <w:ind w:left="567" w:right="142"/>
        <w:jc w:val="center"/>
        <w:rPr>
          <w:rFonts w:ascii="Arial Narrow" w:hAnsi="Arial Narrow"/>
          <w:b/>
          <w:bCs/>
          <w:sz w:val="16"/>
          <w:szCs w:val="16"/>
        </w:rPr>
      </w:pPr>
      <w:r w:rsidRPr="009C75E5">
        <w:rPr>
          <w:rFonts w:ascii="Arial Narrow" w:hAnsi="Arial Narrow"/>
          <w:b/>
          <w:bCs/>
          <w:sz w:val="16"/>
          <w:szCs w:val="16"/>
        </w:rPr>
        <w:t>NOTIFICACIÓN ADMINISTRATIVA</w:t>
      </w:r>
    </w:p>
    <w:p w14:paraId="5B9D2AF6" w14:textId="7EB0B560" w:rsidR="009C75E5" w:rsidRDefault="00F31E86" w:rsidP="00F31E86">
      <w:pPr>
        <w:spacing w:after="0" w:line="240" w:lineRule="auto"/>
        <w:ind w:left="567" w:right="142"/>
        <w:contextualSpacing/>
        <w:jc w:val="center"/>
        <w:rPr>
          <w:rFonts w:ascii="Arial Narrow" w:hAnsi="Arial Narrow"/>
          <w:sz w:val="16"/>
          <w:szCs w:val="16"/>
        </w:rPr>
      </w:pPr>
      <w:r w:rsidRPr="00F31E86">
        <w:rPr>
          <w:rFonts w:ascii="Arial Narrow" w:hAnsi="Arial Narrow"/>
          <w:sz w:val="16"/>
          <w:szCs w:val="16"/>
        </w:rPr>
        <w:t xml:space="preserve">(Publicado en el Boletín del Diario Oficial El Peruano el </w:t>
      </w:r>
      <w:r w:rsidR="003D3AED">
        <w:rPr>
          <w:rFonts w:ascii="Arial Narrow" w:hAnsi="Arial Narrow"/>
          <w:sz w:val="16"/>
          <w:szCs w:val="16"/>
        </w:rPr>
        <w:t>30</w:t>
      </w:r>
      <w:r w:rsidRPr="00F31E86">
        <w:rPr>
          <w:rFonts w:ascii="Arial Narrow" w:hAnsi="Arial Narrow"/>
          <w:sz w:val="16"/>
          <w:szCs w:val="16"/>
        </w:rPr>
        <w:t>.07.2024)</w:t>
      </w:r>
    </w:p>
    <w:p w14:paraId="49A5B046" w14:textId="091DE9C0" w:rsidR="00C04873" w:rsidRDefault="00226D30" w:rsidP="009C75E5">
      <w:pPr>
        <w:spacing w:after="0" w:line="240" w:lineRule="auto"/>
        <w:ind w:left="567" w:right="142"/>
        <w:contextualSpacing/>
        <w:jc w:val="both"/>
        <w:rPr>
          <w:rFonts w:ascii="Arial Narrow" w:hAnsi="Arial Narrow"/>
          <w:sz w:val="16"/>
          <w:szCs w:val="16"/>
        </w:rPr>
      </w:pPr>
      <w:r w:rsidRPr="00906D6C">
        <w:rPr>
          <w:rFonts w:ascii="Arial Narrow" w:hAnsi="Arial Narrow"/>
          <w:sz w:val="16"/>
          <w:szCs w:val="16"/>
        </w:rPr>
        <w:t xml:space="preserve">A la persona natural y/o jurídica </w:t>
      </w:r>
      <w:r w:rsidR="00FC5BA6" w:rsidRPr="00906D6C">
        <w:rPr>
          <w:rFonts w:ascii="Arial Narrow" w:hAnsi="Arial Narrow"/>
          <w:sz w:val="16"/>
          <w:szCs w:val="16"/>
        </w:rPr>
        <w:t>que no ha</w:t>
      </w:r>
      <w:r w:rsidRPr="00906D6C">
        <w:rPr>
          <w:rFonts w:ascii="Arial Narrow" w:hAnsi="Arial Narrow"/>
          <w:sz w:val="16"/>
          <w:szCs w:val="16"/>
        </w:rPr>
        <w:t xml:space="preserve"> podido ser</w:t>
      </w:r>
      <w:r w:rsidR="00FC5BA6" w:rsidRPr="00906D6C">
        <w:rPr>
          <w:rFonts w:ascii="Arial Narrow" w:hAnsi="Arial Narrow"/>
          <w:sz w:val="16"/>
          <w:szCs w:val="16"/>
        </w:rPr>
        <w:t xml:space="preserve"> notificado conforme a lo dispuesto en el inciso a) del artículo 104º del Texto Único Ordenado del Código Tributario, aprobado por el Decreto Supremo Nº 133-2013-EF, por MOTIVO IMPUTABLE al deudor tributario y/o infractor y/o interesado por lo que, en aplicación de lo dispuesto en el inciso e) del mismo artículo, se les notifica por la presente publicación.</w:t>
      </w:r>
    </w:p>
    <w:p w14:paraId="697E1580" w14:textId="77777777" w:rsidR="0022635E" w:rsidRPr="00906D6C" w:rsidRDefault="0022635E" w:rsidP="009C75E5">
      <w:pPr>
        <w:spacing w:after="0" w:line="240" w:lineRule="auto"/>
        <w:ind w:left="567" w:right="142"/>
        <w:contextualSpacing/>
        <w:jc w:val="both"/>
        <w:rPr>
          <w:rFonts w:ascii="Arial Narrow" w:hAnsi="Arial Narrow"/>
          <w:sz w:val="16"/>
          <w:szCs w:val="16"/>
        </w:rPr>
      </w:pPr>
    </w:p>
    <w:tbl>
      <w:tblPr>
        <w:tblStyle w:val="Tablaconcuadrculaclara"/>
        <w:tblW w:w="8432" w:type="dxa"/>
        <w:tblInd w:w="562" w:type="dxa"/>
        <w:tblLayout w:type="fixed"/>
        <w:tblLook w:val="04A0" w:firstRow="1" w:lastRow="0" w:firstColumn="1" w:lastColumn="0" w:noHBand="0" w:noVBand="1"/>
      </w:tblPr>
      <w:tblGrid>
        <w:gridCol w:w="1380"/>
        <w:gridCol w:w="1533"/>
        <w:gridCol w:w="1226"/>
        <w:gridCol w:w="1379"/>
        <w:gridCol w:w="2914"/>
      </w:tblGrid>
      <w:tr w:rsidR="009C75E5" w:rsidRPr="00906D6C" w14:paraId="00E966FA" w14:textId="77777777" w:rsidTr="009C75E5">
        <w:trPr>
          <w:trHeight w:val="20"/>
        </w:trPr>
        <w:tc>
          <w:tcPr>
            <w:tcW w:w="1380" w:type="dxa"/>
            <w:vAlign w:val="center"/>
            <w:hideMark/>
          </w:tcPr>
          <w:p w14:paraId="1080AEDF" w14:textId="65598901" w:rsidR="000C385F" w:rsidRPr="005D0BEA" w:rsidRDefault="005D0BEA" w:rsidP="009C75E5">
            <w:pPr>
              <w:spacing w:after="0" w:line="240" w:lineRule="auto"/>
              <w:ind w:right="142"/>
              <w:jc w:val="center"/>
              <w:rPr>
                <w:rFonts w:ascii="Arial Narrow" w:eastAsia="Times New Roman" w:hAnsi="Arial Narrow" w:cstheme="minorHAnsi"/>
                <w:color w:val="000000"/>
                <w:sz w:val="14"/>
                <w:szCs w:val="14"/>
                <w:lang w:eastAsia="es-PE"/>
              </w:rPr>
            </w:pPr>
            <w:r w:rsidRPr="005D0BEA">
              <w:rPr>
                <w:rFonts w:ascii="Arial Narrow" w:eastAsia="Times New Roman" w:hAnsi="Arial Narrow" w:cstheme="minorHAnsi"/>
                <w:color w:val="000000"/>
                <w:sz w:val="14"/>
                <w:szCs w:val="14"/>
                <w:lang w:eastAsia="es-PE"/>
              </w:rPr>
              <w:t>USUARIO</w:t>
            </w:r>
          </w:p>
        </w:tc>
        <w:tc>
          <w:tcPr>
            <w:tcW w:w="1533" w:type="dxa"/>
            <w:vAlign w:val="center"/>
            <w:hideMark/>
          </w:tcPr>
          <w:p w14:paraId="33C15B88" w14:textId="445B0A9C" w:rsidR="000C385F" w:rsidRPr="005D0BEA" w:rsidRDefault="005D0BEA" w:rsidP="009C75E5">
            <w:pPr>
              <w:spacing w:after="0" w:line="240" w:lineRule="auto"/>
              <w:ind w:right="142"/>
              <w:jc w:val="center"/>
              <w:rPr>
                <w:rFonts w:ascii="Arial Narrow" w:eastAsia="Times New Roman" w:hAnsi="Arial Narrow" w:cstheme="minorHAnsi"/>
                <w:color w:val="000000"/>
                <w:sz w:val="14"/>
                <w:szCs w:val="14"/>
                <w:lang w:eastAsia="es-PE"/>
              </w:rPr>
            </w:pPr>
            <w:r w:rsidRPr="005D0BEA">
              <w:rPr>
                <w:rFonts w:ascii="Arial Narrow" w:eastAsia="Times New Roman" w:hAnsi="Arial Narrow" w:cstheme="minorHAnsi"/>
                <w:color w:val="000000"/>
                <w:sz w:val="14"/>
                <w:szCs w:val="14"/>
                <w:lang w:eastAsia="es-PE"/>
              </w:rPr>
              <w:t>DOCUMENTO NACIONAL DE IDENTIDAD</w:t>
            </w:r>
          </w:p>
        </w:tc>
        <w:tc>
          <w:tcPr>
            <w:tcW w:w="1226" w:type="dxa"/>
            <w:vAlign w:val="center"/>
            <w:hideMark/>
          </w:tcPr>
          <w:p w14:paraId="1801FD1B" w14:textId="4A65BDA3" w:rsidR="000C385F" w:rsidRPr="005D0BEA" w:rsidRDefault="005D0BEA" w:rsidP="009C75E5">
            <w:pPr>
              <w:spacing w:after="0" w:line="240" w:lineRule="auto"/>
              <w:ind w:right="142"/>
              <w:jc w:val="center"/>
              <w:rPr>
                <w:rFonts w:ascii="Arial Narrow" w:eastAsia="Times New Roman" w:hAnsi="Arial Narrow" w:cstheme="minorHAnsi"/>
                <w:color w:val="000000"/>
                <w:sz w:val="14"/>
                <w:szCs w:val="14"/>
                <w:lang w:eastAsia="es-PE"/>
              </w:rPr>
            </w:pPr>
            <w:r w:rsidRPr="005D0BEA">
              <w:rPr>
                <w:rFonts w:ascii="Arial Narrow" w:eastAsia="Times New Roman" w:hAnsi="Arial Narrow" w:cstheme="minorHAnsi"/>
                <w:color w:val="000000"/>
                <w:sz w:val="14"/>
                <w:szCs w:val="14"/>
                <w:lang w:eastAsia="es-PE"/>
              </w:rPr>
              <w:t>EXPEDIENTE DE DEVOLUCIÓN</w:t>
            </w:r>
          </w:p>
        </w:tc>
        <w:tc>
          <w:tcPr>
            <w:tcW w:w="1379" w:type="dxa"/>
            <w:vAlign w:val="center"/>
            <w:hideMark/>
          </w:tcPr>
          <w:p w14:paraId="1F57A870" w14:textId="7834669E" w:rsidR="000C385F" w:rsidRPr="005D0BEA" w:rsidRDefault="005D0BEA" w:rsidP="009C75E5">
            <w:pPr>
              <w:spacing w:after="0" w:line="240" w:lineRule="auto"/>
              <w:ind w:right="142"/>
              <w:jc w:val="center"/>
              <w:rPr>
                <w:rFonts w:ascii="Arial Narrow" w:eastAsia="Times New Roman" w:hAnsi="Arial Narrow" w:cstheme="minorHAnsi"/>
                <w:color w:val="000000"/>
                <w:sz w:val="14"/>
                <w:szCs w:val="14"/>
                <w:lang w:eastAsia="es-PE"/>
              </w:rPr>
            </w:pPr>
            <w:r w:rsidRPr="005D0BEA">
              <w:rPr>
                <w:rFonts w:ascii="Arial Narrow" w:eastAsia="Times New Roman" w:hAnsi="Arial Narrow" w:cstheme="minorHAnsi"/>
                <w:color w:val="000000"/>
                <w:sz w:val="14"/>
                <w:szCs w:val="14"/>
                <w:lang w:eastAsia="es-PE"/>
              </w:rPr>
              <w:t>ACTA DE INCAUTACIÓN</w:t>
            </w:r>
          </w:p>
        </w:tc>
        <w:tc>
          <w:tcPr>
            <w:tcW w:w="2914" w:type="dxa"/>
            <w:vAlign w:val="center"/>
            <w:hideMark/>
          </w:tcPr>
          <w:p w14:paraId="00E589F0" w14:textId="77777777" w:rsidR="000C385F" w:rsidRPr="005D0BEA" w:rsidRDefault="000C385F" w:rsidP="009C75E5">
            <w:pPr>
              <w:spacing w:after="0" w:line="240" w:lineRule="auto"/>
              <w:ind w:right="142"/>
              <w:jc w:val="center"/>
              <w:rPr>
                <w:rFonts w:ascii="Arial Narrow" w:eastAsia="Times New Roman" w:hAnsi="Arial Narrow" w:cstheme="minorHAnsi"/>
                <w:color w:val="000000"/>
                <w:sz w:val="14"/>
                <w:szCs w:val="14"/>
                <w:lang w:eastAsia="es-PE"/>
              </w:rPr>
            </w:pPr>
            <w:r w:rsidRPr="005D0BEA">
              <w:rPr>
                <w:rFonts w:ascii="Arial Narrow" w:eastAsia="Times New Roman" w:hAnsi="Arial Narrow" w:cstheme="minorHAnsi"/>
                <w:color w:val="000000"/>
                <w:sz w:val="14"/>
                <w:szCs w:val="14"/>
                <w:lang w:eastAsia="es-PE"/>
              </w:rPr>
              <w:t>OBSERVACIONES</w:t>
            </w:r>
          </w:p>
        </w:tc>
      </w:tr>
      <w:tr w:rsidR="009C75E5" w:rsidRPr="00906D6C" w14:paraId="0DBC2120" w14:textId="77777777" w:rsidTr="009C75E5">
        <w:trPr>
          <w:trHeight w:val="5631"/>
        </w:trPr>
        <w:tc>
          <w:tcPr>
            <w:tcW w:w="1380" w:type="dxa"/>
            <w:vAlign w:val="center"/>
            <w:hideMark/>
          </w:tcPr>
          <w:p w14:paraId="15202D70" w14:textId="78C3BD45" w:rsidR="000C385F" w:rsidRPr="005D0BEA" w:rsidRDefault="005D0BEA" w:rsidP="009C75E5">
            <w:pPr>
              <w:spacing w:after="0" w:line="240" w:lineRule="auto"/>
              <w:ind w:right="142"/>
              <w:rPr>
                <w:rFonts w:ascii="Arial Narrow" w:eastAsia="Times New Roman" w:hAnsi="Arial Narrow" w:cstheme="minorHAnsi"/>
                <w:color w:val="000000"/>
                <w:sz w:val="14"/>
                <w:szCs w:val="14"/>
                <w:lang w:eastAsia="es-PE"/>
              </w:rPr>
            </w:pPr>
            <w:r w:rsidRPr="005D0BEA">
              <w:rPr>
                <w:rFonts w:ascii="Arial Narrow" w:eastAsia="Times New Roman" w:hAnsi="Arial Narrow" w:cstheme="minorHAnsi"/>
                <w:color w:val="000000"/>
                <w:sz w:val="14"/>
                <w:szCs w:val="14"/>
                <w:lang w:eastAsia="es-PE"/>
              </w:rPr>
              <w:t>CONSUELO AHUANARI PACAYA</w:t>
            </w:r>
          </w:p>
        </w:tc>
        <w:tc>
          <w:tcPr>
            <w:tcW w:w="1533" w:type="dxa"/>
            <w:vAlign w:val="center"/>
            <w:hideMark/>
          </w:tcPr>
          <w:p w14:paraId="0E7BCB89" w14:textId="63BA8C30" w:rsidR="000C385F" w:rsidRPr="005D0BEA" w:rsidRDefault="005D0BEA" w:rsidP="009C75E5">
            <w:pPr>
              <w:spacing w:after="0" w:line="240" w:lineRule="auto"/>
              <w:ind w:right="142"/>
              <w:rPr>
                <w:rFonts w:ascii="Arial Narrow" w:eastAsia="Times New Roman" w:hAnsi="Arial Narrow" w:cstheme="minorHAnsi"/>
                <w:color w:val="000000"/>
                <w:sz w:val="14"/>
                <w:szCs w:val="14"/>
                <w:lang w:eastAsia="es-PE"/>
              </w:rPr>
            </w:pPr>
            <w:r w:rsidRPr="005D0BEA">
              <w:rPr>
                <w:rFonts w:ascii="Arial Narrow" w:eastAsia="Times New Roman" w:hAnsi="Arial Narrow" w:cstheme="minorHAnsi"/>
                <w:color w:val="000000"/>
                <w:sz w:val="14"/>
                <w:szCs w:val="14"/>
                <w:lang w:eastAsia="es-PE"/>
              </w:rPr>
              <w:t>N° 00047516</w:t>
            </w:r>
          </w:p>
        </w:tc>
        <w:tc>
          <w:tcPr>
            <w:tcW w:w="1226" w:type="dxa"/>
            <w:vAlign w:val="center"/>
            <w:hideMark/>
          </w:tcPr>
          <w:p w14:paraId="607FF6E4" w14:textId="62F97781" w:rsidR="000C385F" w:rsidRPr="005D0BEA" w:rsidRDefault="000C385F" w:rsidP="009C75E5">
            <w:pPr>
              <w:spacing w:after="0" w:line="240" w:lineRule="auto"/>
              <w:ind w:right="142"/>
              <w:rPr>
                <w:rFonts w:ascii="Arial Narrow" w:eastAsia="Times New Roman" w:hAnsi="Arial Narrow" w:cstheme="minorHAnsi"/>
                <w:color w:val="000000"/>
                <w:sz w:val="14"/>
                <w:szCs w:val="14"/>
                <w:lang w:eastAsia="es-PE"/>
              </w:rPr>
            </w:pPr>
            <w:r w:rsidRPr="005D0BEA">
              <w:rPr>
                <w:rFonts w:ascii="Arial Narrow" w:eastAsia="Times New Roman" w:hAnsi="Arial Narrow" w:cstheme="minorHAnsi"/>
                <w:color w:val="000000"/>
                <w:sz w:val="14"/>
                <w:szCs w:val="14"/>
                <w:lang w:eastAsia="es-PE"/>
              </w:rPr>
              <w:t xml:space="preserve">N° </w:t>
            </w:r>
            <w:r w:rsidR="005D0BEA" w:rsidRPr="005D0BEA">
              <w:rPr>
                <w:rFonts w:ascii="Arial Narrow" w:eastAsia="Times New Roman" w:hAnsi="Arial Narrow" w:cstheme="minorHAnsi"/>
                <w:color w:val="000000"/>
                <w:sz w:val="14"/>
                <w:szCs w:val="14"/>
                <w:lang w:eastAsia="es-PE"/>
              </w:rPr>
              <w:t>172-URD119-2024-474565 de fecha 21.5.2024</w:t>
            </w:r>
          </w:p>
        </w:tc>
        <w:tc>
          <w:tcPr>
            <w:tcW w:w="1379" w:type="dxa"/>
            <w:vAlign w:val="center"/>
            <w:hideMark/>
          </w:tcPr>
          <w:p w14:paraId="282F82E3" w14:textId="49CC9F96" w:rsidR="000C385F" w:rsidRPr="005D0BEA" w:rsidRDefault="005D0BEA" w:rsidP="009C75E5">
            <w:pPr>
              <w:spacing w:after="0" w:line="240" w:lineRule="auto"/>
              <w:ind w:right="142"/>
              <w:rPr>
                <w:rFonts w:ascii="Arial Narrow" w:eastAsia="Times New Roman" w:hAnsi="Arial Narrow" w:cstheme="minorHAnsi"/>
                <w:color w:val="000000"/>
                <w:sz w:val="14"/>
                <w:szCs w:val="14"/>
                <w:lang w:eastAsia="es-PE"/>
              </w:rPr>
            </w:pPr>
            <w:r w:rsidRPr="005D0BEA">
              <w:rPr>
                <w:rFonts w:ascii="Arial Narrow" w:eastAsia="Times New Roman" w:hAnsi="Arial Narrow" w:cstheme="minorHAnsi"/>
                <w:color w:val="000000"/>
                <w:sz w:val="14"/>
                <w:szCs w:val="14"/>
                <w:lang w:eastAsia="es-PE"/>
              </w:rPr>
              <w:t>N° 172-0202-2024-000268 de fecha 17.4.2024</w:t>
            </w:r>
          </w:p>
        </w:tc>
        <w:tc>
          <w:tcPr>
            <w:tcW w:w="2914" w:type="dxa"/>
            <w:vAlign w:val="center"/>
            <w:hideMark/>
          </w:tcPr>
          <w:p w14:paraId="511E8B41" w14:textId="77777777" w:rsidR="009C75E5" w:rsidRDefault="005D0BEA" w:rsidP="009C75E5">
            <w:pPr>
              <w:autoSpaceDE w:val="0"/>
              <w:adjustRightInd w:val="0"/>
              <w:spacing w:after="0" w:line="240" w:lineRule="auto"/>
              <w:ind w:right="142"/>
              <w:jc w:val="both"/>
              <w:rPr>
                <w:rFonts w:ascii="Arial" w:hAnsi="Arial" w:cs="Arial"/>
                <w:sz w:val="13"/>
                <w:szCs w:val="13"/>
              </w:rPr>
            </w:pPr>
            <w:r w:rsidRPr="005D0BEA">
              <w:rPr>
                <w:rFonts w:ascii="Arial" w:hAnsi="Arial" w:cs="Arial"/>
                <w:sz w:val="13"/>
                <w:szCs w:val="13"/>
              </w:rPr>
              <w:t>Que mediante Expediente N° 172-URD119-2024-474565 de fecha 21.5.2024, fue presentado por Ud. la Solicitud de Devolución de Mercancías, vinculado al Acta de Incautación N° 172-0202-2024-000268 de fecha 17.4.2024.</w:t>
            </w:r>
          </w:p>
          <w:p w14:paraId="1F2A9F8A" w14:textId="0934FEC5" w:rsidR="005D0BEA" w:rsidRPr="005D0BEA" w:rsidRDefault="005D0BEA" w:rsidP="009C75E5">
            <w:pPr>
              <w:autoSpaceDE w:val="0"/>
              <w:adjustRightInd w:val="0"/>
              <w:spacing w:after="0" w:line="240" w:lineRule="auto"/>
              <w:ind w:right="142"/>
              <w:jc w:val="both"/>
              <w:rPr>
                <w:rFonts w:ascii="Arial" w:hAnsi="Arial" w:cs="Arial"/>
                <w:sz w:val="13"/>
                <w:szCs w:val="13"/>
              </w:rPr>
            </w:pPr>
            <w:r w:rsidRPr="005D0BEA">
              <w:rPr>
                <w:rFonts w:ascii="Arial" w:hAnsi="Arial" w:cs="Arial"/>
                <w:sz w:val="13"/>
                <w:szCs w:val="13"/>
              </w:rPr>
              <w:t xml:space="preserve">En ese sentido, se le requiere presentar documentos que amparen su pretensión, como comprobantes de pago de adquisición o declaraciones aduaneras de mercancías, según corresponda, para la verificación del cumplimiento de las formalidades aduaneras y tributarias de ingreso al país de la mercancía, el cual es un requisito de admisibilidad señalado en el literal h numeral 2 literal D Sección VII del Procedimiento Específico CONTROL-PE.00.01: Inmovilización – Incautación y Determinación Legal de Mercancías (Versión 8).   </w:t>
            </w:r>
          </w:p>
          <w:p w14:paraId="2CA3B240" w14:textId="51C83C1A" w:rsidR="005D0BEA" w:rsidRPr="005D0BEA" w:rsidRDefault="005D0BEA" w:rsidP="009C75E5">
            <w:pPr>
              <w:autoSpaceDE w:val="0"/>
              <w:adjustRightInd w:val="0"/>
              <w:spacing w:after="0" w:line="240" w:lineRule="auto"/>
              <w:ind w:right="142"/>
              <w:jc w:val="both"/>
              <w:rPr>
                <w:rFonts w:ascii="Arial" w:hAnsi="Arial" w:cs="Arial"/>
                <w:sz w:val="13"/>
                <w:szCs w:val="13"/>
              </w:rPr>
            </w:pPr>
            <w:r w:rsidRPr="005D0BEA">
              <w:rPr>
                <w:rFonts w:ascii="Arial" w:hAnsi="Arial" w:cs="Arial"/>
                <w:sz w:val="13"/>
                <w:szCs w:val="13"/>
              </w:rPr>
              <w:t>Que, en el Expediente presentado por Ud., se consigna como domicilio procesal el ubicado en Jr. Francia 954 La Victoria Lima; siendo así, la Resolución de Superintendencia N° 253-2012/SUNAT del 31.10.2012, establece que la Administración notificará en el domicilio procesal fijado en el procedimiento contencioso siempre que el mismo se encuentre ubicado dentro del radio urbano que corresponda en la dependencia de la SUNAT encargada, en este caso la Intendencia de Aduana de Tacna; en ese sentido, al encontrarse el domicilio procesal fijado fuera del radio urbano de la Intendencia de Aduana de Tacna se procederá a notificar a su Buzón Electrónico SOL o al Domicilio Fiscal</w:t>
            </w:r>
            <w:r>
              <w:rPr>
                <w:rFonts w:ascii="Arial" w:hAnsi="Arial" w:cs="Arial"/>
                <w:sz w:val="13"/>
                <w:szCs w:val="13"/>
              </w:rPr>
              <w:t xml:space="preserve"> o por Publicación</w:t>
            </w:r>
            <w:r w:rsidRPr="005D0BEA">
              <w:rPr>
                <w:rFonts w:ascii="Arial" w:hAnsi="Arial" w:cs="Arial"/>
                <w:sz w:val="13"/>
                <w:szCs w:val="13"/>
              </w:rPr>
              <w:t xml:space="preserve"> de corresponder, con las formalidades del artículo 104° del Texto Único Texto Único Ordenado del Código Tributario – Decreto Legislativo N° 133-2013-EF y modificatorias.</w:t>
            </w:r>
          </w:p>
          <w:p w14:paraId="316BAE57" w14:textId="0D5FCE66" w:rsidR="005D0BEA" w:rsidRPr="005D0BEA" w:rsidRDefault="005D0BEA" w:rsidP="009C75E5">
            <w:pPr>
              <w:autoSpaceDE w:val="0"/>
              <w:adjustRightInd w:val="0"/>
              <w:spacing w:after="0" w:line="240" w:lineRule="auto"/>
              <w:ind w:right="142"/>
              <w:jc w:val="both"/>
              <w:rPr>
                <w:rFonts w:ascii="Arial" w:hAnsi="Arial" w:cs="Arial"/>
                <w:sz w:val="13"/>
                <w:szCs w:val="13"/>
              </w:rPr>
            </w:pPr>
            <w:r w:rsidRPr="005D0BEA">
              <w:rPr>
                <w:rFonts w:ascii="Arial" w:hAnsi="Arial" w:cs="Arial"/>
                <w:sz w:val="13"/>
                <w:szCs w:val="13"/>
              </w:rPr>
              <w:t>Para tal efecto, se le otorga el plazo de (03) días hábiles, a fin de que cumpla el requerimiento efectuado, el cual se computará a partir del día siguiente de recibida la presente notificación, bajo apercibimiento de declararse inadmisible y aplicársele las sanciones que corresponden, conforme lo señalado en el Rubro VII Literal D) numeral 6 del Procedimiento Específico de Inmovilización - Incautación y Determinación Legal de Mercancías CONTROL-PE.00.01 (Versión 8).</w:t>
            </w:r>
          </w:p>
          <w:p w14:paraId="41BD142F" w14:textId="5FB47848" w:rsidR="000C385F" w:rsidRPr="00906D6C" w:rsidRDefault="000C385F" w:rsidP="009C75E5">
            <w:pPr>
              <w:spacing w:after="0" w:line="240" w:lineRule="auto"/>
              <w:ind w:left="567" w:right="142"/>
              <w:jc w:val="both"/>
              <w:rPr>
                <w:rFonts w:ascii="Arial Narrow" w:eastAsia="Times New Roman" w:hAnsi="Arial Narrow" w:cstheme="minorHAnsi"/>
                <w:color w:val="000000"/>
                <w:sz w:val="16"/>
                <w:szCs w:val="16"/>
                <w:lang w:eastAsia="es-PE"/>
              </w:rPr>
            </w:pPr>
          </w:p>
        </w:tc>
      </w:tr>
    </w:tbl>
    <w:p w14:paraId="1AB28738" w14:textId="77777777" w:rsidR="0022635E" w:rsidRDefault="0022635E" w:rsidP="009C75E5">
      <w:pPr>
        <w:spacing w:after="0" w:line="240" w:lineRule="auto"/>
        <w:ind w:left="567" w:right="142"/>
        <w:contextualSpacing/>
        <w:jc w:val="both"/>
        <w:rPr>
          <w:rFonts w:ascii="Arial Narrow" w:hAnsi="Arial Narrow"/>
          <w:sz w:val="16"/>
          <w:szCs w:val="16"/>
        </w:rPr>
      </w:pPr>
    </w:p>
    <w:p w14:paraId="0FE2E64B" w14:textId="77777777" w:rsidR="0022635E" w:rsidRDefault="0022635E" w:rsidP="009C75E5">
      <w:pPr>
        <w:spacing w:after="0" w:line="240" w:lineRule="auto"/>
        <w:ind w:left="567" w:right="142"/>
        <w:contextualSpacing/>
        <w:jc w:val="both"/>
        <w:rPr>
          <w:rFonts w:ascii="Arial Narrow" w:hAnsi="Arial Narrow"/>
          <w:sz w:val="16"/>
          <w:szCs w:val="16"/>
        </w:rPr>
      </w:pPr>
    </w:p>
    <w:p w14:paraId="2367F24C" w14:textId="0EA97BBA" w:rsidR="00FC5BA6" w:rsidRPr="00906D6C" w:rsidRDefault="00B16901" w:rsidP="009C75E5">
      <w:pPr>
        <w:spacing w:after="0" w:line="240" w:lineRule="auto"/>
        <w:ind w:left="567" w:right="142"/>
        <w:contextualSpacing/>
        <w:jc w:val="both"/>
        <w:rPr>
          <w:rFonts w:ascii="Arial Narrow" w:hAnsi="Arial Narrow"/>
          <w:sz w:val="16"/>
          <w:szCs w:val="16"/>
        </w:rPr>
      </w:pPr>
      <w:r w:rsidRPr="00906D6C">
        <w:rPr>
          <w:rFonts w:ascii="Arial Narrow" w:hAnsi="Arial Narrow"/>
          <w:sz w:val="16"/>
          <w:szCs w:val="16"/>
        </w:rPr>
        <w:t>L</w:t>
      </w:r>
      <w:r w:rsidR="00DC46E8" w:rsidRPr="00906D6C">
        <w:rPr>
          <w:rFonts w:ascii="Arial Narrow" w:hAnsi="Arial Narrow"/>
          <w:sz w:val="16"/>
          <w:szCs w:val="16"/>
        </w:rPr>
        <w:t xml:space="preserve">a persona natural y/o jurídica con legítimo interés, </w:t>
      </w:r>
      <w:r w:rsidR="00FC5BA6" w:rsidRPr="00906D6C">
        <w:rPr>
          <w:rFonts w:ascii="Arial Narrow" w:hAnsi="Arial Narrow"/>
          <w:sz w:val="16"/>
          <w:szCs w:val="16"/>
        </w:rPr>
        <w:t>podrá apersonarse a la Intendencia de Aduana Tacna ubicada en Parque Industrial, Mz. A, Lt. 5 y 6 – Pocollay -Tacna o autorizar a una tercera persona a recabar sus documentos, en caso de ser persona natural, autorización firmada por el titular y fotocopia del documento de identidad; en caso de ser persona jurídica, carta de autorización del representante legal con sello de la empresa y fotocopia de la ficha RUC de la misma. La presente aparece publicada en el Diario Oficial El Peruano y en la P</w:t>
      </w:r>
      <w:r w:rsidR="00AF7B31" w:rsidRPr="00906D6C">
        <w:rPr>
          <w:rFonts w:ascii="Arial Narrow" w:hAnsi="Arial Narrow"/>
          <w:sz w:val="16"/>
          <w:szCs w:val="16"/>
        </w:rPr>
        <w:t>Á</w:t>
      </w:r>
      <w:r w:rsidR="00FC5BA6" w:rsidRPr="00906D6C">
        <w:rPr>
          <w:rFonts w:ascii="Arial Narrow" w:hAnsi="Arial Narrow"/>
          <w:sz w:val="16"/>
          <w:szCs w:val="16"/>
        </w:rPr>
        <w:t>GINA WEB de SUNAT.</w:t>
      </w:r>
      <w:r w:rsidR="00C04873" w:rsidRPr="00906D6C">
        <w:rPr>
          <w:rFonts w:ascii="Arial Narrow" w:hAnsi="Arial Narrow"/>
          <w:sz w:val="16"/>
          <w:szCs w:val="16"/>
        </w:rPr>
        <w:t xml:space="preserve"> </w:t>
      </w:r>
    </w:p>
    <w:p w14:paraId="2B67E3A6" w14:textId="77777777" w:rsidR="00DC46E8" w:rsidRPr="00906D6C" w:rsidRDefault="00DC46E8" w:rsidP="009C75E5">
      <w:pPr>
        <w:spacing w:after="0" w:line="240" w:lineRule="auto"/>
        <w:ind w:left="567" w:right="142"/>
        <w:contextualSpacing/>
        <w:jc w:val="both"/>
        <w:rPr>
          <w:rFonts w:ascii="Arial Narrow" w:hAnsi="Arial Narrow"/>
          <w:sz w:val="16"/>
          <w:szCs w:val="16"/>
        </w:rPr>
      </w:pPr>
    </w:p>
    <w:sectPr w:rsidR="00DC46E8" w:rsidRPr="00906D6C" w:rsidSect="009C75E5">
      <w:pgSz w:w="11900" w:h="16840"/>
      <w:pgMar w:top="1417" w:right="1977" w:bottom="138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1F788" w14:textId="77777777" w:rsidR="005B261B" w:rsidRDefault="005B261B" w:rsidP="005D0BEA">
      <w:pPr>
        <w:spacing w:after="0" w:line="240" w:lineRule="auto"/>
      </w:pPr>
      <w:r>
        <w:separator/>
      </w:r>
    </w:p>
  </w:endnote>
  <w:endnote w:type="continuationSeparator" w:id="0">
    <w:p w14:paraId="5CD5CF1D" w14:textId="77777777" w:rsidR="005B261B" w:rsidRDefault="005B261B" w:rsidP="005D0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1385" w14:textId="77777777" w:rsidR="005B261B" w:rsidRDefault="005B261B" w:rsidP="005D0BEA">
      <w:pPr>
        <w:spacing w:after="0" w:line="240" w:lineRule="auto"/>
      </w:pPr>
      <w:r>
        <w:separator/>
      </w:r>
    </w:p>
  </w:footnote>
  <w:footnote w:type="continuationSeparator" w:id="0">
    <w:p w14:paraId="243201BA" w14:textId="77777777" w:rsidR="005B261B" w:rsidRDefault="005B261B" w:rsidP="005D0B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896"/>
    <w:rsid w:val="00001360"/>
    <w:rsid w:val="00007858"/>
    <w:rsid w:val="00035F3C"/>
    <w:rsid w:val="00045E3F"/>
    <w:rsid w:val="00046204"/>
    <w:rsid w:val="00061551"/>
    <w:rsid w:val="000647C4"/>
    <w:rsid w:val="0008339B"/>
    <w:rsid w:val="00093C12"/>
    <w:rsid w:val="000A37D3"/>
    <w:rsid w:val="000C385F"/>
    <w:rsid w:val="000D77EE"/>
    <w:rsid w:val="00116A47"/>
    <w:rsid w:val="001223D4"/>
    <w:rsid w:val="00126DCA"/>
    <w:rsid w:val="00140222"/>
    <w:rsid w:val="0014406B"/>
    <w:rsid w:val="0014647D"/>
    <w:rsid w:val="001506A3"/>
    <w:rsid w:val="0017363B"/>
    <w:rsid w:val="00191645"/>
    <w:rsid w:val="001B778E"/>
    <w:rsid w:val="001D1AF6"/>
    <w:rsid w:val="001D42BA"/>
    <w:rsid w:val="001E5896"/>
    <w:rsid w:val="001F10D6"/>
    <w:rsid w:val="0022635E"/>
    <w:rsid w:val="00226D30"/>
    <w:rsid w:val="00252B0A"/>
    <w:rsid w:val="002812E3"/>
    <w:rsid w:val="00297A16"/>
    <w:rsid w:val="002A1481"/>
    <w:rsid w:val="002D0EB7"/>
    <w:rsid w:val="002D7E9E"/>
    <w:rsid w:val="002E257B"/>
    <w:rsid w:val="00306866"/>
    <w:rsid w:val="0032183F"/>
    <w:rsid w:val="0032262E"/>
    <w:rsid w:val="00322A68"/>
    <w:rsid w:val="00325E50"/>
    <w:rsid w:val="003347DD"/>
    <w:rsid w:val="003377DE"/>
    <w:rsid w:val="00345CC2"/>
    <w:rsid w:val="003866FB"/>
    <w:rsid w:val="003D3AED"/>
    <w:rsid w:val="003E4BD0"/>
    <w:rsid w:val="004000FC"/>
    <w:rsid w:val="0040114A"/>
    <w:rsid w:val="00420855"/>
    <w:rsid w:val="004656DD"/>
    <w:rsid w:val="00486E0F"/>
    <w:rsid w:val="004A6106"/>
    <w:rsid w:val="004C7C2A"/>
    <w:rsid w:val="004D1D71"/>
    <w:rsid w:val="004D60A1"/>
    <w:rsid w:val="004E7BBF"/>
    <w:rsid w:val="004F79A3"/>
    <w:rsid w:val="005240D8"/>
    <w:rsid w:val="00570E3D"/>
    <w:rsid w:val="00574D0A"/>
    <w:rsid w:val="005B261B"/>
    <w:rsid w:val="005B6C33"/>
    <w:rsid w:val="005D0BEA"/>
    <w:rsid w:val="005D3BA0"/>
    <w:rsid w:val="005E69EB"/>
    <w:rsid w:val="005F0B9E"/>
    <w:rsid w:val="00602125"/>
    <w:rsid w:val="00617B6E"/>
    <w:rsid w:val="00617ECB"/>
    <w:rsid w:val="0062462F"/>
    <w:rsid w:val="006320A2"/>
    <w:rsid w:val="0064161B"/>
    <w:rsid w:val="006555EA"/>
    <w:rsid w:val="006936EE"/>
    <w:rsid w:val="00697E9E"/>
    <w:rsid w:val="006B6122"/>
    <w:rsid w:val="006B7F2A"/>
    <w:rsid w:val="00775C31"/>
    <w:rsid w:val="007A5634"/>
    <w:rsid w:val="007A68BD"/>
    <w:rsid w:val="007C66CC"/>
    <w:rsid w:val="007D4115"/>
    <w:rsid w:val="00816DEE"/>
    <w:rsid w:val="00820244"/>
    <w:rsid w:val="00827871"/>
    <w:rsid w:val="00843C8A"/>
    <w:rsid w:val="00884ACC"/>
    <w:rsid w:val="008D7DA8"/>
    <w:rsid w:val="008E65B7"/>
    <w:rsid w:val="009068ED"/>
    <w:rsid w:val="00906D6C"/>
    <w:rsid w:val="009423DD"/>
    <w:rsid w:val="009544A3"/>
    <w:rsid w:val="00964C45"/>
    <w:rsid w:val="009675FD"/>
    <w:rsid w:val="009A394D"/>
    <w:rsid w:val="009A582D"/>
    <w:rsid w:val="009A67E0"/>
    <w:rsid w:val="009C75E5"/>
    <w:rsid w:val="009E2DF1"/>
    <w:rsid w:val="009E757C"/>
    <w:rsid w:val="00A3142B"/>
    <w:rsid w:val="00A42D4A"/>
    <w:rsid w:val="00A63223"/>
    <w:rsid w:val="00A656BC"/>
    <w:rsid w:val="00A67F8A"/>
    <w:rsid w:val="00A805E2"/>
    <w:rsid w:val="00A91836"/>
    <w:rsid w:val="00A9446E"/>
    <w:rsid w:val="00AB4D64"/>
    <w:rsid w:val="00AC0F89"/>
    <w:rsid w:val="00AC51AE"/>
    <w:rsid w:val="00AF012B"/>
    <w:rsid w:val="00AF19E2"/>
    <w:rsid w:val="00AF7B31"/>
    <w:rsid w:val="00B16901"/>
    <w:rsid w:val="00B21B49"/>
    <w:rsid w:val="00B21D66"/>
    <w:rsid w:val="00BA0177"/>
    <w:rsid w:val="00BC1196"/>
    <w:rsid w:val="00BC1705"/>
    <w:rsid w:val="00BD502E"/>
    <w:rsid w:val="00BD5C6B"/>
    <w:rsid w:val="00C04873"/>
    <w:rsid w:val="00C13430"/>
    <w:rsid w:val="00C2181F"/>
    <w:rsid w:val="00C259CF"/>
    <w:rsid w:val="00C30950"/>
    <w:rsid w:val="00C43D24"/>
    <w:rsid w:val="00C83363"/>
    <w:rsid w:val="00C95A94"/>
    <w:rsid w:val="00CA5976"/>
    <w:rsid w:val="00CC1941"/>
    <w:rsid w:val="00CE66F3"/>
    <w:rsid w:val="00CF38C2"/>
    <w:rsid w:val="00CF7089"/>
    <w:rsid w:val="00D01D20"/>
    <w:rsid w:val="00D404FE"/>
    <w:rsid w:val="00D4503D"/>
    <w:rsid w:val="00D51385"/>
    <w:rsid w:val="00D57648"/>
    <w:rsid w:val="00D910BB"/>
    <w:rsid w:val="00DA540B"/>
    <w:rsid w:val="00DB34D9"/>
    <w:rsid w:val="00DC46E8"/>
    <w:rsid w:val="00DD4BB9"/>
    <w:rsid w:val="00DD5A8D"/>
    <w:rsid w:val="00DE6A64"/>
    <w:rsid w:val="00DE748E"/>
    <w:rsid w:val="00E0447A"/>
    <w:rsid w:val="00E3034F"/>
    <w:rsid w:val="00E65064"/>
    <w:rsid w:val="00E7513A"/>
    <w:rsid w:val="00E80550"/>
    <w:rsid w:val="00E82469"/>
    <w:rsid w:val="00E843E5"/>
    <w:rsid w:val="00E869F9"/>
    <w:rsid w:val="00E96C41"/>
    <w:rsid w:val="00EA7EA0"/>
    <w:rsid w:val="00EB3B66"/>
    <w:rsid w:val="00EB5E09"/>
    <w:rsid w:val="00EC033C"/>
    <w:rsid w:val="00ED73FB"/>
    <w:rsid w:val="00F11143"/>
    <w:rsid w:val="00F20F51"/>
    <w:rsid w:val="00F21D7A"/>
    <w:rsid w:val="00F31E86"/>
    <w:rsid w:val="00F35838"/>
    <w:rsid w:val="00F505C1"/>
    <w:rsid w:val="00F557C8"/>
    <w:rsid w:val="00F823AD"/>
    <w:rsid w:val="00F8434F"/>
    <w:rsid w:val="00F94073"/>
    <w:rsid w:val="00FB60F4"/>
    <w:rsid w:val="00FC53E8"/>
    <w:rsid w:val="00FC5BA6"/>
    <w:rsid w:val="00FE4D96"/>
    <w:rsid w:val="00FE652C"/>
    <w:rsid w:val="00FF4470"/>
    <w:rsid w:val="00FF50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F179"/>
  <w15:docId w15:val="{BEF1D995-AE3A-441D-9865-D7B8C9D2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89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1E5896"/>
    <w:pPr>
      <w:spacing w:before="100" w:beforeAutospacing="1" w:after="100" w:afterAutospacing="1" w:line="240" w:lineRule="auto"/>
    </w:pPr>
    <w:rPr>
      <w:rFonts w:eastAsia="Times New Roman" w:cs="Calibri"/>
      <w:sz w:val="24"/>
      <w:szCs w:val="24"/>
      <w:lang w:eastAsia="es-PE"/>
    </w:rPr>
  </w:style>
  <w:style w:type="paragraph" w:styleId="Textodeglobo">
    <w:name w:val="Balloon Text"/>
    <w:basedOn w:val="Normal"/>
    <w:link w:val="TextodegloboCar"/>
    <w:uiPriority w:val="99"/>
    <w:semiHidden/>
    <w:unhideWhenUsed/>
    <w:rsid w:val="001464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647D"/>
    <w:rPr>
      <w:rFonts w:ascii="Tahoma" w:hAnsi="Tahoma" w:cs="Tahoma"/>
      <w:sz w:val="16"/>
      <w:szCs w:val="16"/>
    </w:rPr>
  </w:style>
  <w:style w:type="paragraph" w:styleId="Textoindependiente">
    <w:name w:val="Body Text"/>
    <w:basedOn w:val="Normal"/>
    <w:link w:val="TextoindependienteCar"/>
    <w:uiPriority w:val="99"/>
    <w:semiHidden/>
    <w:unhideWhenUsed/>
    <w:rsid w:val="003866FB"/>
    <w:pPr>
      <w:spacing w:after="0" w:line="240" w:lineRule="auto"/>
      <w:jc w:val="both"/>
    </w:pPr>
    <w:rPr>
      <w:rFonts w:ascii="Arial" w:eastAsia="Times New Roman" w:hAnsi="Arial" w:cs="Arial"/>
      <w:sz w:val="16"/>
      <w:szCs w:val="16"/>
      <w:lang w:val="es-MX" w:eastAsia="es-ES"/>
    </w:rPr>
  </w:style>
  <w:style w:type="character" w:customStyle="1" w:styleId="TextoindependienteCar">
    <w:name w:val="Texto independiente Car"/>
    <w:basedOn w:val="Fuentedeprrafopredeter"/>
    <w:link w:val="Textoindependiente"/>
    <w:uiPriority w:val="99"/>
    <w:semiHidden/>
    <w:rsid w:val="003866FB"/>
    <w:rPr>
      <w:rFonts w:ascii="Arial" w:eastAsia="Times New Roman" w:hAnsi="Arial" w:cs="Arial"/>
      <w:sz w:val="16"/>
      <w:szCs w:val="16"/>
      <w:lang w:val="es-MX" w:eastAsia="es-ES"/>
    </w:rPr>
  </w:style>
  <w:style w:type="paragraph" w:styleId="Textoindependiente2">
    <w:name w:val="Body Text 2"/>
    <w:basedOn w:val="Normal"/>
    <w:link w:val="Textoindependiente2Car"/>
    <w:uiPriority w:val="99"/>
    <w:unhideWhenUsed/>
    <w:rsid w:val="003866FB"/>
    <w:pPr>
      <w:spacing w:after="0" w:line="240" w:lineRule="auto"/>
      <w:jc w:val="both"/>
    </w:pPr>
    <w:rPr>
      <w:rFonts w:ascii="Arial" w:eastAsia="Times New Roman" w:hAnsi="Arial" w:cs="Arial"/>
      <w:sz w:val="18"/>
      <w:szCs w:val="18"/>
    </w:rPr>
  </w:style>
  <w:style w:type="character" w:customStyle="1" w:styleId="Textoindependiente2Car">
    <w:name w:val="Texto independiente 2 Car"/>
    <w:basedOn w:val="Fuentedeprrafopredeter"/>
    <w:link w:val="Textoindependiente2"/>
    <w:uiPriority w:val="99"/>
    <w:rsid w:val="003866FB"/>
    <w:rPr>
      <w:rFonts w:ascii="Arial" w:eastAsia="Times New Roman" w:hAnsi="Arial" w:cs="Arial"/>
      <w:sz w:val="18"/>
      <w:szCs w:val="18"/>
    </w:rPr>
  </w:style>
  <w:style w:type="character" w:customStyle="1" w:styleId="ft2">
    <w:name w:val="ft2"/>
    <w:basedOn w:val="Fuentedeprrafopredeter"/>
    <w:rsid w:val="00DD4BB9"/>
  </w:style>
  <w:style w:type="paragraph" w:customStyle="1" w:styleId="Sinespaciado1">
    <w:name w:val="Sin espaciado1"/>
    <w:rsid w:val="00EB5E09"/>
    <w:rPr>
      <w:rFonts w:eastAsia="Times New Roman"/>
      <w:sz w:val="22"/>
      <w:szCs w:val="22"/>
      <w:lang w:eastAsia="en-US"/>
    </w:rPr>
  </w:style>
  <w:style w:type="paragraph" w:styleId="Prrafodelista">
    <w:name w:val="List Paragraph"/>
    <w:basedOn w:val="Normal"/>
    <w:uiPriority w:val="34"/>
    <w:qFormat/>
    <w:rsid w:val="002D7E9E"/>
    <w:pPr>
      <w:ind w:left="720"/>
      <w:contextualSpacing/>
    </w:pPr>
  </w:style>
  <w:style w:type="character" w:styleId="Hipervnculo">
    <w:name w:val="Hyperlink"/>
    <w:basedOn w:val="Fuentedeprrafopredeter"/>
    <w:uiPriority w:val="99"/>
    <w:unhideWhenUsed/>
    <w:rsid w:val="009423DD"/>
    <w:rPr>
      <w:color w:val="0000FF" w:themeColor="hyperlink"/>
      <w:u w:val="single"/>
    </w:rPr>
  </w:style>
  <w:style w:type="table" w:styleId="Tablaconcuadrculaclara">
    <w:name w:val="Grid Table Light"/>
    <w:basedOn w:val="Tablanormal"/>
    <w:uiPriority w:val="40"/>
    <w:rsid w:val="00906D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semiHidden/>
    <w:unhideWhenUsed/>
    <w:rsid w:val="005D0BEA"/>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semiHidden/>
    <w:rsid w:val="005D0BEA"/>
    <w:rPr>
      <w:rFonts w:ascii="Times New Roman" w:eastAsia="Times New Roman" w:hAnsi="Times New Roman"/>
      <w:lang w:val="es-ES" w:eastAsia="es-ES"/>
    </w:rPr>
  </w:style>
  <w:style w:type="character" w:styleId="Refdenotaalpie">
    <w:name w:val="footnote reference"/>
    <w:basedOn w:val="Fuentedeprrafopredeter"/>
    <w:semiHidden/>
    <w:unhideWhenUsed/>
    <w:rsid w:val="005D0BEA"/>
    <w:rPr>
      <w:vertAlign w:val="superscript"/>
    </w:rPr>
  </w:style>
  <w:style w:type="paragraph" w:customStyle="1" w:styleId="auto-style31">
    <w:name w:val="auto-style31"/>
    <w:basedOn w:val="Normal"/>
    <w:rsid w:val="005D0BEA"/>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36">
    <w:name w:val="auto-style36"/>
    <w:basedOn w:val="Normal"/>
    <w:rsid w:val="005D0BEA"/>
    <w:pPr>
      <w:spacing w:before="100" w:beforeAutospacing="1" w:after="100" w:afterAutospacing="1" w:line="240" w:lineRule="auto"/>
    </w:pPr>
    <w:rPr>
      <w:rFonts w:ascii="Times New Roman" w:eastAsia="Times New Roman" w:hAnsi="Times New Roman"/>
      <w:sz w:val="24"/>
      <w:szCs w:val="24"/>
      <w:lang w:eastAsia="es-PE"/>
    </w:rPr>
  </w:style>
  <w:style w:type="paragraph" w:styleId="Sangradetextonormal">
    <w:name w:val="Body Text Indent"/>
    <w:basedOn w:val="Normal"/>
    <w:link w:val="SangradetextonormalCar"/>
    <w:uiPriority w:val="99"/>
    <w:unhideWhenUsed/>
    <w:rsid w:val="005D0BE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5D0BEA"/>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6630">
      <w:bodyDiv w:val="1"/>
      <w:marLeft w:val="0"/>
      <w:marRight w:val="0"/>
      <w:marTop w:val="0"/>
      <w:marBottom w:val="0"/>
      <w:divBdr>
        <w:top w:val="none" w:sz="0" w:space="0" w:color="auto"/>
        <w:left w:val="none" w:sz="0" w:space="0" w:color="auto"/>
        <w:bottom w:val="none" w:sz="0" w:space="0" w:color="auto"/>
        <w:right w:val="none" w:sz="0" w:space="0" w:color="auto"/>
      </w:divBdr>
    </w:div>
    <w:div w:id="653491032">
      <w:bodyDiv w:val="1"/>
      <w:marLeft w:val="0"/>
      <w:marRight w:val="0"/>
      <w:marTop w:val="0"/>
      <w:marBottom w:val="0"/>
      <w:divBdr>
        <w:top w:val="none" w:sz="0" w:space="0" w:color="auto"/>
        <w:left w:val="none" w:sz="0" w:space="0" w:color="auto"/>
        <w:bottom w:val="none" w:sz="0" w:space="0" w:color="auto"/>
        <w:right w:val="none" w:sz="0" w:space="0" w:color="auto"/>
      </w:divBdr>
      <w:divsChild>
        <w:div w:id="796219765">
          <w:marLeft w:val="0"/>
          <w:marRight w:val="0"/>
          <w:marTop w:val="0"/>
          <w:marBottom w:val="0"/>
          <w:divBdr>
            <w:top w:val="none" w:sz="0" w:space="0" w:color="auto"/>
            <w:left w:val="none" w:sz="0" w:space="0" w:color="auto"/>
            <w:bottom w:val="none" w:sz="0" w:space="0" w:color="auto"/>
            <w:right w:val="none" w:sz="0" w:space="0" w:color="auto"/>
          </w:divBdr>
        </w:div>
      </w:divsChild>
    </w:div>
    <w:div w:id="679430774">
      <w:bodyDiv w:val="1"/>
      <w:marLeft w:val="0"/>
      <w:marRight w:val="0"/>
      <w:marTop w:val="0"/>
      <w:marBottom w:val="0"/>
      <w:divBdr>
        <w:top w:val="none" w:sz="0" w:space="0" w:color="auto"/>
        <w:left w:val="none" w:sz="0" w:space="0" w:color="auto"/>
        <w:bottom w:val="none" w:sz="0" w:space="0" w:color="auto"/>
        <w:right w:val="none" w:sz="0" w:space="0" w:color="auto"/>
      </w:divBdr>
    </w:div>
    <w:div w:id="1381587487">
      <w:bodyDiv w:val="1"/>
      <w:marLeft w:val="0"/>
      <w:marRight w:val="0"/>
      <w:marTop w:val="0"/>
      <w:marBottom w:val="0"/>
      <w:divBdr>
        <w:top w:val="none" w:sz="0" w:space="0" w:color="auto"/>
        <w:left w:val="none" w:sz="0" w:space="0" w:color="auto"/>
        <w:bottom w:val="none" w:sz="0" w:space="0" w:color="auto"/>
        <w:right w:val="none" w:sz="0" w:space="0" w:color="auto"/>
      </w:divBdr>
      <w:divsChild>
        <w:div w:id="1892382140">
          <w:marLeft w:val="0"/>
          <w:marRight w:val="0"/>
          <w:marTop w:val="0"/>
          <w:marBottom w:val="0"/>
          <w:divBdr>
            <w:top w:val="none" w:sz="0" w:space="0" w:color="auto"/>
            <w:left w:val="none" w:sz="0" w:space="0" w:color="auto"/>
            <w:bottom w:val="none" w:sz="0" w:space="0" w:color="auto"/>
            <w:right w:val="none" w:sz="0" w:space="0" w:color="auto"/>
          </w:divBdr>
          <w:divsChild>
            <w:div w:id="713038019">
              <w:marLeft w:val="0"/>
              <w:marRight w:val="0"/>
              <w:marTop w:val="0"/>
              <w:marBottom w:val="0"/>
              <w:divBdr>
                <w:top w:val="none" w:sz="0" w:space="0" w:color="auto"/>
                <w:left w:val="none" w:sz="0" w:space="0" w:color="auto"/>
                <w:bottom w:val="none" w:sz="0" w:space="0" w:color="auto"/>
                <w:right w:val="none" w:sz="0" w:space="0" w:color="auto"/>
              </w:divBdr>
            </w:div>
            <w:div w:id="866404710">
              <w:marLeft w:val="0"/>
              <w:marRight w:val="0"/>
              <w:marTop w:val="0"/>
              <w:marBottom w:val="0"/>
              <w:divBdr>
                <w:top w:val="none" w:sz="0" w:space="0" w:color="auto"/>
                <w:left w:val="none" w:sz="0" w:space="0" w:color="auto"/>
                <w:bottom w:val="none" w:sz="0" w:space="0" w:color="auto"/>
                <w:right w:val="none" w:sz="0" w:space="0" w:color="auto"/>
              </w:divBdr>
            </w:div>
            <w:div w:id="941498291">
              <w:marLeft w:val="0"/>
              <w:marRight w:val="0"/>
              <w:marTop w:val="0"/>
              <w:marBottom w:val="0"/>
              <w:divBdr>
                <w:top w:val="none" w:sz="0" w:space="0" w:color="auto"/>
                <w:left w:val="none" w:sz="0" w:space="0" w:color="auto"/>
                <w:bottom w:val="none" w:sz="0" w:space="0" w:color="auto"/>
                <w:right w:val="none" w:sz="0" w:space="0" w:color="auto"/>
              </w:divBdr>
            </w:div>
            <w:div w:id="20660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68506-5BE8-4765-9374-F6A5B030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prueba</dc:creator>
  <cp:lastModifiedBy>Vasquez Andia Grizely</cp:lastModifiedBy>
  <cp:revision>3</cp:revision>
  <cp:lastPrinted>2018-04-13T16:45:00Z</cp:lastPrinted>
  <dcterms:created xsi:type="dcterms:W3CDTF">2024-07-25T19:40:00Z</dcterms:created>
  <dcterms:modified xsi:type="dcterms:W3CDTF">2024-07-25T20:51:00Z</dcterms:modified>
</cp:coreProperties>
</file>