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A1AD" w14:textId="7554811B" w:rsidR="00D961D2" w:rsidRPr="00D961D2" w:rsidRDefault="00D961D2" w:rsidP="00D961D2">
      <w:pPr>
        <w:spacing w:after="0" w:line="240" w:lineRule="auto"/>
        <w:jc w:val="center"/>
        <w:rPr>
          <w:rFonts w:ascii="Arial Narrow" w:hAnsi="Arial Narrow"/>
          <w:b/>
          <w:bCs/>
          <w:sz w:val="16"/>
          <w:szCs w:val="16"/>
        </w:rPr>
      </w:pPr>
      <w:r w:rsidRPr="00D961D2">
        <w:rPr>
          <w:rFonts w:ascii="Arial Narrow" w:hAnsi="Arial Narrow"/>
          <w:b/>
          <w:bCs/>
          <w:sz w:val="16"/>
          <w:szCs w:val="16"/>
        </w:rPr>
        <w:t>SUPERINTENDENCIA NACIONAL DE ADUANAS Y DE ADMINISTRACION TRIBUTARIA</w:t>
      </w:r>
    </w:p>
    <w:p w14:paraId="06EF76F8" w14:textId="53EC4B8C" w:rsidR="00D961D2" w:rsidRPr="00D961D2" w:rsidRDefault="00D961D2" w:rsidP="00D961D2">
      <w:pPr>
        <w:spacing w:after="0" w:line="240" w:lineRule="auto"/>
        <w:jc w:val="center"/>
        <w:rPr>
          <w:rFonts w:ascii="Arial Narrow" w:hAnsi="Arial Narrow"/>
          <w:b/>
          <w:bCs/>
          <w:sz w:val="16"/>
          <w:szCs w:val="16"/>
        </w:rPr>
      </w:pPr>
      <w:r w:rsidRPr="00D961D2">
        <w:rPr>
          <w:rFonts w:ascii="Arial Narrow" w:hAnsi="Arial Narrow"/>
          <w:b/>
          <w:bCs/>
          <w:sz w:val="16"/>
          <w:szCs w:val="16"/>
        </w:rPr>
        <w:t>INTENDENCIA DE ADUANA DE TACNA</w:t>
      </w:r>
    </w:p>
    <w:p w14:paraId="28AE4788" w14:textId="09E86F4E" w:rsidR="00D961D2" w:rsidRDefault="00D961D2" w:rsidP="00D961D2">
      <w:pPr>
        <w:spacing w:after="0" w:line="240" w:lineRule="auto"/>
        <w:jc w:val="center"/>
        <w:rPr>
          <w:rFonts w:ascii="Arial Narrow" w:hAnsi="Arial Narrow"/>
          <w:b/>
          <w:bCs/>
          <w:sz w:val="16"/>
          <w:szCs w:val="16"/>
        </w:rPr>
      </w:pPr>
      <w:r w:rsidRPr="00D961D2">
        <w:rPr>
          <w:rFonts w:ascii="Arial Narrow" w:hAnsi="Arial Narrow"/>
          <w:b/>
          <w:bCs/>
          <w:sz w:val="16"/>
          <w:szCs w:val="16"/>
        </w:rPr>
        <w:t>NOTIFICACIÓN ADMINISTRATIVA</w:t>
      </w:r>
    </w:p>
    <w:p w14:paraId="3502ADD2" w14:textId="02863772" w:rsidR="001A5B81" w:rsidRPr="001A5B81" w:rsidRDefault="001A5B81" w:rsidP="00D961D2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 w:rsidRPr="001A5B81">
        <w:rPr>
          <w:rFonts w:ascii="Arial Narrow" w:hAnsi="Arial Narrow"/>
          <w:sz w:val="16"/>
          <w:szCs w:val="16"/>
        </w:rPr>
        <w:t xml:space="preserve">(Publicado en el Boletín del Diario Oficial El Peruano el </w:t>
      </w:r>
      <w:r w:rsidR="00B03CBD">
        <w:rPr>
          <w:rFonts w:ascii="Arial Narrow" w:hAnsi="Arial Narrow"/>
          <w:sz w:val="16"/>
          <w:szCs w:val="16"/>
        </w:rPr>
        <w:t>30</w:t>
      </w:r>
      <w:r w:rsidRPr="001A5B81">
        <w:rPr>
          <w:rFonts w:ascii="Arial Narrow" w:hAnsi="Arial Narrow"/>
          <w:sz w:val="16"/>
          <w:szCs w:val="16"/>
        </w:rPr>
        <w:t>.07.2024)</w:t>
      </w:r>
    </w:p>
    <w:p w14:paraId="3E063E86" w14:textId="2BB3B833" w:rsidR="009263D2" w:rsidRPr="00D961D2" w:rsidRDefault="00BF660F" w:rsidP="006C54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D961D2">
        <w:rPr>
          <w:rFonts w:ascii="Arial Narrow" w:hAnsi="Arial Narrow"/>
          <w:sz w:val="16"/>
          <w:szCs w:val="16"/>
        </w:rPr>
        <w:t>D</w:t>
      </w:r>
      <w:r w:rsidR="00107F95" w:rsidRPr="00D961D2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D961D2">
        <w:rPr>
          <w:rFonts w:ascii="Arial Narrow" w:hAnsi="Arial Narrow"/>
          <w:sz w:val="16"/>
          <w:szCs w:val="16"/>
        </w:rPr>
        <w:t>artículo</w:t>
      </w:r>
      <w:r w:rsidR="00107F95" w:rsidRPr="00D961D2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D961D2">
        <w:rPr>
          <w:rFonts w:ascii="Arial Narrow" w:hAnsi="Arial Narrow"/>
          <w:sz w:val="16"/>
          <w:szCs w:val="16"/>
        </w:rPr>
        <w:t>s</w:t>
      </w:r>
      <w:r w:rsidR="00107F95" w:rsidRPr="00D961D2">
        <w:rPr>
          <w:rFonts w:ascii="Arial Narrow" w:hAnsi="Arial Narrow"/>
          <w:sz w:val="16"/>
          <w:szCs w:val="16"/>
        </w:rPr>
        <w:t xml:space="preserve"> modificatoria</w:t>
      </w:r>
      <w:r w:rsidR="009263D2" w:rsidRPr="00D961D2">
        <w:rPr>
          <w:rFonts w:ascii="Arial Narrow" w:hAnsi="Arial Narrow"/>
          <w:sz w:val="16"/>
          <w:szCs w:val="16"/>
        </w:rPr>
        <w:t>s</w:t>
      </w:r>
      <w:r w:rsidR="00107F95" w:rsidRPr="00D961D2">
        <w:rPr>
          <w:rFonts w:ascii="Arial Narrow" w:hAnsi="Arial Narrow"/>
          <w:sz w:val="16"/>
          <w:szCs w:val="16"/>
        </w:rPr>
        <w:t xml:space="preserve">, </w:t>
      </w:r>
      <w:r w:rsidR="00923EFA" w:rsidRPr="00D961D2">
        <w:rPr>
          <w:rFonts w:ascii="Arial Narrow" w:hAnsi="Arial Narrow"/>
          <w:sz w:val="16"/>
          <w:szCs w:val="16"/>
        </w:rPr>
        <w:t>Ley de</w:t>
      </w:r>
      <w:r w:rsidR="009263D2" w:rsidRPr="00D961D2">
        <w:rPr>
          <w:rFonts w:ascii="Arial Narrow" w:hAnsi="Arial Narrow"/>
          <w:sz w:val="16"/>
          <w:szCs w:val="16"/>
        </w:rPr>
        <w:t>l</w:t>
      </w:r>
      <w:r w:rsidR="00923EFA" w:rsidRPr="00D961D2">
        <w:rPr>
          <w:rFonts w:ascii="Arial Narrow" w:hAnsi="Arial Narrow"/>
          <w:sz w:val="16"/>
          <w:szCs w:val="16"/>
        </w:rPr>
        <w:t xml:space="preserve"> Procedimiento</w:t>
      </w:r>
      <w:r w:rsidR="00DD5293" w:rsidRPr="00D961D2">
        <w:rPr>
          <w:rFonts w:ascii="Arial Narrow" w:hAnsi="Arial Narrow"/>
          <w:sz w:val="16"/>
          <w:szCs w:val="16"/>
        </w:rPr>
        <w:t xml:space="preserve"> Administrativo</w:t>
      </w:r>
      <w:r w:rsidR="009263D2" w:rsidRPr="00D961D2">
        <w:rPr>
          <w:rFonts w:ascii="Arial Narrow" w:hAnsi="Arial Narrow"/>
          <w:sz w:val="16"/>
          <w:szCs w:val="16"/>
        </w:rPr>
        <w:t xml:space="preserve"> </w:t>
      </w:r>
      <w:r w:rsidR="00DD5293" w:rsidRPr="00D961D2">
        <w:rPr>
          <w:rFonts w:ascii="Arial Narrow" w:hAnsi="Arial Narrow"/>
          <w:sz w:val="16"/>
          <w:szCs w:val="16"/>
        </w:rPr>
        <w:t xml:space="preserve">General-Ley N° 27444, </w:t>
      </w:r>
      <w:r w:rsidR="00907FF5" w:rsidRPr="00D961D2">
        <w:rPr>
          <w:rFonts w:ascii="Arial Narrow" w:hAnsi="Arial Narrow"/>
          <w:sz w:val="16"/>
          <w:szCs w:val="16"/>
        </w:rPr>
        <w:t xml:space="preserve">se </w:t>
      </w:r>
      <w:r w:rsidR="00DD5293" w:rsidRPr="00D961D2">
        <w:rPr>
          <w:rFonts w:ascii="Arial Narrow" w:hAnsi="Arial Narrow"/>
          <w:sz w:val="16"/>
          <w:szCs w:val="16"/>
        </w:rPr>
        <w:t xml:space="preserve">cumple con </w:t>
      </w:r>
      <w:r w:rsidR="00DD5293" w:rsidRPr="00D961D2">
        <w:rPr>
          <w:rFonts w:ascii="Arial Narrow" w:hAnsi="Arial Narrow"/>
          <w:b/>
          <w:sz w:val="16"/>
          <w:szCs w:val="16"/>
        </w:rPr>
        <w:t>NOTIFICAR</w:t>
      </w:r>
      <w:r w:rsidR="00DD5293" w:rsidRPr="00D961D2">
        <w:rPr>
          <w:rFonts w:ascii="Arial Narrow" w:hAnsi="Arial Narrow"/>
          <w:sz w:val="16"/>
          <w:szCs w:val="16"/>
        </w:rPr>
        <w:t xml:space="preserve"> a las </w:t>
      </w:r>
      <w:r w:rsidR="00107F95" w:rsidRPr="00D961D2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D961D2">
        <w:rPr>
          <w:rFonts w:ascii="Arial Narrow" w:hAnsi="Arial Narrow"/>
          <w:sz w:val="16"/>
          <w:szCs w:val="16"/>
        </w:rPr>
        <w:t xml:space="preserve"> </w:t>
      </w:r>
      <w:r w:rsidR="00107F95" w:rsidRPr="00D961D2">
        <w:rPr>
          <w:rFonts w:ascii="Arial Narrow" w:hAnsi="Arial Narrow"/>
          <w:sz w:val="16"/>
          <w:szCs w:val="16"/>
        </w:rPr>
        <w:t xml:space="preserve">de Tacna, en aplicación del Artículo 1°, </w:t>
      </w:r>
      <w:r w:rsidR="00DD5293" w:rsidRPr="00D961D2">
        <w:rPr>
          <w:rFonts w:ascii="Arial Narrow" w:hAnsi="Arial Narrow"/>
          <w:sz w:val="16"/>
          <w:szCs w:val="16"/>
        </w:rPr>
        <w:t xml:space="preserve">y </w:t>
      </w:r>
      <w:r w:rsidR="00907FF5" w:rsidRPr="00D961D2">
        <w:rPr>
          <w:rFonts w:ascii="Arial Narrow" w:hAnsi="Arial Narrow"/>
          <w:sz w:val="16"/>
          <w:szCs w:val="16"/>
        </w:rPr>
        <w:t xml:space="preserve">el </w:t>
      </w:r>
      <w:r w:rsidR="00DD5293" w:rsidRPr="00D961D2">
        <w:rPr>
          <w:rFonts w:ascii="Arial Narrow" w:hAnsi="Arial Narrow"/>
          <w:sz w:val="16"/>
          <w:szCs w:val="16"/>
        </w:rPr>
        <w:t>Decreto Legislativo N° 1053 – Ley General de Aduanas, ha decretado</w:t>
      </w:r>
      <w:r w:rsidR="00107F95" w:rsidRPr="00D961D2">
        <w:rPr>
          <w:rFonts w:ascii="Arial Narrow" w:hAnsi="Arial Narrow"/>
          <w:sz w:val="16"/>
          <w:szCs w:val="16"/>
        </w:rPr>
        <w:t xml:space="preserve"> </w:t>
      </w:r>
      <w:r w:rsidR="00DD5293" w:rsidRPr="00D961D2">
        <w:rPr>
          <w:rFonts w:ascii="Arial Narrow" w:hAnsi="Arial Narrow"/>
          <w:sz w:val="16"/>
          <w:szCs w:val="16"/>
        </w:rPr>
        <w:t xml:space="preserve">los siguientes actos administrativos mediante </w:t>
      </w:r>
      <w:r w:rsidR="00DD5293" w:rsidRPr="00D961D2">
        <w:rPr>
          <w:rFonts w:ascii="Arial Narrow" w:hAnsi="Arial Narrow"/>
          <w:b/>
          <w:sz w:val="16"/>
          <w:szCs w:val="16"/>
        </w:rPr>
        <w:t>Resolución de División</w:t>
      </w:r>
      <w:r w:rsidR="00DD5293" w:rsidRPr="00D961D2">
        <w:rPr>
          <w:rFonts w:ascii="Arial Narrow" w:hAnsi="Arial Narrow"/>
          <w:sz w:val="16"/>
          <w:szCs w:val="16"/>
        </w:rPr>
        <w:t>,</w:t>
      </w:r>
      <w:r w:rsidR="009263D2" w:rsidRPr="00D961D2">
        <w:rPr>
          <w:rFonts w:ascii="Arial Narrow" w:hAnsi="Arial Narrow"/>
          <w:sz w:val="16"/>
          <w:szCs w:val="16"/>
        </w:rPr>
        <w:t xml:space="preserve"> en relación </w:t>
      </w:r>
      <w:r w:rsidR="00BF0D0F" w:rsidRPr="00D961D2">
        <w:rPr>
          <w:rFonts w:ascii="Arial Narrow" w:hAnsi="Arial Narrow"/>
          <w:sz w:val="16"/>
          <w:szCs w:val="16"/>
        </w:rPr>
        <w:t>a la mercancía descrita en el acta</w:t>
      </w:r>
      <w:r w:rsidR="00907FF5" w:rsidRPr="00D961D2">
        <w:rPr>
          <w:rFonts w:ascii="Arial Narrow" w:hAnsi="Arial Narrow"/>
          <w:sz w:val="16"/>
          <w:szCs w:val="16"/>
        </w:rPr>
        <w:t xml:space="preserve"> de incautación </w:t>
      </w:r>
      <w:r w:rsidR="00F22DFC" w:rsidRPr="00D961D2">
        <w:rPr>
          <w:rFonts w:ascii="Arial Narrow" w:hAnsi="Arial Narrow"/>
          <w:sz w:val="16"/>
          <w:szCs w:val="16"/>
        </w:rPr>
        <w:t>señalada</w:t>
      </w:r>
      <w:r w:rsidR="00907FF5" w:rsidRPr="00D961D2">
        <w:rPr>
          <w:rFonts w:ascii="Arial Narrow" w:hAnsi="Arial Narrow"/>
          <w:sz w:val="16"/>
          <w:szCs w:val="16"/>
        </w:rPr>
        <w:t xml:space="preserve"> en </w:t>
      </w:r>
      <w:r w:rsidR="00F22DFC" w:rsidRPr="00D961D2">
        <w:rPr>
          <w:rFonts w:ascii="Arial Narrow" w:hAnsi="Arial Narrow"/>
          <w:sz w:val="16"/>
          <w:szCs w:val="16"/>
        </w:rPr>
        <w:t>la presente notificación.</w:t>
      </w:r>
    </w:p>
    <w:p w14:paraId="1C9AEB5D" w14:textId="7E441CB5" w:rsidR="006A528D" w:rsidRPr="00D961D2" w:rsidRDefault="00991A03" w:rsidP="006A528D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D961D2">
        <w:rPr>
          <w:rFonts w:ascii="Arial Narrow" w:hAnsi="Arial Narrow"/>
          <w:sz w:val="16"/>
          <w:szCs w:val="16"/>
        </w:rPr>
        <w:t>L</w:t>
      </w:r>
      <w:r w:rsidR="00B245CD" w:rsidRPr="00D961D2">
        <w:rPr>
          <w:rFonts w:ascii="Arial Narrow" w:hAnsi="Arial Narrow"/>
          <w:sz w:val="16"/>
          <w:szCs w:val="16"/>
        </w:rPr>
        <w:t xml:space="preserve">a </w:t>
      </w:r>
      <w:r w:rsidR="00107F95" w:rsidRPr="00D961D2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D961D2">
        <w:rPr>
          <w:rFonts w:ascii="Arial Narrow" w:hAnsi="Arial Narrow"/>
          <w:sz w:val="16"/>
          <w:szCs w:val="16"/>
        </w:rPr>
        <w:t xml:space="preserve"> </w:t>
      </w:r>
      <w:r w:rsidR="00107F95" w:rsidRPr="00D961D2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D961D2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D961D2">
        <w:rPr>
          <w:rFonts w:ascii="Arial Narrow" w:hAnsi="Arial Narrow"/>
          <w:sz w:val="16"/>
          <w:szCs w:val="16"/>
        </w:rPr>
        <w:t>,</w:t>
      </w:r>
      <w:r w:rsidR="009263D2" w:rsidRPr="00D961D2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D961D2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D961D2">
        <w:rPr>
          <w:rFonts w:ascii="Arial Narrow" w:hAnsi="Arial Narrow"/>
          <w:sz w:val="16"/>
          <w:szCs w:val="16"/>
        </w:rPr>
        <w:t>artículo</w:t>
      </w:r>
      <w:r w:rsidR="00107F95" w:rsidRPr="00D961D2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p w14:paraId="1D399F9F" w14:textId="160E485D" w:rsidR="004D7099" w:rsidRPr="00D961D2" w:rsidRDefault="004D7099" w:rsidP="004425C4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8230" w:type="dxa"/>
        <w:tblLook w:val="04A0" w:firstRow="1" w:lastRow="0" w:firstColumn="1" w:lastColumn="0" w:noHBand="0" w:noVBand="1"/>
      </w:tblPr>
      <w:tblGrid>
        <w:gridCol w:w="845"/>
        <w:gridCol w:w="982"/>
        <w:gridCol w:w="866"/>
        <w:gridCol w:w="931"/>
        <w:gridCol w:w="1049"/>
        <w:gridCol w:w="1276"/>
        <w:gridCol w:w="2281"/>
      </w:tblGrid>
      <w:tr w:rsidR="00D961D2" w:rsidRPr="00D961D2" w14:paraId="6E9B2A88" w14:textId="77777777" w:rsidTr="00D961D2">
        <w:trPr>
          <w:trHeight w:val="497"/>
        </w:trPr>
        <w:tc>
          <w:tcPr>
            <w:tcW w:w="845" w:type="dxa"/>
          </w:tcPr>
          <w:p w14:paraId="286BBC44" w14:textId="4E8BB735" w:rsidR="00D961D2" w:rsidRPr="00D961D2" w:rsidRDefault="00D961D2" w:rsidP="00F22DF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961D2">
              <w:rPr>
                <w:rFonts w:ascii="Arial Narrow" w:hAnsi="Arial Narrow"/>
                <w:bCs/>
                <w:sz w:val="16"/>
                <w:szCs w:val="16"/>
              </w:rPr>
              <w:t>Interesado</w:t>
            </w:r>
          </w:p>
        </w:tc>
        <w:tc>
          <w:tcPr>
            <w:tcW w:w="982" w:type="dxa"/>
          </w:tcPr>
          <w:p w14:paraId="53D45D75" w14:textId="73601A35" w:rsidR="00D961D2" w:rsidRPr="00D961D2" w:rsidRDefault="00D961D2" w:rsidP="00F22DF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961D2">
              <w:rPr>
                <w:rFonts w:ascii="Arial Narrow" w:hAnsi="Arial Narrow"/>
                <w:bCs/>
                <w:sz w:val="16"/>
                <w:szCs w:val="16"/>
              </w:rPr>
              <w:t>Documento de Identificación</w:t>
            </w:r>
          </w:p>
        </w:tc>
        <w:tc>
          <w:tcPr>
            <w:tcW w:w="866" w:type="dxa"/>
          </w:tcPr>
          <w:p w14:paraId="482236FF" w14:textId="23BE3A6E" w:rsidR="00D961D2" w:rsidRPr="00D961D2" w:rsidRDefault="00D961D2" w:rsidP="00F22DF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961D2">
              <w:rPr>
                <w:rFonts w:ascii="Arial Narrow" w:hAnsi="Arial Narrow"/>
                <w:bCs/>
                <w:sz w:val="16"/>
                <w:szCs w:val="16"/>
              </w:rPr>
              <w:t>Condición</w:t>
            </w:r>
          </w:p>
        </w:tc>
        <w:tc>
          <w:tcPr>
            <w:tcW w:w="931" w:type="dxa"/>
          </w:tcPr>
          <w:p w14:paraId="63A4BA9D" w14:textId="50D4D5FC" w:rsidR="00D961D2" w:rsidRPr="00D961D2" w:rsidRDefault="00D961D2" w:rsidP="00F22DF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961D2">
              <w:rPr>
                <w:rFonts w:ascii="Arial Narrow" w:hAnsi="Arial Narrow"/>
                <w:bCs/>
                <w:sz w:val="16"/>
                <w:szCs w:val="16"/>
              </w:rPr>
              <w:t>Fecha de Intervención</w:t>
            </w:r>
          </w:p>
        </w:tc>
        <w:tc>
          <w:tcPr>
            <w:tcW w:w="1049" w:type="dxa"/>
          </w:tcPr>
          <w:p w14:paraId="4197FB0B" w14:textId="5FDE7A95" w:rsidR="00D961D2" w:rsidRPr="00D961D2" w:rsidRDefault="00D961D2" w:rsidP="00F22DF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961D2">
              <w:rPr>
                <w:rFonts w:ascii="Arial Narrow" w:hAnsi="Arial Narrow"/>
                <w:bCs/>
                <w:sz w:val="16"/>
                <w:szCs w:val="16"/>
              </w:rPr>
              <w:t>Acta de Incautación</w:t>
            </w:r>
          </w:p>
        </w:tc>
        <w:tc>
          <w:tcPr>
            <w:tcW w:w="1276" w:type="dxa"/>
          </w:tcPr>
          <w:p w14:paraId="7E869EF2" w14:textId="77972A0F" w:rsidR="00D961D2" w:rsidRPr="00D961D2" w:rsidRDefault="00D961D2" w:rsidP="00F22DF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961D2">
              <w:rPr>
                <w:rFonts w:ascii="Arial Narrow" w:hAnsi="Arial Narrow"/>
                <w:bCs/>
                <w:sz w:val="16"/>
                <w:szCs w:val="16"/>
              </w:rPr>
              <w:t>Resolución de División</w:t>
            </w:r>
          </w:p>
        </w:tc>
        <w:tc>
          <w:tcPr>
            <w:tcW w:w="2281" w:type="dxa"/>
          </w:tcPr>
          <w:p w14:paraId="0D8CB4D6" w14:textId="692BC157" w:rsidR="00D961D2" w:rsidRPr="00D961D2" w:rsidRDefault="00D961D2" w:rsidP="00F22DF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961D2">
              <w:rPr>
                <w:rFonts w:ascii="Arial Narrow" w:hAnsi="Arial Narrow"/>
                <w:bCs/>
                <w:sz w:val="16"/>
                <w:szCs w:val="16"/>
              </w:rPr>
              <w:t>Determinación</w:t>
            </w:r>
          </w:p>
        </w:tc>
      </w:tr>
      <w:tr w:rsidR="00D961D2" w:rsidRPr="00D961D2" w14:paraId="5785265C" w14:textId="77777777" w:rsidTr="00D961D2">
        <w:trPr>
          <w:trHeight w:val="870"/>
        </w:trPr>
        <w:tc>
          <w:tcPr>
            <w:tcW w:w="845" w:type="dxa"/>
          </w:tcPr>
          <w:p w14:paraId="79DB9D9E" w14:textId="77777777" w:rsidR="00D961D2" w:rsidRPr="00D961D2" w:rsidRDefault="00D961D2" w:rsidP="00BF0D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5DF7729F" w14:textId="77777777" w:rsidR="00D961D2" w:rsidRPr="00D961D2" w:rsidRDefault="00D961D2" w:rsidP="00BF0D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D8BC122" w14:textId="77777777" w:rsidR="00D961D2" w:rsidRPr="00D961D2" w:rsidRDefault="00D961D2" w:rsidP="00BF0D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4C29809D" w14:textId="77777777" w:rsidR="00D961D2" w:rsidRPr="00D961D2" w:rsidRDefault="00D961D2" w:rsidP="00BF0D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25CE3170" w14:textId="257D1F61" w:rsidR="00D961D2" w:rsidRPr="00D961D2" w:rsidRDefault="00D961D2" w:rsidP="00BF0D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961D2">
              <w:rPr>
                <w:rFonts w:ascii="Arial Narrow" w:hAnsi="Arial Narrow"/>
                <w:bCs/>
                <w:sz w:val="16"/>
                <w:szCs w:val="16"/>
              </w:rPr>
              <w:t>Juan Berrios Franco</w:t>
            </w:r>
          </w:p>
        </w:tc>
        <w:tc>
          <w:tcPr>
            <w:tcW w:w="982" w:type="dxa"/>
          </w:tcPr>
          <w:p w14:paraId="4D89E53F" w14:textId="77777777" w:rsidR="00D961D2" w:rsidRPr="00D961D2" w:rsidRDefault="00D961D2" w:rsidP="004425C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4A852C66" w14:textId="77777777" w:rsidR="00D961D2" w:rsidRPr="00D961D2" w:rsidRDefault="00D961D2" w:rsidP="004425C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49FD832C" w14:textId="77777777" w:rsidR="00D961D2" w:rsidRPr="00D961D2" w:rsidRDefault="00D961D2" w:rsidP="004425C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544C46BC" w14:textId="77777777" w:rsidR="00D961D2" w:rsidRPr="00D961D2" w:rsidRDefault="00D961D2" w:rsidP="004425C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F3CAB1F" w14:textId="1D9E1304" w:rsidR="00D961D2" w:rsidRPr="00D961D2" w:rsidRDefault="00D961D2" w:rsidP="004425C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961D2">
              <w:rPr>
                <w:rFonts w:ascii="Arial Narrow" w:hAnsi="Arial Narrow"/>
                <w:bCs/>
                <w:sz w:val="16"/>
                <w:szCs w:val="16"/>
              </w:rPr>
              <w:t>Cédula de Identidad N° 77502599</w:t>
            </w:r>
          </w:p>
          <w:p w14:paraId="793A50EB" w14:textId="109BB85C" w:rsidR="00D961D2" w:rsidRPr="00D961D2" w:rsidRDefault="00D961D2" w:rsidP="00BF0D0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66" w:type="dxa"/>
          </w:tcPr>
          <w:p w14:paraId="4B9BDB4C" w14:textId="77777777" w:rsidR="00D961D2" w:rsidRPr="00D961D2" w:rsidRDefault="00D961D2" w:rsidP="00BF0D0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5FE29F9E" w14:textId="77777777" w:rsidR="00D961D2" w:rsidRPr="00D961D2" w:rsidRDefault="00D961D2" w:rsidP="00BF0D0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2173E142" w14:textId="77777777" w:rsidR="00D961D2" w:rsidRPr="00D961D2" w:rsidRDefault="00D961D2" w:rsidP="00BF0D0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009B8C5D" w14:textId="77777777" w:rsidR="00D961D2" w:rsidRPr="00D961D2" w:rsidRDefault="00D961D2" w:rsidP="00BF0D0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724B6901" w14:textId="75956DA0" w:rsidR="00D961D2" w:rsidRPr="00D961D2" w:rsidRDefault="00D961D2" w:rsidP="00BF0D0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961D2">
              <w:rPr>
                <w:rFonts w:ascii="Arial Narrow" w:hAnsi="Arial Narrow"/>
                <w:bCs/>
                <w:sz w:val="16"/>
                <w:szCs w:val="16"/>
              </w:rPr>
              <w:t>Intervenido</w:t>
            </w:r>
          </w:p>
        </w:tc>
        <w:tc>
          <w:tcPr>
            <w:tcW w:w="931" w:type="dxa"/>
          </w:tcPr>
          <w:p w14:paraId="2BDD85BD" w14:textId="77777777" w:rsidR="00D961D2" w:rsidRPr="00D961D2" w:rsidRDefault="00D961D2" w:rsidP="00F22DF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4C009194" w14:textId="77777777" w:rsidR="00D961D2" w:rsidRPr="00D961D2" w:rsidRDefault="00D961D2" w:rsidP="00F22DF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703E31CA" w14:textId="77777777" w:rsidR="00D961D2" w:rsidRPr="00D961D2" w:rsidRDefault="00D961D2" w:rsidP="00F22DF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7D2F77DC" w14:textId="77777777" w:rsidR="00D961D2" w:rsidRPr="00D961D2" w:rsidRDefault="00D961D2" w:rsidP="00F22DF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52084AF7" w14:textId="1D08FF1B" w:rsidR="00D961D2" w:rsidRPr="00D961D2" w:rsidRDefault="00D961D2" w:rsidP="00F22DF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961D2">
              <w:rPr>
                <w:rFonts w:ascii="Arial Narrow" w:hAnsi="Arial Narrow"/>
                <w:bCs/>
                <w:sz w:val="16"/>
                <w:szCs w:val="16"/>
              </w:rPr>
              <w:t>13.09.2022</w:t>
            </w:r>
          </w:p>
        </w:tc>
        <w:tc>
          <w:tcPr>
            <w:tcW w:w="1049" w:type="dxa"/>
          </w:tcPr>
          <w:p w14:paraId="6C46BDD9" w14:textId="77777777" w:rsidR="00D961D2" w:rsidRPr="00D961D2" w:rsidRDefault="00D961D2" w:rsidP="004425C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7BAE097E" w14:textId="77777777" w:rsidR="00D961D2" w:rsidRPr="00D961D2" w:rsidRDefault="00D961D2" w:rsidP="004425C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02658054" w14:textId="77777777" w:rsidR="00D961D2" w:rsidRPr="00D961D2" w:rsidRDefault="00D961D2" w:rsidP="004425C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03A69B41" w14:textId="77777777" w:rsidR="00D961D2" w:rsidRPr="00D961D2" w:rsidRDefault="00D961D2" w:rsidP="004425C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2330CC76" w14:textId="0AF8BE3B" w:rsidR="00D961D2" w:rsidRPr="00D961D2" w:rsidRDefault="00D961D2" w:rsidP="004425C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961D2">
              <w:rPr>
                <w:rFonts w:ascii="Arial Narrow" w:hAnsi="Arial Narrow"/>
                <w:bCs/>
                <w:sz w:val="16"/>
                <w:szCs w:val="16"/>
              </w:rPr>
              <w:t>Acta de Incautación N° 172-0204-2022-000256</w:t>
            </w:r>
          </w:p>
        </w:tc>
        <w:tc>
          <w:tcPr>
            <w:tcW w:w="1276" w:type="dxa"/>
          </w:tcPr>
          <w:p w14:paraId="4CD68A0A" w14:textId="77777777" w:rsidR="00D961D2" w:rsidRPr="00D961D2" w:rsidRDefault="00D961D2" w:rsidP="00F22DF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400D750D" w14:textId="77777777" w:rsidR="00D961D2" w:rsidRPr="00D961D2" w:rsidRDefault="00D961D2" w:rsidP="00F22DF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25101242" w14:textId="77777777" w:rsidR="00D961D2" w:rsidRPr="00D961D2" w:rsidRDefault="00D961D2" w:rsidP="00F22DF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319C9134" w14:textId="77777777" w:rsidR="00D961D2" w:rsidRPr="00D961D2" w:rsidRDefault="00D961D2" w:rsidP="00F22DF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22207F78" w14:textId="7499213A" w:rsidR="00D961D2" w:rsidRPr="00D961D2" w:rsidRDefault="00D961D2" w:rsidP="00F22DF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961D2">
              <w:rPr>
                <w:rFonts w:ascii="Arial Narrow" w:hAnsi="Arial Narrow"/>
                <w:bCs/>
                <w:sz w:val="16"/>
                <w:szCs w:val="16"/>
              </w:rPr>
              <w:t>Resolución de División N° 000115-2024-SUNAT/3G0800</w:t>
            </w:r>
          </w:p>
        </w:tc>
        <w:tc>
          <w:tcPr>
            <w:tcW w:w="2281" w:type="dxa"/>
          </w:tcPr>
          <w:p w14:paraId="163A7D3E" w14:textId="23AA5D63" w:rsidR="00D961D2" w:rsidRPr="00D961D2" w:rsidRDefault="00D961D2" w:rsidP="004425C4">
            <w:p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D961D2">
              <w:rPr>
                <w:rFonts w:ascii="Arial Narrow" w:hAnsi="Arial Narrow"/>
                <w:bCs/>
                <w:sz w:val="16"/>
                <w:szCs w:val="16"/>
              </w:rPr>
              <w:t>ARTICULO PRIMERO: Declarar el COMISO de la mercancía incautada a través del Acta de Incautación N° 172-0204-2022-000256, de conformidad con lo establecido en el inciso k) del artículo 200° de la LGA y el Código CO11 de la Sección IV de la Tabla de Sanciones.</w:t>
            </w:r>
          </w:p>
          <w:p w14:paraId="53C6E5B3" w14:textId="58E3C4CC" w:rsidR="00D961D2" w:rsidRPr="00D961D2" w:rsidRDefault="00D961D2" w:rsidP="004425C4">
            <w:p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D961D2">
              <w:rPr>
                <w:rFonts w:ascii="Arial Narrow" w:hAnsi="Arial Narrow"/>
                <w:bCs/>
                <w:sz w:val="16"/>
                <w:szCs w:val="16"/>
              </w:rPr>
              <w:t>ARTÍCULO SEGUNDO: Notificar la presente resolución mediante publicación en el Diario Oficial El Peruano, de conformidad con el numeral 2) del inciso e) del artículo 104° del TUO del Código Tributario, aprobado por Decreto Supremo N° 133-2013-EF.</w:t>
            </w:r>
          </w:p>
        </w:tc>
      </w:tr>
    </w:tbl>
    <w:p w14:paraId="29705D0D" w14:textId="77777777" w:rsidR="00BF0D0F" w:rsidRPr="00D961D2" w:rsidRDefault="00BF0D0F" w:rsidP="006A528D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5D008573" w14:textId="3B5BB26C" w:rsidR="000A101D" w:rsidRDefault="00D961D2" w:rsidP="000E1982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D961D2">
        <w:rPr>
          <w:rFonts w:ascii="Arial Narrow" w:hAnsi="Arial Narrow"/>
          <w:sz w:val="16"/>
          <w:szCs w:val="16"/>
        </w:rPr>
        <w:t>De conformidad con lo dispuesto en el artículo 104° inciso e) del Texto Único Ordenado del Código Tributario, aprobado por DS N° 133-2013-EF y sus modificatorias, Ley del Procedimiento Administrativo General-Ley N° 27444, cumple con NOTIFICAR a las personas naturales y/o jurídicas, que la Intendencia de Aduana de Tacna, ha emitido la Resolución de División N.º 000124-2024-SUNAT/3G0500 de fecha 21.03.24, en relación a la mercancía descrita en el acta de incautación N°172-0202-2021-000139 de fecha 17.03.21.</w:t>
      </w:r>
    </w:p>
    <w:tbl>
      <w:tblPr>
        <w:tblpPr w:leftFromText="141" w:rightFromText="141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3686"/>
        <w:gridCol w:w="1429"/>
        <w:gridCol w:w="852"/>
      </w:tblGrid>
      <w:tr w:rsidR="00D961D2" w:rsidRPr="00D961D2" w14:paraId="6B4861B2" w14:textId="77777777" w:rsidTr="00D961D2">
        <w:trPr>
          <w:trHeight w:val="424"/>
        </w:trPr>
        <w:tc>
          <w:tcPr>
            <w:tcW w:w="988" w:type="dxa"/>
            <w:shd w:val="clear" w:color="auto" w:fill="auto"/>
          </w:tcPr>
          <w:p w14:paraId="2E2DE554" w14:textId="77777777" w:rsidR="00D961D2" w:rsidRPr="00D961D2" w:rsidRDefault="00D961D2" w:rsidP="00D961D2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D961D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Administrado</w:t>
            </w:r>
          </w:p>
        </w:tc>
        <w:tc>
          <w:tcPr>
            <w:tcW w:w="1275" w:type="dxa"/>
            <w:shd w:val="clear" w:color="auto" w:fill="auto"/>
          </w:tcPr>
          <w:p w14:paraId="31C39D3C" w14:textId="77777777" w:rsidR="00D961D2" w:rsidRPr="00D961D2" w:rsidRDefault="00D961D2" w:rsidP="00D961D2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D961D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Resolución de División</w:t>
            </w:r>
          </w:p>
        </w:tc>
        <w:tc>
          <w:tcPr>
            <w:tcW w:w="3686" w:type="dxa"/>
            <w:shd w:val="clear" w:color="auto" w:fill="auto"/>
          </w:tcPr>
          <w:p w14:paraId="3873D8D8" w14:textId="77777777" w:rsidR="00D961D2" w:rsidRPr="00D961D2" w:rsidRDefault="00D961D2" w:rsidP="00D961D2">
            <w:pPr>
              <w:spacing w:after="0" w:line="0" w:lineRule="atLeas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D961D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Determinación</w:t>
            </w:r>
          </w:p>
        </w:tc>
        <w:tc>
          <w:tcPr>
            <w:tcW w:w="1429" w:type="dxa"/>
          </w:tcPr>
          <w:p w14:paraId="4F52AC56" w14:textId="77777777" w:rsidR="00D961D2" w:rsidRPr="00D961D2" w:rsidRDefault="00D961D2" w:rsidP="00D961D2">
            <w:pPr>
              <w:spacing w:after="0" w:line="0" w:lineRule="atLeast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D961D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Resolución de Multa</w:t>
            </w:r>
          </w:p>
        </w:tc>
        <w:tc>
          <w:tcPr>
            <w:tcW w:w="852" w:type="dxa"/>
          </w:tcPr>
          <w:p w14:paraId="31AA3F3A" w14:textId="77777777" w:rsidR="00D961D2" w:rsidRPr="00D961D2" w:rsidRDefault="00D961D2" w:rsidP="00D961D2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D961D2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Monto S/</w:t>
            </w:r>
          </w:p>
        </w:tc>
      </w:tr>
      <w:bookmarkStart w:id="0" w:name="_Hlk112840682"/>
      <w:tr w:rsidR="00D961D2" w:rsidRPr="00D961D2" w14:paraId="31FDAADA" w14:textId="77777777" w:rsidTr="00D961D2">
        <w:trPr>
          <w:trHeight w:val="130"/>
        </w:trPr>
        <w:tc>
          <w:tcPr>
            <w:tcW w:w="988" w:type="dxa"/>
            <w:shd w:val="clear" w:color="auto" w:fill="auto"/>
            <w:vAlign w:val="center"/>
          </w:tcPr>
          <w:p w14:paraId="52D8CA65" w14:textId="77777777" w:rsidR="00D961D2" w:rsidRPr="00D961D2" w:rsidRDefault="00D961D2" w:rsidP="00D961D2">
            <w:pPr>
              <w:spacing w:after="0" w:line="0" w:lineRule="atLeast"/>
              <w:jc w:val="both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  <w:r w:rsidRPr="00D961D2">
              <w:rPr>
                <w:rFonts w:ascii="Arial Narrow" w:eastAsia="Times New Roman" w:hAnsi="Arial Narrow" w:cs="Arial"/>
                <w:noProof/>
                <w:sz w:val="16"/>
                <w:szCs w:val="16"/>
                <w:lang w:val="es-ES_tradnl" w:eastAsia="es-ES"/>
              </w:rPr>
              <w:fldChar w:fldCharType="begin"/>
            </w:r>
            <w:r w:rsidRPr="00D961D2">
              <w:rPr>
                <w:rFonts w:ascii="Arial Narrow" w:eastAsia="Times New Roman" w:hAnsi="Arial Narrow" w:cs="Arial"/>
                <w:noProof/>
                <w:sz w:val="16"/>
                <w:szCs w:val="16"/>
                <w:lang w:val="es-ES_tradnl" w:eastAsia="es-ES"/>
              </w:rPr>
              <w:instrText xml:space="preserve"> MERGEFIELD INFRACTOR </w:instrText>
            </w:r>
            <w:r w:rsidRPr="00D961D2">
              <w:rPr>
                <w:rFonts w:ascii="Arial Narrow" w:eastAsia="Times New Roman" w:hAnsi="Arial Narrow" w:cs="Arial"/>
                <w:noProof/>
                <w:sz w:val="16"/>
                <w:szCs w:val="16"/>
                <w:lang w:val="es-ES_tradnl" w:eastAsia="es-ES"/>
              </w:rPr>
              <w:fldChar w:fldCharType="separate"/>
            </w:r>
            <w:r w:rsidRPr="00D961D2">
              <w:rPr>
                <w:rFonts w:ascii="Arial Narrow" w:eastAsia="Times New Roman" w:hAnsi="Arial Narrow" w:cs="Arial"/>
                <w:noProof/>
                <w:sz w:val="16"/>
                <w:szCs w:val="16"/>
                <w:lang w:val="es-ES_tradnl" w:eastAsia="es-ES"/>
              </w:rPr>
              <w:t>APAZA JIMENEZ REYMUNDO</w:t>
            </w:r>
            <w:r w:rsidRPr="00D961D2">
              <w:rPr>
                <w:rFonts w:ascii="Arial Narrow" w:eastAsia="Times New Roman" w:hAnsi="Arial Narrow" w:cs="Arial"/>
                <w:noProof/>
                <w:sz w:val="16"/>
                <w:szCs w:val="16"/>
                <w:lang w:val="es-ES_tradnl" w:eastAsia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D971B6" w14:textId="77777777" w:rsidR="00D961D2" w:rsidRPr="00D961D2" w:rsidRDefault="00D961D2" w:rsidP="00D961D2">
            <w:pPr>
              <w:spacing w:after="0" w:line="0" w:lineRule="atLeast"/>
              <w:jc w:val="both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  <w:r w:rsidRPr="00D961D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t>Resolución de División N° 000124-2024-SUNAT/3G0500 de fecha 21.03.24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EC37F8" w14:textId="77777777" w:rsidR="00D961D2" w:rsidRPr="00D961D2" w:rsidRDefault="00D961D2" w:rsidP="00D961D2">
            <w:pPr>
              <w:spacing w:before="120" w:after="24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  <w:r w:rsidRPr="00D961D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t>SE RESUELVE:</w:t>
            </w:r>
          </w:p>
          <w:p w14:paraId="1A2C11AB" w14:textId="77777777" w:rsidR="00D961D2" w:rsidRPr="00D961D2" w:rsidRDefault="00D961D2" w:rsidP="00D961D2">
            <w:pPr>
              <w:spacing w:after="0" w:line="0" w:lineRule="atLeast"/>
              <w:jc w:val="both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  <w:r w:rsidRPr="00D961D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t xml:space="preserve">ARTÍCULO ÚNICO: </w:t>
            </w:r>
            <w:bookmarkStart w:id="1" w:name="_Hlk38299431"/>
            <w:r w:rsidRPr="00D961D2">
              <w:rPr>
                <w:rFonts w:ascii="Arial Narrow" w:eastAsia="Times New Roman" w:hAnsi="Arial Narrow" w:cs="Arial"/>
                <w:sz w:val="16"/>
                <w:szCs w:val="16"/>
                <w:lang w:val="es-ES_tradnl" w:eastAsia="es-ES"/>
              </w:rPr>
              <w:t xml:space="preserve">Declarar el COMISO de las mercancías consignadas en el Acta de Incautación N° </w:t>
            </w:r>
            <w:r w:rsidRPr="00D961D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begin"/>
            </w:r>
            <w:r w:rsidRPr="00D961D2">
              <w:rPr>
                <w:rFonts w:ascii="Arial Narrow" w:eastAsia="Times New Roman" w:hAnsi="Arial Narrow" w:cs="Arial"/>
                <w:noProof/>
                <w:sz w:val="16"/>
                <w:szCs w:val="16"/>
                <w:lang w:val="es-ES_tradnl" w:eastAsia="es-ES"/>
              </w:rPr>
              <w:instrText xml:space="preserve"> MERGEFIELD N_ACTA </w:instrText>
            </w:r>
            <w:r w:rsidRPr="00D961D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separate"/>
            </w:r>
            <w:r w:rsidRPr="00D961D2">
              <w:rPr>
                <w:rFonts w:ascii="Arial Narrow" w:eastAsia="Times New Roman" w:hAnsi="Arial Narrow" w:cs="Arial"/>
                <w:noProof/>
                <w:sz w:val="16"/>
                <w:szCs w:val="16"/>
                <w:lang w:val="es-ES_tradnl" w:eastAsia="es-ES"/>
              </w:rPr>
              <w:t>172-0202-2021-00139</w:t>
            </w:r>
            <w:r w:rsidRPr="00D961D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end"/>
            </w:r>
            <w:r w:rsidRPr="00D961D2">
              <w:rPr>
                <w:rFonts w:ascii="Arial Narrow" w:eastAsia="Times New Roman" w:hAnsi="Arial Narrow" w:cs="Arial"/>
                <w:sz w:val="16"/>
                <w:szCs w:val="16"/>
                <w:lang w:val="es-ES_tradnl" w:eastAsia="es-ES"/>
              </w:rPr>
              <w:t xml:space="preserve"> del </w:t>
            </w:r>
            <w:r w:rsidRPr="00D961D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begin"/>
            </w:r>
            <w:r w:rsidRPr="00D961D2">
              <w:rPr>
                <w:rFonts w:ascii="Arial Narrow" w:eastAsia="Times New Roman" w:hAnsi="Arial Narrow" w:cs="Arial"/>
                <w:noProof/>
                <w:sz w:val="16"/>
                <w:szCs w:val="16"/>
                <w:lang w:val="es-ES_tradnl" w:eastAsia="es-ES"/>
              </w:rPr>
              <w:instrText xml:space="preserve"> MERGEFIELD FECHA </w:instrText>
            </w:r>
            <w:r w:rsidRPr="00D961D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separate"/>
            </w:r>
            <w:r w:rsidRPr="00D961D2">
              <w:rPr>
                <w:rFonts w:ascii="Arial Narrow" w:eastAsia="Times New Roman" w:hAnsi="Arial Narrow" w:cs="Arial"/>
                <w:noProof/>
                <w:sz w:val="16"/>
                <w:szCs w:val="16"/>
                <w:lang w:val="es-ES_tradnl" w:eastAsia="es-ES"/>
              </w:rPr>
              <w:t>17.03.21</w:t>
            </w:r>
            <w:r w:rsidRPr="00D961D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fldChar w:fldCharType="end"/>
            </w:r>
            <w:r w:rsidRPr="00D961D2">
              <w:rPr>
                <w:rFonts w:ascii="Arial Narrow" w:eastAsia="Times New Roman" w:hAnsi="Arial Narrow" w:cs="Arial"/>
                <w:sz w:val="16"/>
                <w:szCs w:val="16"/>
                <w:lang w:val="es-ES_tradnl" w:eastAsia="es-ES"/>
              </w:rPr>
              <w:t xml:space="preserve">, en aplicación a lo previsto artículo 38° de la Ley de los Delitos Aduaneros; de conformidad con los fundamentos de hecho y de derecho expuestos en la presente Resolución. </w:t>
            </w:r>
            <w:bookmarkEnd w:id="1"/>
          </w:p>
        </w:tc>
        <w:tc>
          <w:tcPr>
            <w:tcW w:w="1429" w:type="dxa"/>
            <w:vAlign w:val="center"/>
          </w:tcPr>
          <w:p w14:paraId="27AE883E" w14:textId="77777777" w:rsidR="00D961D2" w:rsidRPr="00D961D2" w:rsidRDefault="00D961D2" w:rsidP="00D961D2">
            <w:pPr>
              <w:spacing w:after="0" w:line="0" w:lineRule="atLeast"/>
              <w:jc w:val="both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  <w:r w:rsidRPr="00D961D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t>N°87200200040000</w:t>
            </w:r>
          </w:p>
        </w:tc>
        <w:tc>
          <w:tcPr>
            <w:tcW w:w="852" w:type="dxa"/>
            <w:vAlign w:val="center"/>
          </w:tcPr>
          <w:p w14:paraId="6DAD720F" w14:textId="77777777" w:rsidR="00D961D2" w:rsidRPr="00D961D2" w:rsidRDefault="00D961D2" w:rsidP="00D961D2">
            <w:pPr>
              <w:spacing w:after="0" w:line="0" w:lineRule="atLeast"/>
              <w:jc w:val="both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  <w:r w:rsidRPr="00D961D2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t>534.00</w:t>
            </w:r>
          </w:p>
        </w:tc>
      </w:tr>
      <w:bookmarkEnd w:id="0"/>
    </w:tbl>
    <w:p w14:paraId="47D8BC97" w14:textId="77777777" w:rsidR="00D961D2" w:rsidRDefault="00D961D2" w:rsidP="000E1982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5970958C" w14:textId="7C2D7626" w:rsidR="00D961D2" w:rsidRDefault="00D961D2" w:rsidP="000E1982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D961D2">
        <w:rPr>
          <w:rFonts w:ascii="Arial Narrow" w:hAnsi="Arial Narrow"/>
          <w:sz w:val="16"/>
          <w:szCs w:val="16"/>
        </w:rPr>
        <w:t>De conformidad con lo dispuesto en el artículo 104° inciso e) del Texto Único Ordenado del Código Tributario, aprobado por DS N° 133-2013-EF y sus modificatorias, Ley del Procedimiento Administrativo General-Ley N° 27444, cumple con NOTIFICAR a las personas naturales y/o jurídicas, que la Intendencia de Aduana de Tacna, en aplicación del Artículo 1°, en concordancia con los artículos 33° y 38° de la Ley N° 28008 Ley de los Delitos Aduaneros y Decreto Legislativo N° 1053 – Ley General de Aduanas, ha decretado los siguientes actos administrativos mediante Resolución Jefatural de División, en relación a las  mercancías descritas en el actas de incautación indicada en la presente notificación.</w:t>
      </w:r>
    </w:p>
    <w:p w14:paraId="771A7BEC" w14:textId="77777777" w:rsidR="00D961D2" w:rsidRDefault="00D961D2" w:rsidP="000E1982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787CA911" w14:textId="2B65DEF1" w:rsidR="00D961D2" w:rsidRDefault="00D961D2" w:rsidP="000E1982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D961D2">
        <w:rPr>
          <w:rFonts w:ascii="Arial Narrow" w:hAnsi="Arial Narrow"/>
          <w:sz w:val="16"/>
          <w:szCs w:val="16"/>
        </w:rPr>
        <w:t>Resolución Jefatural de División N° 172-3G0500/2024-000424</w:t>
      </w:r>
    </w:p>
    <w:tbl>
      <w:tblPr>
        <w:tblW w:w="832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705"/>
        <w:gridCol w:w="5252"/>
      </w:tblGrid>
      <w:tr w:rsidR="00D961D2" w:rsidRPr="00D961D2" w14:paraId="5C77D41C" w14:textId="77777777" w:rsidTr="00D961D2">
        <w:trPr>
          <w:trHeight w:val="429"/>
        </w:trPr>
        <w:tc>
          <w:tcPr>
            <w:tcW w:w="1363" w:type="dxa"/>
            <w:shd w:val="clear" w:color="auto" w:fill="auto"/>
            <w:vAlign w:val="center"/>
            <w:hideMark/>
          </w:tcPr>
          <w:p w14:paraId="7B6E9716" w14:textId="77777777" w:rsidR="00D961D2" w:rsidRPr="00D961D2" w:rsidRDefault="00D961D2" w:rsidP="00D961D2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961D2">
              <w:rPr>
                <w:rFonts w:ascii="Arial Narrow" w:hAnsi="Arial Narrow"/>
                <w:b/>
                <w:bCs/>
                <w:sz w:val="16"/>
                <w:szCs w:val="16"/>
              </w:rPr>
              <w:t>Acta de Incautación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5CA7314F" w14:textId="77777777" w:rsidR="00D961D2" w:rsidRPr="00D961D2" w:rsidRDefault="00D961D2" w:rsidP="00D961D2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961D2">
              <w:rPr>
                <w:rFonts w:ascii="Arial Narrow" w:hAnsi="Arial Narrow"/>
                <w:b/>
                <w:bCs/>
                <w:sz w:val="16"/>
                <w:szCs w:val="16"/>
              </w:rPr>
              <w:t>Resolución de División</w:t>
            </w:r>
          </w:p>
        </w:tc>
        <w:tc>
          <w:tcPr>
            <w:tcW w:w="5252" w:type="dxa"/>
            <w:shd w:val="clear" w:color="auto" w:fill="auto"/>
            <w:noWrap/>
            <w:vAlign w:val="center"/>
            <w:hideMark/>
          </w:tcPr>
          <w:p w14:paraId="151B8988" w14:textId="77777777" w:rsidR="00D961D2" w:rsidRPr="00D961D2" w:rsidRDefault="00D961D2" w:rsidP="00D961D2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961D2">
              <w:rPr>
                <w:rFonts w:ascii="Arial Narrow" w:hAnsi="Arial Narrow"/>
                <w:b/>
                <w:bCs/>
                <w:sz w:val="16"/>
                <w:szCs w:val="16"/>
              </w:rPr>
              <w:t>Determinación</w:t>
            </w:r>
          </w:p>
        </w:tc>
      </w:tr>
      <w:tr w:rsidR="00D961D2" w:rsidRPr="00D961D2" w14:paraId="35B656CB" w14:textId="77777777" w:rsidTr="00D961D2">
        <w:trPr>
          <w:trHeight w:val="922"/>
        </w:trPr>
        <w:tc>
          <w:tcPr>
            <w:tcW w:w="1363" w:type="dxa"/>
            <w:shd w:val="clear" w:color="auto" w:fill="auto"/>
            <w:vAlign w:val="center"/>
            <w:hideMark/>
          </w:tcPr>
          <w:p w14:paraId="7C112EBA" w14:textId="77777777" w:rsidR="00D961D2" w:rsidRPr="00D961D2" w:rsidRDefault="00D961D2" w:rsidP="00D961D2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961D2">
              <w:rPr>
                <w:rFonts w:ascii="Arial Narrow" w:hAnsi="Arial Narrow"/>
                <w:sz w:val="16"/>
                <w:szCs w:val="16"/>
              </w:rPr>
              <w:t>172-0201-2020-000301 de fecha 09.12.2020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3A3A9FBD" w14:textId="77777777" w:rsidR="00D961D2" w:rsidRPr="00D961D2" w:rsidRDefault="00D961D2" w:rsidP="00D961D2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961D2">
              <w:rPr>
                <w:rFonts w:ascii="Arial Narrow" w:hAnsi="Arial Narrow"/>
                <w:sz w:val="16"/>
                <w:szCs w:val="16"/>
              </w:rPr>
              <w:t>N.º 000424-2024-SUNAT/3G0500 de fecha 16.7.2024</w:t>
            </w:r>
          </w:p>
        </w:tc>
        <w:tc>
          <w:tcPr>
            <w:tcW w:w="5252" w:type="dxa"/>
            <w:shd w:val="clear" w:color="auto" w:fill="auto"/>
            <w:vAlign w:val="center"/>
          </w:tcPr>
          <w:p w14:paraId="760EED66" w14:textId="77777777" w:rsidR="00D961D2" w:rsidRPr="00D961D2" w:rsidRDefault="00D961D2" w:rsidP="00D961D2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D961D2">
              <w:rPr>
                <w:rFonts w:ascii="Arial Narrow" w:hAnsi="Arial Narrow"/>
                <w:b/>
                <w:bCs/>
                <w:sz w:val="16"/>
                <w:szCs w:val="16"/>
              </w:rPr>
              <w:t>ARTÍCULO UNICO:</w:t>
            </w:r>
            <w:r w:rsidRPr="00D961D2">
              <w:rPr>
                <w:rFonts w:ascii="Arial Narrow" w:hAnsi="Arial Narrow"/>
                <w:sz w:val="16"/>
                <w:szCs w:val="16"/>
              </w:rPr>
              <w:t xml:space="preserve"> Declarar el </w:t>
            </w:r>
            <w:r w:rsidRPr="00D961D2">
              <w:rPr>
                <w:rFonts w:ascii="Arial Narrow" w:hAnsi="Arial Narrow"/>
                <w:b/>
                <w:bCs/>
                <w:sz w:val="16"/>
                <w:szCs w:val="16"/>
              </w:rPr>
              <w:t>COMISO</w:t>
            </w:r>
            <w:r w:rsidRPr="00D961D2">
              <w:rPr>
                <w:rFonts w:ascii="Arial Narrow" w:hAnsi="Arial Narrow"/>
                <w:sz w:val="16"/>
                <w:szCs w:val="16"/>
              </w:rPr>
              <w:t xml:space="preserve"> de las mercancías consignadas en el Acta de Incautación N° 172 -0201 -2020 -000301 del 09.12.2020, en aplicación a lo previsto artículo 38° de la Ley de los Delitos Aduaneros; de conformidad con los fundamentos de hecho y de derecho expuestos en la presente Resolución.</w:t>
            </w:r>
          </w:p>
        </w:tc>
      </w:tr>
    </w:tbl>
    <w:p w14:paraId="1CB7F8CB" w14:textId="77777777" w:rsidR="00D961D2" w:rsidRPr="00D961D2" w:rsidRDefault="00D961D2" w:rsidP="000E1982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sectPr w:rsidR="00D961D2" w:rsidRPr="00D961D2" w:rsidSect="00D961D2">
      <w:pgSz w:w="12240" w:h="15840"/>
      <w:pgMar w:top="1440" w:right="2884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AFDF" w14:textId="77777777" w:rsidR="00A6592E" w:rsidRDefault="00A6592E" w:rsidP="005319CE">
      <w:pPr>
        <w:spacing w:after="0" w:line="240" w:lineRule="auto"/>
      </w:pPr>
      <w:r>
        <w:separator/>
      </w:r>
    </w:p>
  </w:endnote>
  <w:endnote w:type="continuationSeparator" w:id="0">
    <w:p w14:paraId="005EE077" w14:textId="77777777" w:rsidR="00A6592E" w:rsidRDefault="00A6592E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49B9" w14:textId="77777777" w:rsidR="00A6592E" w:rsidRDefault="00A6592E" w:rsidP="005319CE">
      <w:pPr>
        <w:spacing w:after="0" w:line="240" w:lineRule="auto"/>
      </w:pPr>
      <w:r>
        <w:separator/>
      </w:r>
    </w:p>
  </w:footnote>
  <w:footnote w:type="continuationSeparator" w:id="0">
    <w:p w14:paraId="7AE09679" w14:textId="77777777" w:rsidR="00A6592E" w:rsidRDefault="00A6592E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507E0"/>
    <w:rsid w:val="000618A2"/>
    <w:rsid w:val="000A101D"/>
    <w:rsid w:val="000D08D4"/>
    <w:rsid w:val="000D5A8F"/>
    <w:rsid w:val="000D76D9"/>
    <w:rsid w:val="000E1982"/>
    <w:rsid w:val="000E7934"/>
    <w:rsid w:val="000F3EE5"/>
    <w:rsid w:val="00107F95"/>
    <w:rsid w:val="00122B93"/>
    <w:rsid w:val="001435FD"/>
    <w:rsid w:val="001740A0"/>
    <w:rsid w:val="001838EE"/>
    <w:rsid w:val="001A5B81"/>
    <w:rsid w:val="001A7DF9"/>
    <w:rsid w:val="001C7EE6"/>
    <w:rsid w:val="001F3673"/>
    <w:rsid w:val="00235118"/>
    <w:rsid w:val="0024134F"/>
    <w:rsid w:val="00247717"/>
    <w:rsid w:val="00280B1A"/>
    <w:rsid w:val="002A34CA"/>
    <w:rsid w:val="002B08A0"/>
    <w:rsid w:val="002D69AC"/>
    <w:rsid w:val="00310D76"/>
    <w:rsid w:val="00316AA1"/>
    <w:rsid w:val="00335B64"/>
    <w:rsid w:val="0037423B"/>
    <w:rsid w:val="0037573A"/>
    <w:rsid w:val="00375B00"/>
    <w:rsid w:val="003D4101"/>
    <w:rsid w:val="00407E6F"/>
    <w:rsid w:val="004421C2"/>
    <w:rsid w:val="004425C4"/>
    <w:rsid w:val="004555A8"/>
    <w:rsid w:val="004718F9"/>
    <w:rsid w:val="004A54D3"/>
    <w:rsid w:val="004D64C9"/>
    <w:rsid w:val="004D7099"/>
    <w:rsid w:val="004E21D2"/>
    <w:rsid w:val="004E2231"/>
    <w:rsid w:val="004F0A73"/>
    <w:rsid w:val="004F3A5E"/>
    <w:rsid w:val="0051464E"/>
    <w:rsid w:val="005319CE"/>
    <w:rsid w:val="005550B5"/>
    <w:rsid w:val="00571AC5"/>
    <w:rsid w:val="00575D6D"/>
    <w:rsid w:val="005937AE"/>
    <w:rsid w:val="005A5276"/>
    <w:rsid w:val="005B21D1"/>
    <w:rsid w:val="005B6463"/>
    <w:rsid w:val="005C13CB"/>
    <w:rsid w:val="005D0B5C"/>
    <w:rsid w:val="005D4600"/>
    <w:rsid w:val="005E3435"/>
    <w:rsid w:val="00602D8E"/>
    <w:rsid w:val="00612EA5"/>
    <w:rsid w:val="00624B06"/>
    <w:rsid w:val="00632AFA"/>
    <w:rsid w:val="00654B20"/>
    <w:rsid w:val="00673016"/>
    <w:rsid w:val="00682FF5"/>
    <w:rsid w:val="00683F39"/>
    <w:rsid w:val="0069120F"/>
    <w:rsid w:val="006947FC"/>
    <w:rsid w:val="006A528D"/>
    <w:rsid w:val="006B6933"/>
    <w:rsid w:val="006C5431"/>
    <w:rsid w:val="00721041"/>
    <w:rsid w:val="00741332"/>
    <w:rsid w:val="00792D88"/>
    <w:rsid w:val="00796BD9"/>
    <w:rsid w:val="007A4163"/>
    <w:rsid w:val="007C0315"/>
    <w:rsid w:val="007D7C47"/>
    <w:rsid w:val="007F5F37"/>
    <w:rsid w:val="00801EC2"/>
    <w:rsid w:val="00802FE8"/>
    <w:rsid w:val="00813866"/>
    <w:rsid w:val="00823836"/>
    <w:rsid w:val="00843AC9"/>
    <w:rsid w:val="008443C4"/>
    <w:rsid w:val="00882A6C"/>
    <w:rsid w:val="008C2CF4"/>
    <w:rsid w:val="008C7AFF"/>
    <w:rsid w:val="008F0D2A"/>
    <w:rsid w:val="00907FF5"/>
    <w:rsid w:val="00923EFA"/>
    <w:rsid w:val="009263D2"/>
    <w:rsid w:val="00936528"/>
    <w:rsid w:val="00991A03"/>
    <w:rsid w:val="009B4CF7"/>
    <w:rsid w:val="009B6F8C"/>
    <w:rsid w:val="009D1004"/>
    <w:rsid w:val="009D2812"/>
    <w:rsid w:val="009D4370"/>
    <w:rsid w:val="009E0B92"/>
    <w:rsid w:val="00A12EF5"/>
    <w:rsid w:val="00A220BD"/>
    <w:rsid w:val="00A30FBE"/>
    <w:rsid w:val="00A36837"/>
    <w:rsid w:val="00A42CDE"/>
    <w:rsid w:val="00A44E43"/>
    <w:rsid w:val="00A50480"/>
    <w:rsid w:val="00A57027"/>
    <w:rsid w:val="00A6592E"/>
    <w:rsid w:val="00A751F1"/>
    <w:rsid w:val="00A9458F"/>
    <w:rsid w:val="00AB2C18"/>
    <w:rsid w:val="00AB68CE"/>
    <w:rsid w:val="00AC414B"/>
    <w:rsid w:val="00AD075A"/>
    <w:rsid w:val="00B03CBD"/>
    <w:rsid w:val="00B12B85"/>
    <w:rsid w:val="00B221DE"/>
    <w:rsid w:val="00B245CD"/>
    <w:rsid w:val="00B3560A"/>
    <w:rsid w:val="00B617CC"/>
    <w:rsid w:val="00B977AB"/>
    <w:rsid w:val="00BC0897"/>
    <w:rsid w:val="00BD48E1"/>
    <w:rsid w:val="00BE5E5D"/>
    <w:rsid w:val="00BF0D0F"/>
    <w:rsid w:val="00BF660F"/>
    <w:rsid w:val="00C70A2E"/>
    <w:rsid w:val="00C7519F"/>
    <w:rsid w:val="00C85E18"/>
    <w:rsid w:val="00CC06B0"/>
    <w:rsid w:val="00CC2E69"/>
    <w:rsid w:val="00CC43FF"/>
    <w:rsid w:val="00CC7E62"/>
    <w:rsid w:val="00D24CDB"/>
    <w:rsid w:val="00D42EC5"/>
    <w:rsid w:val="00D65E78"/>
    <w:rsid w:val="00D76FDB"/>
    <w:rsid w:val="00D961D2"/>
    <w:rsid w:val="00D96A95"/>
    <w:rsid w:val="00DB2646"/>
    <w:rsid w:val="00DC3AB7"/>
    <w:rsid w:val="00DC6533"/>
    <w:rsid w:val="00DD5293"/>
    <w:rsid w:val="00DE1F79"/>
    <w:rsid w:val="00E0375F"/>
    <w:rsid w:val="00E37AD5"/>
    <w:rsid w:val="00E777A1"/>
    <w:rsid w:val="00E845EE"/>
    <w:rsid w:val="00E96574"/>
    <w:rsid w:val="00EA1B83"/>
    <w:rsid w:val="00EB7DF0"/>
    <w:rsid w:val="00ED00F8"/>
    <w:rsid w:val="00F22DFC"/>
    <w:rsid w:val="00F23DCC"/>
    <w:rsid w:val="00F7623D"/>
    <w:rsid w:val="00FB0B54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D7D4AA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DC3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1clara">
    <w:name w:val="Grid Table 1 Light"/>
    <w:basedOn w:val="Tablanormal"/>
    <w:uiPriority w:val="46"/>
    <w:rsid w:val="00FB0B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DC3A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mtejadam</dc:creator>
  <cp:lastModifiedBy>Vasquez Andia Grizely</cp:lastModifiedBy>
  <cp:revision>3</cp:revision>
  <cp:lastPrinted>2019-07-01T18:48:00Z</cp:lastPrinted>
  <dcterms:created xsi:type="dcterms:W3CDTF">2024-07-25T19:39:00Z</dcterms:created>
  <dcterms:modified xsi:type="dcterms:W3CDTF">2024-07-25T20:51:00Z</dcterms:modified>
</cp:coreProperties>
</file>