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4765" w14:textId="77777777" w:rsidR="00F77F2A" w:rsidRDefault="00F77F2A" w:rsidP="006C5431">
      <w:pPr>
        <w:spacing w:after="0" w:line="240" w:lineRule="auto"/>
        <w:jc w:val="center"/>
        <w:rPr>
          <w:rFonts w:ascii="Arial Narrow" w:hAnsi="Arial Narrow" w:cstheme="minorHAnsi"/>
          <w:b/>
          <w:bCs/>
          <w:sz w:val="16"/>
          <w:szCs w:val="16"/>
        </w:rPr>
      </w:pPr>
    </w:p>
    <w:p w14:paraId="5D0A6954" w14:textId="77777777" w:rsidR="00F77F2A" w:rsidRDefault="00F77F2A" w:rsidP="006C5431">
      <w:pPr>
        <w:spacing w:after="0" w:line="240" w:lineRule="auto"/>
        <w:jc w:val="center"/>
        <w:rPr>
          <w:rFonts w:ascii="Arial Narrow" w:hAnsi="Arial Narrow" w:cstheme="minorHAnsi"/>
          <w:b/>
          <w:bCs/>
          <w:sz w:val="16"/>
          <w:szCs w:val="16"/>
        </w:rPr>
      </w:pPr>
    </w:p>
    <w:p w14:paraId="4F951F9D" w14:textId="77777777" w:rsidR="00F77F2A" w:rsidRDefault="00F77F2A" w:rsidP="006C5431">
      <w:pPr>
        <w:spacing w:after="0" w:line="240" w:lineRule="auto"/>
        <w:jc w:val="center"/>
        <w:rPr>
          <w:rFonts w:ascii="Arial Narrow" w:hAnsi="Arial Narrow" w:cstheme="minorHAnsi"/>
          <w:b/>
          <w:bCs/>
          <w:sz w:val="16"/>
          <w:szCs w:val="16"/>
        </w:rPr>
      </w:pPr>
    </w:p>
    <w:p w14:paraId="67852639" w14:textId="7377A22A" w:rsidR="00107F95" w:rsidRPr="0091321D" w:rsidRDefault="00107F95" w:rsidP="006C5431">
      <w:pPr>
        <w:spacing w:after="0" w:line="240" w:lineRule="auto"/>
        <w:jc w:val="center"/>
        <w:rPr>
          <w:rFonts w:ascii="Arial Narrow" w:hAnsi="Arial Narrow" w:cstheme="minorHAnsi"/>
          <w:b/>
          <w:bCs/>
          <w:sz w:val="16"/>
          <w:szCs w:val="16"/>
        </w:rPr>
      </w:pPr>
      <w:r w:rsidRPr="0091321D">
        <w:rPr>
          <w:rFonts w:ascii="Arial Narrow" w:hAnsi="Arial Narrow" w:cstheme="minorHAnsi"/>
          <w:b/>
          <w:bCs/>
          <w:sz w:val="16"/>
          <w:szCs w:val="16"/>
        </w:rPr>
        <w:t xml:space="preserve">SUPERINTENDENCIA NACIONAL DE ADUANAS Y </w:t>
      </w:r>
      <w:r w:rsidR="00742AF2">
        <w:rPr>
          <w:rFonts w:ascii="Arial Narrow" w:hAnsi="Arial Narrow" w:cstheme="minorHAnsi"/>
          <w:b/>
          <w:bCs/>
          <w:sz w:val="16"/>
          <w:szCs w:val="16"/>
        </w:rPr>
        <w:t xml:space="preserve">DE </w:t>
      </w:r>
      <w:r w:rsidRPr="0091321D">
        <w:rPr>
          <w:rFonts w:ascii="Arial Narrow" w:hAnsi="Arial Narrow" w:cstheme="minorHAnsi"/>
          <w:b/>
          <w:bCs/>
          <w:sz w:val="16"/>
          <w:szCs w:val="16"/>
        </w:rPr>
        <w:t>ADMINISTRACI</w:t>
      </w:r>
      <w:r w:rsidR="0091321D">
        <w:rPr>
          <w:rFonts w:ascii="Arial Narrow" w:hAnsi="Arial Narrow" w:cstheme="minorHAnsi"/>
          <w:b/>
          <w:bCs/>
          <w:sz w:val="16"/>
          <w:szCs w:val="16"/>
        </w:rPr>
        <w:t>Ó</w:t>
      </w:r>
      <w:r w:rsidRPr="0091321D">
        <w:rPr>
          <w:rFonts w:ascii="Arial Narrow" w:hAnsi="Arial Narrow" w:cstheme="minorHAnsi"/>
          <w:b/>
          <w:bCs/>
          <w:sz w:val="16"/>
          <w:szCs w:val="16"/>
        </w:rPr>
        <w:t>N TRIBUTARIA</w:t>
      </w:r>
    </w:p>
    <w:p w14:paraId="76CAD710" w14:textId="77777777" w:rsidR="0091321D" w:rsidRDefault="00107F95" w:rsidP="00F77F2A">
      <w:pPr>
        <w:spacing w:after="0" w:line="240" w:lineRule="auto"/>
        <w:ind w:left="3119" w:right="2652"/>
        <w:jc w:val="center"/>
        <w:rPr>
          <w:rFonts w:ascii="Arial Narrow" w:hAnsi="Arial Narrow" w:cstheme="minorHAnsi"/>
          <w:b/>
          <w:bCs/>
          <w:sz w:val="16"/>
          <w:szCs w:val="16"/>
        </w:rPr>
      </w:pPr>
      <w:r w:rsidRPr="0091321D">
        <w:rPr>
          <w:rFonts w:ascii="Arial Narrow" w:hAnsi="Arial Narrow" w:cstheme="minorHAnsi"/>
          <w:b/>
          <w:bCs/>
          <w:sz w:val="16"/>
          <w:szCs w:val="16"/>
        </w:rPr>
        <w:t>INTENDENCIA DE ADUANA</w:t>
      </w:r>
      <w:r w:rsidR="009263D2" w:rsidRPr="0091321D">
        <w:rPr>
          <w:rFonts w:ascii="Arial Narrow" w:hAnsi="Arial Narrow" w:cstheme="minorHAnsi"/>
          <w:b/>
          <w:bCs/>
          <w:sz w:val="16"/>
          <w:szCs w:val="16"/>
        </w:rPr>
        <w:t xml:space="preserve"> </w:t>
      </w:r>
      <w:r w:rsidRPr="0091321D">
        <w:rPr>
          <w:rFonts w:ascii="Arial Narrow" w:hAnsi="Arial Narrow" w:cstheme="minorHAnsi"/>
          <w:b/>
          <w:bCs/>
          <w:sz w:val="16"/>
          <w:szCs w:val="16"/>
        </w:rPr>
        <w:t>DE TACNA</w:t>
      </w:r>
    </w:p>
    <w:p w14:paraId="24BF2B1F" w14:textId="77777777" w:rsidR="0091321D" w:rsidRDefault="0091321D" w:rsidP="00F77F2A">
      <w:pPr>
        <w:spacing w:after="0" w:line="240" w:lineRule="auto"/>
        <w:ind w:left="3119" w:right="2652"/>
        <w:jc w:val="center"/>
        <w:rPr>
          <w:rFonts w:ascii="Arial Narrow" w:hAnsi="Arial Narrow" w:cstheme="minorHAnsi"/>
          <w:b/>
          <w:bCs/>
          <w:sz w:val="16"/>
          <w:szCs w:val="16"/>
        </w:rPr>
      </w:pPr>
    </w:p>
    <w:p w14:paraId="12E6D685" w14:textId="5EA96CC8" w:rsidR="00107F95" w:rsidRPr="0091321D" w:rsidRDefault="00107F95" w:rsidP="00F77F2A">
      <w:pPr>
        <w:spacing w:after="0" w:line="240" w:lineRule="auto"/>
        <w:ind w:left="3119" w:right="2652"/>
        <w:jc w:val="center"/>
        <w:rPr>
          <w:rFonts w:ascii="Arial Narrow" w:hAnsi="Arial Narrow" w:cstheme="minorHAnsi"/>
          <w:b/>
          <w:bCs/>
          <w:sz w:val="16"/>
          <w:szCs w:val="16"/>
        </w:rPr>
      </w:pPr>
      <w:r w:rsidRPr="0091321D">
        <w:rPr>
          <w:rFonts w:ascii="Arial Narrow" w:hAnsi="Arial Narrow" w:cstheme="minorHAnsi"/>
          <w:b/>
          <w:bCs/>
          <w:sz w:val="16"/>
          <w:szCs w:val="16"/>
        </w:rPr>
        <w:t>NOTIFICACI</w:t>
      </w:r>
      <w:r w:rsidR="009263D2" w:rsidRPr="0091321D">
        <w:rPr>
          <w:rFonts w:ascii="Arial Narrow" w:hAnsi="Arial Narrow" w:cstheme="minorHAnsi"/>
          <w:b/>
          <w:bCs/>
          <w:sz w:val="16"/>
          <w:szCs w:val="16"/>
        </w:rPr>
        <w:t>Ó</w:t>
      </w:r>
      <w:r w:rsidRPr="0091321D">
        <w:rPr>
          <w:rFonts w:ascii="Arial Narrow" w:hAnsi="Arial Narrow" w:cstheme="minorHAnsi"/>
          <w:b/>
          <w:bCs/>
          <w:sz w:val="16"/>
          <w:szCs w:val="16"/>
        </w:rPr>
        <w:t xml:space="preserve">N ADMINISTRATIVA </w:t>
      </w:r>
    </w:p>
    <w:p w14:paraId="3CC058C0" w14:textId="1050387C" w:rsidR="00107F95" w:rsidRPr="007B3B0B" w:rsidRDefault="007B3B0B" w:rsidP="007B3B0B">
      <w:pPr>
        <w:spacing w:line="0" w:lineRule="atLeast"/>
        <w:ind w:left="2552" w:right="1892"/>
        <w:jc w:val="center"/>
        <w:rPr>
          <w:rFonts w:ascii="Arial Narrow" w:eastAsia="Calibri" w:hAnsi="Arial Narrow" w:cs="Times New Roman"/>
          <w:sz w:val="16"/>
          <w:szCs w:val="16"/>
        </w:rPr>
      </w:pPr>
      <w:r w:rsidRPr="003627C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20</w:t>
      </w:r>
      <w:r w:rsidRPr="003627C8">
        <w:rPr>
          <w:rFonts w:ascii="Arial Narrow" w:hAnsi="Arial Narrow"/>
          <w:sz w:val="16"/>
          <w:szCs w:val="16"/>
        </w:rPr>
        <w:t>.12.2024)</w:t>
      </w:r>
    </w:p>
    <w:p w14:paraId="3A198C93" w14:textId="060E78EB" w:rsidR="009263D2" w:rsidRPr="00931281" w:rsidRDefault="00BF660F" w:rsidP="00F77F2A">
      <w:pPr>
        <w:spacing w:after="0" w:line="240" w:lineRule="auto"/>
        <w:ind w:left="3119" w:right="2652"/>
        <w:jc w:val="both"/>
        <w:rPr>
          <w:rFonts w:ascii="Arial Narrow" w:hAnsi="Arial Narrow" w:cstheme="minorHAnsi"/>
          <w:sz w:val="16"/>
          <w:szCs w:val="16"/>
        </w:rPr>
      </w:pPr>
      <w:r w:rsidRPr="00931281">
        <w:rPr>
          <w:rFonts w:ascii="Arial Narrow" w:hAnsi="Arial Narrow" w:cstheme="minorHAnsi"/>
          <w:sz w:val="16"/>
          <w:szCs w:val="16"/>
        </w:rPr>
        <w:t>D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e conformidad con lo dispuesto en el </w:t>
      </w:r>
      <w:r w:rsidR="004E21D2" w:rsidRPr="00931281">
        <w:rPr>
          <w:rFonts w:ascii="Arial Narrow" w:hAnsi="Arial Narrow" w:cstheme="minorHAnsi"/>
          <w:sz w:val="16"/>
          <w:szCs w:val="16"/>
        </w:rPr>
        <w:t>artículo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931281">
        <w:rPr>
          <w:rFonts w:ascii="Arial Narrow" w:hAnsi="Arial Narrow" w:cstheme="minorHAnsi"/>
          <w:sz w:val="16"/>
          <w:szCs w:val="16"/>
        </w:rPr>
        <w:t>s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modificatoria</w:t>
      </w:r>
      <w:r w:rsidR="009263D2" w:rsidRPr="00931281">
        <w:rPr>
          <w:rFonts w:ascii="Arial Narrow" w:hAnsi="Arial Narrow" w:cstheme="minorHAnsi"/>
          <w:sz w:val="16"/>
          <w:szCs w:val="16"/>
        </w:rPr>
        <w:t>s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, </w:t>
      </w:r>
      <w:r w:rsidR="00923EFA" w:rsidRPr="00931281">
        <w:rPr>
          <w:rFonts w:ascii="Arial Narrow" w:hAnsi="Arial Narrow" w:cstheme="minorHAnsi"/>
          <w:sz w:val="16"/>
          <w:szCs w:val="16"/>
        </w:rPr>
        <w:t>Ley de</w:t>
      </w:r>
      <w:r w:rsidR="009263D2" w:rsidRPr="00931281">
        <w:rPr>
          <w:rFonts w:ascii="Arial Narrow" w:hAnsi="Arial Narrow" w:cstheme="minorHAnsi"/>
          <w:sz w:val="16"/>
          <w:szCs w:val="16"/>
        </w:rPr>
        <w:t>l</w:t>
      </w:r>
      <w:r w:rsidR="00923EFA" w:rsidRPr="00931281">
        <w:rPr>
          <w:rFonts w:ascii="Arial Narrow" w:hAnsi="Arial Narrow" w:cstheme="minorHAnsi"/>
          <w:sz w:val="16"/>
          <w:szCs w:val="16"/>
        </w:rPr>
        <w:t xml:space="preserve"> Procedimiento</w:t>
      </w:r>
      <w:r w:rsidR="00DD5293" w:rsidRPr="00931281">
        <w:rPr>
          <w:rFonts w:ascii="Arial Narrow" w:hAnsi="Arial Narrow" w:cstheme="minorHAnsi"/>
          <w:sz w:val="16"/>
          <w:szCs w:val="16"/>
        </w:rPr>
        <w:t xml:space="preserve"> Administrativo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</w:t>
      </w:r>
      <w:r w:rsidR="00DD5293" w:rsidRPr="00931281">
        <w:rPr>
          <w:rFonts w:ascii="Arial Narrow" w:hAnsi="Arial Narrow" w:cstheme="minorHAnsi"/>
          <w:sz w:val="16"/>
          <w:szCs w:val="16"/>
        </w:rPr>
        <w:t xml:space="preserve">General-Ley N° 27444, cumple con NOTIFICAR a las </w:t>
      </w:r>
      <w:r w:rsidR="00107F95" w:rsidRPr="00931281">
        <w:rPr>
          <w:rFonts w:ascii="Arial Narrow" w:hAnsi="Arial Narrow" w:cstheme="minorHAnsi"/>
          <w:sz w:val="16"/>
          <w:szCs w:val="16"/>
        </w:rPr>
        <w:t>personas naturales y/o jurídicas, que la Intendencia de Aduana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</w:t>
      </w:r>
      <w:r w:rsidR="00107F95" w:rsidRPr="00931281">
        <w:rPr>
          <w:rFonts w:ascii="Arial Narrow" w:hAnsi="Arial Narrow" w:cstheme="minorHAnsi"/>
          <w:sz w:val="16"/>
          <w:szCs w:val="16"/>
        </w:rPr>
        <w:t>de Tacna, en aplicación del Artículo 1°, en concordancia con los artículos 33° y 38° de la Ley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N°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28008 Ley de los Delitos Aduaneros</w:t>
      </w:r>
      <w:r w:rsidR="00DD5293" w:rsidRPr="00931281">
        <w:rPr>
          <w:rFonts w:ascii="Arial Narrow" w:hAnsi="Arial Narrow" w:cstheme="minorHAnsi"/>
          <w:sz w:val="16"/>
          <w:szCs w:val="16"/>
        </w:rPr>
        <w:t xml:space="preserve"> y Decreto Legislativo N° 1053 – Ley General de Aduanas, ha decretado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</w:t>
      </w:r>
      <w:r w:rsidR="00DD5293" w:rsidRPr="00931281">
        <w:rPr>
          <w:rFonts w:ascii="Arial Narrow" w:hAnsi="Arial Narrow" w:cstheme="minorHAnsi"/>
          <w:sz w:val="16"/>
          <w:szCs w:val="16"/>
        </w:rPr>
        <w:t>los siguientes actos administrativos mediante Resolución de División,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en relación a las 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mercancías descritas en la acta de incautación indicada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en la presente notificación.</w:t>
      </w:r>
    </w:p>
    <w:p w14:paraId="13113F82" w14:textId="35B81A7F" w:rsidR="00107F95" w:rsidRDefault="006D3C11" w:rsidP="00F77F2A">
      <w:pPr>
        <w:spacing w:after="0" w:line="240" w:lineRule="auto"/>
        <w:ind w:left="3119" w:right="2652"/>
        <w:jc w:val="both"/>
        <w:rPr>
          <w:rFonts w:ascii="Arial Narrow" w:hAnsi="Arial Narrow" w:cstheme="minorHAnsi"/>
          <w:sz w:val="16"/>
          <w:szCs w:val="16"/>
        </w:rPr>
      </w:pPr>
      <w:r w:rsidRPr="00931281">
        <w:rPr>
          <w:rFonts w:ascii="Arial Narrow" w:hAnsi="Arial Narrow" w:cstheme="minorHAnsi"/>
          <w:sz w:val="16"/>
          <w:szCs w:val="16"/>
        </w:rPr>
        <w:t>L</w:t>
      </w:r>
      <w:r w:rsidR="00B245CD" w:rsidRPr="00931281">
        <w:rPr>
          <w:rFonts w:ascii="Arial Narrow" w:hAnsi="Arial Narrow" w:cstheme="minorHAnsi"/>
          <w:sz w:val="16"/>
          <w:szCs w:val="16"/>
        </w:rPr>
        <w:t xml:space="preserve">a </w:t>
      </w:r>
      <w:r w:rsidR="00107F95" w:rsidRPr="00931281">
        <w:rPr>
          <w:rFonts w:ascii="Arial Narrow" w:hAnsi="Arial Narrow" w:cstheme="minorHAnsi"/>
          <w:sz w:val="16"/>
          <w:szCs w:val="16"/>
        </w:rPr>
        <w:t>persona natural y/o jurídica con legítimo interés, puede acercarse a la Intendencia de Aduana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</w:t>
      </w:r>
      <w:r w:rsidR="00107F95" w:rsidRPr="00931281">
        <w:rPr>
          <w:rFonts w:ascii="Arial Narrow" w:hAnsi="Arial Narrow" w:cstheme="minorHAnsi"/>
          <w:sz w:val="16"/>
          <w:szCs w:val="16"/>
        </w:rPr>
        <w:t>de Tacna ubicada en el Parque Industrial, Mz. A, Lote 5 y 6 – Pocollay – Tacna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o a través de la Mesa de Partes Virtual - SUNAT</w:t>
      </w:r>
      <w:r w:rsidR="00107F95" w:rsidRPr="00931281">
        <w:rPr>
          <w:rFonts w:ascii="Arial Narrow" w:hAnsi="Arial Narrow" w:cstheme="minorHAnsi"/>
          <w:sz w:val="16"/>
          <w:szCs w:val="16"/>
        </w:rPr>
        <w:t>,</w:t>
      </w:r>
      <w:r w:rsidR="009263D2" w:rsidRPr="00931281">
        <w:rPr>
          <w:rFonts w:ascii="Arial Narrow" w:hAnsi="Arial Narrow" w:cstheme="minorHAnsi"/>
          <w:sz w:val="16"/>
          <w:szCs w:val="16"/>
        </w:rPr>
        <w:t xml:space="preserve"> para solicitar la Resolución notificada. 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931281">
        <w:rPr>
          <w:rFonts w:ascii="Arial Narrow" w:hAnsi="Arial Narrow" w:cstheme="minorHAnsi"/>
          <w:sz w:val="16"/>
          <w:szCs w:val="16"/>
        </w:rPr>
        <w:t>artículo</w:t>
      </w:r>
      <w:r w:rsidR="00107F95" w:rsidRPr="00931281">
        <w:rPr>
          <w:rFonts w:ascii="Arial Narrow" w:hAnsi="Arial Narrow" w:cstheme="minorHAnsi"/>
          <w:sz w:val="16"/>
          <w:szCs w:val="16"/>
        </w:rPr>
        <w:t xml:space="preserve"> 180° y 186° de la Ley General de Aduanas, aprobado por el Decreto Legislativo N° 1053, concordante con los artículos 235°, 242° y 243° de su Reglamento aprobado por Decreto Supremo N° 010-2009-EF.</w:t>
      </w:r>
    </w:p>
    <w:p w14:paraId="54506A7E" w14:textId="4EE0F8FB" w:rsidR="00753803" w:rsidRDefault="00753803" w:rsidP="004F7288">
      <w:pPr>
        <w:spacing w:after="0" w:line="240" w:lineRule="auto"/>
        <w:ind w:right="3077"/>
        <w:jc w:val="both"/>
        <w:rPr>
          <w:rFonts w:ascii="Arial Narrow" w:hAnsi="Arial Narrow" w:cstheme="minorHAnsi"/>
          <w:sz w:val="16"/>
          <w:szCs w:val="16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3"/>
        <w:gridCol w:w="2587"/>
      </w:tblGrid>
      <w:tr w:rsidR="00F77F2A" w14:paraId="586F0C1F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ECCA" w14:textId="025BFD53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46D407" w14:textId="18AA7FC8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7CB" w14:textId="7209EDDB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</w:rPr>
              <w:t>JONATHAN CANALES RISCO</w:t>
            </w:r>
          </w:p>
        </w:tc>
      </w:tr>
      <w:tr w:rsidR="00F77F2A" w14:paraId="69FE0242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F853" w14:textId="74906E08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CB353AD" w14:textId="5FF4E203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7A6" w14:textId="06178B38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</w:rPr>
              <w:t>CÉDULA DE IDENTIDAD N° 43356948</w:t>
            </w:r>
          </w:p>
        </w:tc>
      </w:tr>
      <w:tr w:rsidR="00F77F2A" w14:paraId="0C1173EC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99EB4" w14:textId="0AB27D54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63A3B7B" w14:textId="508F7C6F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A3A" w14:textId="653A22F3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</w:rPr>
              <w:t>172-0202-2024-000542</w:t>
            </w:r>
          </w:p>
        </w:tc>
      </w:tr>
      <w:tr w:rsidR="00F77F2A" w14:paraId="521813A4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D7D7" w14:textId="401F8BF8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69D01F0" w14:textId="2BA58505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BD2" w14:textId="324ECA98" w:rsidR="00001341" w:rsidRDefault="005C33A2" w:rsidP="005C33A2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</w:rPr>
              <w:t>000812-2024-SUNAT/3G0500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931281">
              <w:rPr>
                <w:rFonts w:ascii="Arial Narrow" w:hAnsi="Arial Narrow" w:cstheme="minorHAnsi"/>
                <w:sz w:val="16"/>
                <w:szCs w:val="16"/>
              </w:rPr>
              <w:t>del 14.11.2024</w:t>
            </w:r>
          </w:p>
        </w:tc>
      </w:tr>
      <w:tr w:rsidR="00F77F2A" w14:paraId="7EE43EC1" w14:textId="77777777" w:rsidTr="00F77F2A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3F7" w14:textId="30FE3148" w:rsidR="005C33A2" w:rsidRDefault="005C33A2" w:rsidP="006C5431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  <w:p w14:paraId="4C63B51B" w14:textId="27A1C42B" w:rsidR="005C33A2" w:rsidRPr="00931281" w:rsidRDefault="005C33A2" w:rsidP="005C33A2">
            <w:pPr>
              <w:contextualSpacing/>
              <w:jc w:val="both"/>
              <w:rPr>
                <w:rFonts w:ascii="Arial Narrow" w:hAnsi="Arial Narrow" w:cstheme="minorHAnsi"/>
                <w:sz w:val="16"/>
                <w:szCs w:val="16"/>
                <w:lang w:eastAsia="es-PE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>ARTÍCULO PRIMERO. - Declarar IMPROCEDENTE la solicitud de devolución de mercancía, presentados por JONATHAN CANALES RISCO identificado con DNI N° 43356948, mediante Expediente N° 172-URD119-2024-807400-4 de fecha 20.08.2024, conforme a los considerandos de la presente resolución.</w:t>
            </w:r>
          </w:p>
          <w:p w14:paraId="531244BF" w14:textId="2827A1DB" w:rsidR="005C33A2" w:rsidRDefault="005C33A2" w:rsidP="005C33A2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>ARTÍCULO SEGUNDO. - Declarar el COMISO a las mercancías descritas en el Acta de Incautación N° 172-0202-2024-000542, de conformidad a lo dispuesto en el artículo 38° de la Ley N° 28008, Ley de los Delitos Aduaneros.</w:t>
            </w:r>
          </w:p>
        </w:tc>
      </w:tr>
    </w:tbl>
    <w:p w14:paraId="5AAA1438" w14:textId="4A7B31DF" w:rsidR="00F95E33" w:rsidRDefault="00F95E33" w:rsidP="00F95E3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3"/>
        <w:gridCol w:w="2587"/>
      </w:tblGrid>
      <w:tr w:rsidR="00ED1CA6" w14:paraId="3F5EAD9B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10E4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865F1D1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37D" w14:textId="47DCBC7B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>LUDY SOLEDAD CALLE HUANCA</w:t>
            </w:r>
          </w:p>
        </w:tc>
      </w:tr>
      <w:tr w:rsidR="00ED1CA6" w14:paraId="11EEB908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D9D1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94EFDD9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5EB" w14:textId="387786BC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>Cédula de Identidad/RUN N° 194950020</w:t>
            </w:r>
          </w:p>
        </w:tc>
      </w:tr>
      <w:tr w:rsidR="00ED1CA6" w14:paraId="1AD4155D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D2786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B21FB52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91B" w14:textId="4A531F05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>172-0204-2024-727</w:t>
            </w:r>
          </w:p>
        </w:tc>
      </w:tr>
      <w:tr w:rsidR="00ED1CA6" w14:paraId="435217FD" w14:textId="77777777" w:rsidTr="00F77F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617B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B5C9D93" w14:textId="77777777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DD6" w14:textId="163FC241" w:rsidR="00ED1CA6" w:rsidRDefault="00ED1CA6" w:rsidP="005D14B3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>N.º 000214-2024-SUNAT/3G0800</w:t>
            </w:r>
          </w:p>
        </w:tc>
      </w:tr>
      <w:tr w:rsidR="00ED1CA6" w14:paraId="26948452" w14:textId="77777777" w:rsidTr="00F77F2A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875" w14:textId="77777777" w:rsidR="00ED1CA6" w:rsidRDefault="00ED1CA6" w:rsidP="005D14B3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93128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 w:cstheme="minorHAnsi"/>
                <w:sz w:val="16"/>
                <w:szCs w:val="16"/>
              </w:rPr>
              <w:t>:</w:t>
            </w:r>
          </w:p>
          <w:p w14:paraId="2DB2E914" w14:textId="77777777" w:rsidR="00ED1CA6" w:rsidRPr="00F95E33" w:rsidRDefault="00ED1CA6" w:rsidP="00ED1C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 xml:space="preserve">ARTÍCULO PRIMERO: Declarar IMPROCEDENTE la solicitud de devolución del vehículo de placa chilena N° SBCS12, presentada por LUDY SOLEDAD CALLE HUANCA, identificada con Cédula de Identidad/RUN N° 194950020, mediante Expediente N° 172 -URD119 -2024 -1126099, de fecha 12.11.2024, en mérito a los fundamentos expuestos en la presente resolución. </w:t>
            </w:r>
          </w:p>
          <w:p w14:paraId="2FECB2CF" w14:textId="43A47650" w:rsidR="00ED1CA6" w:rsidRDefault="00ED1CA6" w:rsidP="00ED1CA6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F95E33">
              <w:rPr>
                <w:rFonts w:ascii="Arial Narrow" w:hAnsi="Arial Narrow"/>
                <w:sz w:val="16"/>
                <w:szCs w:val="16"/>
              </w:rPr>
              <w:t>ARTÍCULO SEGUNDO: Declarar el COMISO del vehículo de placa chilena N° SBCS12, incautado con Acta N° 172 -0204 -2024 -000727, identificado con las siguientes características: “VEHICULO USADO, MARCA NISSAN, MODELO NOTE 1.2 AUT, COLOR PLATEADO, MOTOR HR12 -125784A, CHASIS E12 -068745. AÑO 2013, PLACA SBCS -12”, de conformidad con el antepenúltimo párrafo del artículo 200° de la LGA, con código CO13 de la Tabla de Sanciones, aprobado por el Decreto Supremo N°418 -2019 -EF. ARTÍCULO TERCERO: Proceder con la REGULARIZACIÓN EXCEPCIONAL del Registro Vehicular N° 11 -172 -0204 -2024 -137519, de fecha 09.07.2024, en el Módulo de Control Vehicular, conforme al literal d), numeral 1, del apartado E.2, de la sección VII del procedimiento general DESPA -PG.16 (versión 3).</w:t>
            </w:r>
          </w:p>
        </w:tc>
      </w:tr>
    </w:tbl>
    <w:p w14:paraId="4D169954" w14:textId="284C50EB" w:rsidR="00ED1CA6" w:rsidRPr="00F95E33" w:rsidRDefault="00ED1CA6" w:rsidP="00F95E3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sectPr w:rsidR="00ED1CA6" w:rsidRPr="00F95E33" w:rsidSect="00F77F2A">
      <w:pgSz w:w="11900" w:h="16840"/>
      <w:pgMar w:top="572" w:right="1080" w:bottom="39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B4D2" w14:textId="77777777" w:rsidR="00E849C4" w:rsidRDefault="00E849C4" w:rsidP="005319CE">
      <w:pPr>
        <w:spacing w:after="0" w:line="240" w:lineRule="auto"/>
      </w:pPr>
      <w:r>
        <w:separator/>
      </w:r>
    </w:p>
  </w:endnote>
  <w:endnote w:type="continuationSeparator" w:id="0">
    <w:p w14:paraId="76CF8AA3" w14:textId="77777777" w:rsidR="00E849C4" w:rsidRDefault="00E849C4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34FF" w14:textId="77777777" w:rsidR="00E849C4" w:rsidRDefault="00E849C4" w:rsidP="005319CE">
      <w:pPr>
        <w:spacing w:after="0" w:line="240" w:lineRule="auto"/>
      </w:pPr>
      <w:r>
        <w:separator/>
      </w:r>
    </w:p>
  </w:footnote>
  <w:footnote w:type="continuationSeparator" w:id="0">
    <w:p w14:paraId="471BFC2E" w14:textId="77777777" w:rsidR="00E849C4" w:rsidRDefault="00E849C4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01341"/>
    <w:rsid w:val="00001569"/>
    <w:rsid w:val="0002219F"/>
    <w:rsid w:val="000271A1"/>
    <w:rsid w:val="0003238B"/>
    <w:rsid w:val="000507E0"/>
    <w:rsid w:val="000618A2"/>
    <w:rsid w:val="000766A7"/>
    <w:rsid w:val="00091369"/>
    <w:rsid w:val="000D08D4"/>
    <w:rsid w:val="000D76D9"/>
    <w:rsid w:val="000F3EE5"/>
    <w:rsid w:val="00107F95"/>
    <w:rsid w:val="00113880"/>
    <w:rsid w:val="00152708"/>
    <w:rsid w:val="00166D8D"/>
    <w:rsid w:val="00170AA4"/>
    <w:rsid w:val="001740A0"/>
    <w:rsid w:val="00177D99"/>
    <w:rsid w:val="001A06B4"/>
    <w:rsid w:val="001A7DF9"/>
    <w:rsid w:val="001C7EE6"/>
    <w:rsid w:val="001E734A"/>
    <w:rsid w:val="001F3673"/>
    <w:rsid w:val="00204431"/>
    <w:rsid w:val="00204E3F"/>
    <w:rsid w:val="0022438E"/>
    <w:rsid w:val="00235118"/>
    <w:rsid w:val="0024134F"/>
    <w:rsid w:val="00260104"/>
    <w:rsid w:val="00262E09"/>
    <w:rsid w:val="00263580"/>
    <w:rsid w:val="00280B1A"/>
    <w:rsid w:val="002A34CA"/>
    <w:rsid w:val="002A43AA"/>
    <w:rsid w:val="002B08A0"/>
    <w:rsid w:val="002D1803"/>
    <w:rsid w:val="002D2E53"/>
    <w:rsid w:val="002D7250"/>
    <w:rsid w:val="00305026"/>
    <w:rsid w:val="00310D76"/>
    <w:rsid w:val="00316AA1"/>
    <w:rsid w:val="00335B64"/>
    <w:rsid w:val="003725BB"/>
    <w:rsid w:val="0037341C"/>
    <w:rsid w:val="0037423B"/>
    <w:rsid w:val="00375B00"/>
    <w:rsid w:val="00386C8B"/>
    <w:rsid w:val="003B5292"/>
    <w:rsid w:val="003C325C"/>
    <w:rsid w:val="003C5368"/>
    <w:rsid w:val="003D2DB6"/>
    <w:rsid w:val="003F0A1F"/>
    <w:rsid w:val="004010F7"/>
    <w:rsid w:val="0040439C"/>
    <w:rsid w:val="00407E6F"/>
    <w:rsid w:val="004410B1"/>
    <w:rsid w:val="004421C2"/>
    <w:rsid w:val="00446B17"/>
    <w:rsid w:val="004563FB"/>
    <w:rsid w:val="004A54D3"/>
    <w:rsid w:val="004E21D2"/>
    <w:rsid w:val="004E2231"/>
    <w:rsid w:val="004E3B32"/>
    <w:rsid w:val="004E7DC5"/>
    <w:rsid w:val="004F0A73"/>
    <w:rsid w:val="004F3A5E"/>
    <w:rsid w:val="004F7288"/>
    <w:rsid w:val="00516B79"/>
    <w:rsid w:val="00520ED0"/>
    <w:rsid w:val="005319CE"/>
    <w:rsid w:val="005550B5"/>
    <w:rsid w:val="0057293B"/>
    <w:rsid w:val="00575D6D"/>
    <w:rsid w:val="005937AE"/>
    <w:rsid w:val="005B21D1"/>
    <w:rsid w:val="005B6463"/>
    <w:rsid w:val="005C13CB"/>
    <w:rsid w:val="005C33A2"/>
    <w:rsid w:val="005D0B5C"/>
    <w:rsid w:val="005E3435"/>
    <w:rsid w:val="00602D8E"/>
    <w:rsid w:val="00612EA5"/>
    <w:rsid w:val="00624B06"/>
    <w:rsid w:val="00632AFA"/>
    <w:rsid w:val="006431DF"/>
    <w:rsid w:val="00654B20"/>
    <w:rsid w:val="00673016"/>
    <w:rsid w:val="00682FF5"/>
    <w:rsid w:val="0069120F"/>
    <w:rsid w:val="006947FC"/>
    <w:rsid w:val="006B5275"/>
    <w:rsid w:val="006C5431"/>
    <w:rsid w:val="006D3C11"/>
    <w:rsid w:val="006D5548"/>
    <w:rsid w:val="006D6F06"/>
    <w:rsid w:val="006E23BE"/>
    <w:rsid w:val="006F0034"/>
    <w:rsid w:val="0071439F"/>
    <w:rsid w:val="00736877"/>
    <w:rsid w:val="00742AF2"/>
    <w:rsid w:val="007463B8"/>
    <w:rsid w:val="00753803"/>
    <w:rsid w:val="00793D51"/>
    <w:rsid w:val="00796BD9"/>
    <w:rsid w:val="007A331D"/>
    <w:rsid w:val="007B3B0B"/>
    <w:rsid w:val="007E18BA"/>
    <w:rsid w:val="00800A4C"/>
    <w:rsid w:val="00801EC2"/>
    <w:rsid w:val="00813866"/>
    <w:rsid w:val="00843AC9"/>
    <w:rsid w:val="008766C6"/>
    <w:rsid w:val="00882A6C"/>
    <w:rsid w:val="008839CB"/>
    <w:rsid w:val="00892D40"/>
    <w:rsid w:val="008A1133"/>
    <w:rsid w:val="008C4C14"/>
    <w:rsid w:val="008C7AFF"/>
    <w:rsid w:val="008D4993"/>
    <w:rsid w:val="008E0458"/>
    <w:rsid w:val="00901819"/>
    <w:rsid w:val="0091321D"/>
    <w:rsid w:val="009140F2"/>
    <w:rsid w:val="009162A6"/>
    <w:rsid w:val="00923EFA"/>
    <w:rsid w:val="009263D2"/>
    <w:rsid w:val="00931281"/>
    <w:rsid w:val="00931F7F"/>
    <w:rsid w:val="00936528"/>
    <w:rsid w:val="009506F1"/>
    <w:rsid w:val="0095373E"/>
    <w:rsid w:val="00965E89"/>
    <w:rsid w:val="009A0A6C"/>
    <w:rsid w:val="009A20C0"/>
    <w:rsid w:val="009A7827"/>
    <w:rsid w:val="009B4CF7"/>
    <w:rsid w:val="009C6494"/>
    <w:rsid w:val="009D2812"/>
    <w:rsid w:val="009F303A"/>
    <w:rsid w:val="00A03072"/>
    <w:rsid w:val="00A12EF5"/>
    <w:rsid w:val="00A220BD"/>
    <w:rsid w:val="00A30FBE"/>
    <w:rsid w:val="00A36837"/>
    <w:rsid w:val="00A429C9"/>
    <w:rsid w:val="00A42CDE"/>
    <w:rsid w:val="00A44E43"/>
    <w:rsid w:val="00A51BF4"/>
    <w:rsid w:val="00A75A1A"/>
    <w:rsid w:val="00A9458F"/>
    <w:rsid w:val="00AA6847"/>
    <w:rsid w:val="00AB2C18"/>
    <w:rsid w:val="00AB5218"/>
    <w:rsid w:val="00AB68CE"/>
    <w:rsid w:val="00AE5BC9"/>
    <w:rsid w:val="00AF1487"/>
    <w:rsid w:val="00AF2947"/>
    <w:rsid w:val="00B245C0"/>
    <w:rsid w:val="00B245CD"/>
    <w:rsid w:val="00B2579C"/>
    <w:rsid w:val="00B300E5"/>
    <w:rsid w:val="00B33CC8"/>
    <w:rsid w:val="00B35DA5"/>
    <w:rsid w:val="00B43B19"/>
    <w:rsid w:val="00B444B3"/>
    <w:rsid w:val="00B51A44"/>
    <w:rsid w:val="00B546DC"/>
    <w:rsid w:val="00B54E63"/>
    <w:rsid w:val="00B61ABB"/>
    <w:rsid w:val="00B977AB"/>
    <w:rsid w:val="00BB30C4"/>
    <w:rsid w:val="00BC0DEC"/>
    <w:rsid w:val="00BF660F"/>
    <w:rsid w:val="00C32835"/>
    <w:rsid w:val="00C70A2E"/>
    <w:rsid w:val="00C7519F"/>
    <w:rsid w:val="00C802ED"/>
    <w:rsid w:val="00C808D0"/>
    <w:rsid w:val="00C85E18"/>
    <w:rsid w:val="00C87B1D"/>
    <w:rsid w:val="00CA1D92"/>
    <w:rsid w:val="00CB507F"/>
    <w:rsid w:val="00CC43FF"/>
    <w:rsid w:val="00CD2525"/>
    <w:rsid w:val="00D04A68"/>
    <w:rsid w:val="00D24CDB"/>
    <w:rsid w:val="00D42EC5"/>
    <w:rsid w:val="00D51149"/>
    <w:rsid w:val="00D61452"/>
    <w:rsid w:val="00D63F69"/>
    <w:rsid w:val="00D65321"/>
    <w:rsid w:val="00D76FDB"/>
    <w:rsid w:val="00D82D86"/>
    <w:rsid w:val="00D96A95"/>
    <w:rsid w:val="00D96C2D"/>
    <w:rsid w:val="00DA2AC5"/>
    <w:rsid w:val="00DA31E8"/>
    <w:rsid w:val="00DB61F0"/>
    <w:rsid w:val="00DC6533"/>
    <w:rsid w:val="00DD5293"/>
    <w:rsid w:val="00E0375F"/>
    <w:rsid w:val="00E23820"/>
    <w:rsid w:val="00E777A1"/>
    <w:rsid w:val="00E77ADB"/>
    <w:rsid w:val="00E845EE"/>
    <w:rsid w:val="00E849C4"/>
    <w:rsid w:val="00EA1B83"/>
    <w:rsid w:val="00EA3DAF"/>
    <w:rsid w:val="00EC6D71"/>
    <w:rsid w:val="00EC7C3A"/>
    <w:rsid w:val="00ED1CA6"/>
    <w:rsid w:val="00EE6F6C"/>
    <w:rsid w:val="00EF6F6B"/>
    <w:rsid w:val="00F12E56"/>
    <w:rsid w:val="00F27BAC"/>
    <w:rsid w:val="00F55079"/>
    <w:rsid w:val="00F6301A"/>
    <w:rsid w:val="00F63E23"/>
    <w:rsid w:val="00F71280"/>
    <w:rsid w:val="00F77F2A"/>
    <w:rsid w:val="00F8613D"/>
    <w:rsid w:val="00F92E8E"/>
    <w:rsid w:val="00F95E33"/>
    <w:rsid w:val="00FD600A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C310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2">
    <w:name w:val="heading 2"/>
    <w:basedOn w:val="Normal"/>
    <w:next w:val="Normal"/>
    <w:link w:val="Ttulo2Car"/>
    <w:qFormat/>
    <w:rsid w:val="009506F1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3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character" w:customStyle="1" w:styleId="Ttulo2Car">
    <w:name w:val="Título 2 Car"/>
    <w:basedOn w:val="Fuentedeprrafopredeter"/>
    <w:link w:val="Ttulo2"/>
    <w:rsid w:val="009506F1"/>
    <w:rPr>
      <w:rFonts w:ascii="Calibri" w:eastAsia="Times New Roman" w:hAnsi="Calibri" w:cs="Times New Roman"/>
      <w:b/>
      <w:bCs/>
      <w:color w:val="FFFFFF"/>
      <w:sz w:val="18"/>
      <w:szCs w:val="18"/>
      <w:lang w:eastAsia="es-ES"/>
    </w:rPr>
  </w:style>
  <w:style w:type="paragraph" w:customStyle="1" w:styleId="Default">
    <w:name w:val="Default"/>
    <w:rsid w:val="009506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9506F1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9312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ADD8-CE3E-4B65-A515-685D7F68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2024-12-18T21:19:00Z</cp:lastPrinted>
  <dcterms:created xsi:type="dcterms:W3CDTF">2024-12-18T21:19:00Z</dcterms:created>
  <dcterms:modified xsi:type="dcterms:W3CDTF">2024-12-18T21:36:00Z</dcterms:modified>
</cp:coreProperties>
</file>