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2776" w14:textId="77777777" w:rsidR="00994B22" w:rsidRDefault="00994B22" w:rsidP="00E81294">
      <w:pPr>
        <w:spacing w:after="0" w:line="0" w:lineRule="atLeast"/>
        <w:ind w:left="426" w:right="210"/>
        <w:jc w:val="center"/>
        <w:rPr>
          <w:rFonts w:ascii="Arial Narrow" w:hAnsi="Arial Narrow"/>
          <w:b/>
          <w:bCs/>
          <w:sz w:val="16"/>
          <w:szCs w:val="16"/>
        </w:rPr>
      </w:pPr>
    </w:p>
    <w:p w14:paraId="6CA60800" w14:textId="77777777" w:rsidR="00994B22" w:rsidRDefault="00994B22" w:rsidP="00E81294">
      <w:pPr>
        <w:spacing w:after="0" w:line="0" w:lineRule="atLeast"/>
        <w:ind w:left="426" w:right="210"/>
        <w:jc w:val="center"/>
        <w:rPr>
          <w:rFonts w:ascii="Arial Narrow" w:hAnsi="Arial Narrow"/>
          <w:b/>
          <w:bCs/>
          <w:sz w:val="16"/>
          <w:szCs w:val="16"/>
        </w:rPr>
      </w:pPr>
    </w:p>
    <w:p w14:paraId="7E5ABBED" w14:textId="7A56BD38" w:rsidR="00E81294" w:rsidRPr="00061122" w:rsidRDefault="00E81294" w:rsidP="00E81294">
      <w:pPr>
        <w:spacing w:after="0" w:line="0" w:lineRule="atLeast"/>
        <w:ind w:left="426" w:right="210"/>
        <w:jc w:val="center"/>
        <w:rPr>
          <w:rFonts w:ascii="Arial Narrow" w:hAnsi="Arial Narrow"/>
          <w:b/>
          <w:bCs/>
          <w:sz w:val="16"/>
          <w:szCs w:val="16"/>
        </w:rPr>
      </w:pPr>
      <w:r w:rsidRPr="00061122">
        <w:rPr>
          <w:rFonts w:ascii="Arial Narrow" w:hAnsi="Arial Narrow"/>
          <w:b/>
          <w:bCs/>
          <w:sz w:val="16"/>
          <w:szCs w:val="16"/>
        </w:rPr>
        <w:t>SUPERINTENDENCIA NACIONAL DE ADUANAS Y ADMINISTRACION TRIBUTARIA</w:t>
      </w:r>
    </w:p>
    <w:p w14:paraId="79E87685" w14:textId="77777777" w:rsidR="00E81294" w:rsidRDefault="00E81294" w:rsidP="00994B22">
      <w:pPr>
        <w:spacing w:after="0" w:line="0" w:lineRule="atLeast"/>
        <w:ind w:left="2977" w:right="2827"/>
        <w:jc w:val="center"/>
        <w:rPr>
          <w:rFonts w:ascii="Arial Narrow" w:hAnsi="Arial Narrow"/>
          <w:b/>
          <w:bCs/>
          <w:sz w:val="16"/>
          <w:szCs w:val="16"/>
        </w:rPr>
      </w:pPr>
      <w:r w:rsidRPr="00061122">
        <w:rPr>
          <w:rFonts w:ascii="Arial Narrow" w:hAnsi="Arial Narrow"/>
          <w:b/>
          <w:bCs/>
          <w:sz w:val="16"/>
          <w:szCs w:val="16"/>
        </w:rPr>
        <w:t>INTENDENCIA DE ADUANA DE TACNA</w:t>
      </w:r>
    </w:p>
    <w:p w14:paraId="6617BD3B" w14:textId="77777777" w:rsidR="00E81294" w:rsidRDefault="00E81294" w:rsidP="00994B22">
      <w:pPr>
        <w:spacing w:after="0" w:line="0" w:lineRule="atLeast"/>
        <w:ind w:left="2977" w:right="2827"/>
        <w:jc w:val="center"/>
        <w:rPr>
          <w:rFonts w:ascii="Arial Narrow" w:hAnsi="Arial Narrow"/>
          <w:b/>
          <w:bCs/>
          <w:sz w:val="16"/>
          <w:szCs w:val="16"/>
        </w:rPr>
      </w:pPr>
    </w:p>
    <w:p w14:paraId="37C37672" w14:textId="3671AA77" w:rsidR="00E81294" w:rsidRPr="00061122" w:rsidRDefault="00E81294" w:rsidP="00994B22">
      <w:pPr>
        <w:spacing w:after="0" w:line="0" w:lineRule="atLeast"/>
        <w:ind w:left="2977" w:right="2827"/>
        <w:jc w:val="center"/>
        <w:rPr>
          <w:rFonts w:ascii="Arial Narrow" w:hAnsi="Arial Narrow"/>
          <w:b/>
          <w:bCs/>
          <w:sz w:val="16"/>
          <w:szCs w:val="16"/>
        </w:rPr>
      </w:pPr>
      <w:r w:rsidRPr="00061122">
        <w:rPr>
          <w:rFonts w:ascii="Arial Narrow" w:hAnsi="Arial Narrow"/>
          <w:b/>
          <w:bCs/>
          <w:sz w:val="16"/>
          <w:szCs w:val="16"/>
        </w:rPr>
        <w:t>NOTIFICACION ADMINISTRATIVA</w:t>
      </w:r>
      <w:r w:rsidR="000D5190">
        <w:rPr>
          <w:rFonts w:ascii="Arial Narrow" w:hAnsi="Arial Narrow"/>
          <w:b/>
          <w:bCs/>
          <w:sz w:val="16"/>
          <w:szCs w:val="16"/>
        </w:rPr>
        <w:br/>
      </w:r>
      <w:r w:rsidR="000D5190" w:rsidRPr="00EC0EF1">
        <w:rPr>
          <w:rFonts w:ascii="Arial Narrow" w:hAnsi="Arial Narrow"/>
          <w:bCs/>
          <w:sz w:val="16"/>
          <w:szCs w:val="16"/>
        </w:rPr>
        <w:t>(Publicada en el Boletín del Diario Oficial El Peruano el</w:t>
      </w:r>
      <w:r w:rsidR="000D5190" w:rsidRPr="00814C93">
        <w:rPr>
          <w:rFonts w:ascii="Arial Narrow" w:hAnsi="Arial Narrow"/>
          <w:sz w:val="16"/>
          <w:szCs w:val="16"/>
        </w:rPr>
        <w:t xml:space="preserve"> 1</w:t>
      </w:r>
      <w:r w:rsidR="000D5190">
        <w:rPr>
          <w:rFonts w:ascii="Arial Narrow" w:hAnsi="Arial Narrow"/>
          <w:sz w:val="16"/>
          <w:szCs w:val="16"/>
        </w:rPr>
        <w:t>6</w:t>
      </w:r>
      <w:r w:rsidR="000D5190" w:rsidRPr="00EC0EF1">
        <w:rPr>
          <w:rFonts w:ascii="Arial Narrow" w:hAnsi="Arial Narrow"/>
          <w:bCs/>
          <w:sz w:val="16"/>
          <w:szCs w:val="16"/>
        </w:rPr>
        <w:t>.01.2024)</w:t>
      </w:r>
    </w:p>
    <w:p w14:paraId="0781A2BA" w14:textId="77777777" w:rsidR="00E81294" w:rsidRPr="00061122" w:rsidRDefault="00E81294" w:rsidP="00994B22">
      <w:pPr>
        <w:spacing w:after="0" w:line="0" w:lineRule="atLeast"/>
        <w:ind w:right="2827"/>
        <w:rPr>
          <w:rFonts w:ascii="Arial Narrow" w:hAnsi="Arial Narrow"/>
          <w:sz w:val="16"/>
          <w:szCs w:val="16"/>
        </w:rPr>
      </w:pPr>
    </w:p>
    <w:p w14:paraId="134C7B36" w14:textId="77777777" w:rsidR="00E81294" w:rsidRPr="00061122" w:rsidRDefault="00E81294" w:rsidP="00994B22">
      <w:pPr>
        <w:spacing w:after="0" w:line="0" w:lineRule="atLeast"/>
        <w:ind w:left="2977" w:right="2827"/>
        <w:jc w:val="both"/>
        <w:rPr>
          <w:rFonts w:ascii="Arial Narrow" w:hAnsi="Arial Narrow"/>
          <w:sz w:val="16"/>
          <w:szCs w:val="16"/>
        </w:rPr>
      </w:pPr>
      <w:r w:rsidRPr="0006112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w:t>
      </w:r>
      <w:r>
        <w:rPr>
          <w:rFonts w:ascii="Arial Narrow" w:hAnsi="Arial Narrow"/>
          <w:sz w:val="16"/>
          <w:szCs w:val="16"/>
        </w:rPr>
        <w:t>ones</w:t>
      </w:r>
      <w:r w:rsidRPr="00061122">
        <w:rPr>
          <w:rFonts w:ascii="Arial Narrow" w:hAnsi="Arial Narrow"/>
          <w:sz w:val="16"/>
          <w:szCs w:val="16"/>
        </w:rPr>
        <w:t xml:space="preserve"> de División, en relación a las  mercancías descritas en el acta de incautación indicada en la presente notificación.</w:t>
      </w:r>
    </w:p>
    <w:p w14:paraId="781F7E96" w14:textId="77777777" w:rsidR="00E81294" w:rsidRDefault="00E81294" w:rsidP="00994B22">
      <w:pPr>
        <w:spacing w:after="0" w:line="0" w:lineRule="atLeast"/>
        <w:ind w:left="2977" w:right="2827"/>
        <w:jc w:val="both"/>
        <w:rPr>
          <w:rFonts w:ascii="Arial Narrow" w:hAnsi="Arial Narrow"/>
          <w:sz w:val="16"/>
          <w:szCs w:val="16"/>
        </w:rPr>
      </w:pPr>
      <w:r w:rsidRPr="0006112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253"/>
        <w:gridCol w:w="2790"/>
      </w:tblGrid>
      <w:tr w:rsidR="003D31EB" w14:paraId="13F4CDB7" w14:textId="77777777" w:rsidTr="00994B22">
        <w:tc>
          <w:tcPr>
            <w:tcW w:w="1629" w:type="dxa"/>
            <w:tcBorders>
              <w:top w:val="single" w:sz="4" w:space="0" w:color="auto"/>
              <w:left w:val="single" w:sz="4" w:space="0" w:color="auto"/>
              <w:bottom w:val="single" w:sz="4" w:space="0" w:color="auto"/>
            </w:tcBorders>
          </w:tcPr>
          <w:p w14:paraId="7BC3E00F" w14:textId="6F3DC8D8" w:rsidR="003D31EB" w:rsidRPr="003D31EB" w:rsidRDefault="003D31EB" w:rsidP="003D31EB">
            <w:pPr>
              <w:spacing w:after="0" w:line="0" w:lineRule="atLeast"/>
              <w:jc w:val="both"/>
              <w:rPr>
                <w:rFonts w:ascii="Arial Narrow" w:hAnsi="Arial Narrow"/>
                <w:sz w:val="16"/>
                <w:szCs w:val="16"/>
              </w:rPr>
            </w:pPr>
            <w:r w:rsidRPr="003D31EB">
              <w:rPr>
                <w:rFonts w:ascii="Arial Narrow" w:eastAsia="Times New Roman" w:hAnsi="Arial Narrow" w:cs="Times New Roman"/>
                <w:color w:val="000000"/>
                <w:sz w:val="16"/>
                <w:szCs w:val="16"/>
                <w:lang w:val="es-ES" w:eastAsia="es-ES"/>
              </w:rPr>
              <w:t>Documento de Identidad</w:t>
            </w:r>
          </w:p>
        </w:tc>
        <w:tc>
          <w:tcPr>
            <w:tcW w:w="253" w:type="dxa"/>
            <w:tcBorders>
              <w:top w:val="single" w:sz="4" w:space="0" w:color="auto"/>
              <w:bottom w:val="single" w:sz="4" w:space="0" w:color="auto"/>
            </w:tcBorders>
          </w:tcPr>
          <w:p w14:paraId="24779098" w14:textId="1A9FEC8A" w:rsidR="003D31EB" w:rsidRPr="003D31EB" w:rsidRDefault="003D31EB" w:rsidP="003D31EB">
            <w:pPr>
              <w:spacing w:after="0" w:line="0" w:lineRule="atLeast"/>
              <w:jc w:val="both"/>
              <w:rPr>
                <w:rFonts w:ascii="Arial Narrow" w:hAnsi="Arial Narrow"/>
                <w:sz w:val="16"/>
                <w:szCs w:val="16"/>
              </w:rPr>
            </w:pPr>
            <w:r w:rsidRPr="003D31EB">
              <w:rPr>
                <w:rFonts w:ascii="Arial Narrow" w:hAnsi="Arial Narrow"/>
                <w:sz w:val="16"/>
                <w:szCs w:val="16"/>
              </w:rPr>
              <w:t>:</w:t>
            </w:r>
          </w:p>
        </w:tc>
        <w:tc>
          <w:tcPr>
            <w:tcW w:w="2790" w:type="dxa"/>
            <w:tcBorders>
              <w:top w:val="single" w:sz="4" w:space="0" w:color="auto"/>
              <w:bottom w:val="single" w:sz="4" w:space="0" w:color="auto"/>
              <w:right w:val="single" w:sz="4" w:space="0" w:color="auto"/>
            </w:tcBorders>
          </w:tcPr>
          <w:p w14:paraId="19F2D57D" w14:textId="65D00499" w:rsidR="003D31EB" w:rsidRPr="003D31EB" w:rsidRDefault="003D31EB" w:rsidP="003D31EB">
            <w:pPr>
              <w:spacing w:after="0" w:line="0" w:lineRule="atLeast"/>
              <w:rPr>
                <w:rFonts w:ascii="Arial Narrow" w:eastAsia="Times New Roman" w:hAnsi="Arial Narrow" w:cstheme="minorHAnsi"/>
                <w:color w:val="000000"/>
                <w:sz w:val="16"/>
                <w:szCs w:val="16"/>
                <w:lang w:val="es-ES" w:eastAsia="es-ES"/>
              </w:rPr>
            </w:pPr>
            <w:r w:rsidRPr="003D31EB">
              <w:rPr>
                <w:rFonts w:ascii="Arial Narrow" w:eastAsia="Times New Roman" w:hAnsi="Arial Narrow" w:cstheme="minorHAnsi"/>
                <w:color w:val="000000"/>
                <w:sz w:val="16"/>
                <w:szCs w:val="16"/>
                <w:lang w:val="es-ES" w:eastAsia="es-ES"/>
              </w:rPr>
              <w:t xml:space="preserve">DNI </w:t>
            </w: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70447496 / CEDULA </w:t>
            </w: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22737845</w:t>
            </w:r>
          </w:p>
        </w:tc>
      </w:tr>
      <w:tr w:rsidR="003D31EB" w14:paraId="607DF652" w14:textId="77777777" w:rsidTr="00994B22">
        <w:tc>
          <w:tcPr>
            <w:tcW w:w="1629" w:type="dxa"/>
            <w:tcBorders>
              <w:top w:val="single" w:sz="4" w:space="0" w:color="auto"/>
              <w:left w:val="single" w:sz="4" w:space="0" w:color="auto"/>
              <w:bottom w:val="single" w:sz="4" w:space="0" w:color="auto"/>
            </w:tcBorders>
          </w:tcPr>
          <w:p w14:paraId="3184ACE3" w14:textId="2F668CEF" w:rsidR="003D31EB" w:rsidRPr="003D31EB" w:rsidRDefault="003D31EB" w:rsidP="003D31EB">
            <w:pPr>
              <w:spacing w:after="0" w:line="0" w:lineRule="atLeast"/>
              <w:jc w:val="both"/>
              <w:rPr>
                <w:rFonts w:ascii="Arial Narrow" w:hAnsi="Arial Narrow"/>
                <w:sz w:val="16"/>
                <w:szCs w:val="16"/>
              </w:rPr>
            </w:pPr>
            <w:r w:rsidRPr="003D31EB">
              <w:rPr>
                <w:rFonts w:ascii="Arial Narrow" w:eastAsia="Times New Roman" w:hAnsi="Arial Narrow" w:cs="Times New Roman"/>
                <w:color w:val="000000"/>
                <w:sz w:val="16"/>
                <w:szCs w:val="16"/>
                <w:lang w:val="es-ES" w:eastAsia="es-ES"/>
              </w:rPr>
              <w:t>Infractor</w:t>
            </w:r>
          </w:p>
        </w:tc>
        <w:tc>
          <w:tcPr>
            <w:tcW w:w="253" w:type="dxa"/>
            <w:tcBorders>
              <w:top w:val="single" w:sz="4" w:space="0" w:color="auto"/>
              <w:bottom w:val="single" w:sz="4" w:space="0" w:color="auto"/>
            </w:tcBorders>
          </w:tcPr>
          <w:p w14:paraId="49E95E46" w14:textId="0442251B" w:rsidR="003D31EB" w:rsidRPr="003D31EB" w:rsidRDefault="003D31EB" w:rsidP="003D31EB">
            <w:pPr>
              <w:spacing w:after="0" w:line="0" w:lineRule="atLeast"/>
              <w:jc w:val="both"/>
              <w:rPr>
                <w:rFonts w:ascii="Arial Narrow" w:hAnsi="Arial Narrow"/>
                <w:sz w:val="16"/>
                <w:szCs w:val="16"/>
              </w:rPr>
            </w:pPr>
            <w:r w:rsidRPr="003D31EB">
              <w:rPr>
                <w:rFonts w:ascii="Arial Narrow" w:hAnsi="Arial Narrow"/>
                <w:sz w:val="16"/>
                <w:szCs w:val="16"/>
              </w:rPr>
              <w:t>:</w:t>
            </w:r>
          </w:p>
        </w:tc>
        <w:tc>
          <w:tcPr>
            <w:tcW w:w="2790" w:type="dxa"/>
            <w:tcBorders>
              <w:top w:val="single" w:sz="4" w:space="0" w:color="auto"/>
              <w:bottom w:val="single" w:sz="4" w:space="0" w:color="auto"/>
              <w:right w:val="single" w:sz="4" w:space="0" w:color="auto"/>
            </w:tcBorders>
          </w:tcPr>
          <w:p w14:paraId="18D28D28" w14:textId="759B3EA5" w:rsidR="003D31EB" w:rsidRPr="003D31EB" w:rsidRDefault="003D31EB" w:rsidP="003D31EB">
            <w:pPr>
              <w:spacing w:after="0" w:line="0" w:lineRule="atLeast"/>
              <w:jc w:val="both"/>
              <w:rPr>
                <w:rFonts w:ascii="Arial Narrow" w:hAnsi="Arial Narrow"/>
                <w:sz w:val="16"/>
                <w:szCs w:val="16"/>
              </w:rPr>
            </w:pPr>
            <w:r w:rsidRPr="003D31EB">
              <w:rPr>
                <w:rFonts w:ascii="Arial Narrow" w:eastAsia="Times New Roman" w:hAnsi="Arial Narrow" w:cstheme="minorHAnsi"/>
                <w:color w:val="000000"/>
                <w:sz w:val="16"/>
                <w:szCs w:val="16"/>
                <w:lang w:val="es-ES" w:eastAsia="es-ES"/>
              </w:rPr>
              <w:t>JOSE EMANUEL CHATA PANCA</w:t>
            </w:r>
          </w:p>
        </w:tc>
      </w:tr>
      <w:tr w:rsidR="003D31EB" w14:paraId="0ACE0221" w14:textId="77777777" w:rsidTr="00994B22">
        <w:tc>
          <w:tcPr>
            <w:tcW w:w="1629" w:type="dxa"/>
            <w:tcBorders>
              <w:top w:val="single" w:sz="4" w:space="0" w:color="auto"/>
              <w:left w:val="single" w:sz="4" w:space="0" w:color="auto"/>
              <w:bottom w:val="single" w:sz="4" w:space="0" w:color="auto"/>
            </w:tcBorders>
          </w:tcPr>
          <w:p w14:paraId="5B5F89DE" w14:textId="2CCA5860" w:rsidR="003D31EB" w:rsidRPr="003D31EB" w:rsidRDefault="003D31EB" w:rsidP="003D31EB">
            <w:pPr>
              <w:spacing w:after="0" w:line="0" w:lineRule="atLeast"/>
              <w:jc w:val="both"/>
              <w:rPr>
                <w:rFonts w:ascii="Arial Narrow" w:hAnsi="Arial Narrow"/>
                <w:sz w:val="16"/>
                <w:szCs w:val="16"/>
              </w:rPr>
            </w:pPr>
            <w:r w:rsidRPr="003D31EB">
              <w:rPr>
                <w:rFonts w:ascii="Arial Narrow" w:eastAsia="Times New Roman" w:hAnsi="Arial Narrow" w:cs="Times New Roman"/>
                <w:color w:val="000000"/>
                <w:sz w:val="16"/>
                <w:szCs w:val="16"/>
                <w:lang w:val="es-ES" w:eastAsia="es-ES"/>
              </w:rPr>
              <w:t>Acta de Incautación</w:t>
            </w:r>
          </w:p>
        </w:tc>
        <w:tc>
          <w:tcPr>
            <w:tcW w:w="253" w:type="dxa"/>
            <w:tcBorders>
              <w:top w:val="single" w:sz="4" w:space="0" w:color="auto"/>
              <w:bottom w:val="single" w:sz="4" w:space="0" w:color="auto"/>
            </w:tcBorders>
          </w:tcPr>
          <w:p w14:paraId="7B3900EE" w14:textId="78962E68" w:rsidR="003D31EB" w:rsidRPr="003D31EB" w:rsidRDefault="003D31EB" w:rsidP="003D31EB">
            <w:pPr>
              <w:spacing w:after="0" w:line="0" w:lineRule="atLeast"/>
              <w:jc w:val="both"/>
              <w:rPr>
                <w:rFonts w:ascii="Arial Narrow" w:hAnsi="Arial Narrow"/>
                <w:sz w:val="16"/>
                <w:szCs w:val="16"/>
              </w:rPr>
            </w:pPr>
            <w:r w:rsidRPr="003D31EB">
              <w:rPr>
                <w:rFonts w:ascii="Arial Narrow" w:hAnsi="Arial Narrow"/>
                <w:sz w:val="16"/>
                <w:szCs w:val="16"/>
              </w:rPr>
              <w:t>:</w:t>
            </w:r>
          </w:p>
        </w:tc>
        <w:tc>
          <w:tcPr>
            <w:tcW w:w="2790" w:type="dxa"/>
            <w:tcBorders>
              <w:top w:val="single" w:sz="4" w:space="0" w:color="auto"/>
              <w:bottom w:val="single" w:sz="4" w:space="0" w:color="auto"/>
              <w:right w:val="single" w:sz="4" w:space="0" w:color="auto"/>
            </w:tcBorders>
          </w:tcPr>
          <w:p w14:paraId="54E5B142" w14:textId="75E282E3" w:rsidR="003D31EB" w:rsidRPr="003D31EB" w:rsidRDefault="003D31EB" w:rsidP="003D31EB">
            <w:pPr>
              <w:spacing w:after="0" w:line="0" w:lineRule="atLeast"/>
              <w:jc w:val="both"/>
              <w:rPr>
                <w:rFonts w:ascii="Arial Narrow" w:hAnsi="Arial Narrow"/>
                <w:sz w:val="16"/>
                <w:szCs w:val="16"/>
              </w:rPr>
            </w:pP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172-0204-2023-000977</w:t>
            </w:r>
          </w:p>
        </w:tc>
      </w:tr>
      <w:tr w:rsidR="003D31EB" w14:paraId="32A3A386" w14:textId="77777777" w:rsidTr="00994B22">
        <w:tc>
          <w:tcPr>
            <w:tcW w:w="1629" w:type="dxa"/>
            <w:tcBorders>
              <w:top w:val="single" w:sz="4" w:space="0" w:color="auto"/>
              <w:left w:val="single" w:sz="4" w:space="0" w:color="auto"/>
              <w:bottom w:val="single" w:sz="4" w:space="0" w:color="auto"/>
            </w:tcBorders>
          </w:tcPr>
          <w:p w14:paraId="1C34549A" w14:textId="4FFC44A7" w:rsidR="003D31EB" w:rsidRPr="003D31EB" w:rsidRDefault="003D31EB" w:rsidP="003D31EB">
            <w:pPr>
              <w:spacing w:after="0" w:line="0" w:lineRule="atLeast"/>
              <w:jc w:val="both"/>
              <w:rPr>
                <w:rFonts w:ascii="Arial Narrow" w:hAnsi="Arial Narrow"/>
                <w:sz w:val="16"/>
                <w:szCs w:val="16"/>
              </w:rPr>
            </w:pPr>
            <w:r w:rsidRPr="003D31EB">
              <w:rPr>
                <w:rFonts w:ascii="Arial Narrow" w:eastAsia="Times New Roman" w:hAnsi="Arial Narrow" w:cs="Times New Roman"/>
                <w:color w:val="000000"/>
                <w:sz w:val="16"/>
                <w:szCs w:val="16"/>
                <w:lang w:val="es-ES" w:eastAsia="es-ES"/>
              </w:rPr>
              <w:t>Resolución de División</w:t>
            </w:r>
          </w:p>
        </w:tc>
        <w:tc>
          <w:tcPr>
            <w:tcW w:w="253" w:type="dxa"/>
            <w:tcBorders>
              <w:top w:val="single" w:sz="4" w:space="0" w:color="auto"/>
              <w:bottom w:val="single" w:sz="4" w:space="0" w:color="auto"/>
            </w:tcBorders>
          </w:tcPr>
          <w:p w14:paraId="1E9E5CA8" w14:textId="347F556D" w:rsidR="003D31EB" w:rsidRPr="003D31EB" w:rsidRDefault="003D31EB" w:rsidP="003D31EB">
            <w:pPr>
              <w:spacing w:after="0" w:line="0" w:lineRule="atLeast"/>
              <w:jc w:val="both"/>
              <w:rPr>
                <w:rFonts w:ascii="Arial Narrow" w:hAnsi="Arial Narrow"/>
                <w:sz w:val="16"/>
                <w:szCs w:val="16"/>
              </w:rPr>
            </w:pPr>
            <w:r w:rsidRPr="003D31EB">
              <w:rPr>
                <w:rFonts w:ascii="Arial Narrow" w:hAnsi="Arial Narrow"/>
                <w:sz w:val="16"/>
                <w:szCs w:val="16"/>
              </w:rPr>
              <w:t>:</w:t>
            </w:r>
          </w:p>
        </w:tc>
        <w:tc>
          <w:tcPr>
            <w:tcW w:w="2790" w:type="dxa"/>
            <w:tcBorders>
              <w:top w:val="single" w:sz="4" w:space="0" w:color="auto"/>
              <w:bottom w:val="single" w:sz="4" w:space="0" w:color="auto"/>
              <w:right w:val="single" w:sz="4" w:space="0" w:color="auto"/>
            </w:tcBorders>
          </w:tcPr>
          <w:p w14:paraId="3C556229" w14:textId="7AE84426" w:rsidR="003D31EB" w:rsidRPr="003D31EB" w:rsidRDefault="003D31EB" w:rsidP="003D31EB">
            <w:pPr>
              <w:spacing w:after="0" w:line="0" w:lineRule="atLeast"/>
              <w:jc w:val="both"/>
              <w:rPr>
                <w:rFonts w:ascii="Arial Narrow" w:hAnsi="Arial Narrow"/>
                <w:sz w:val="16"/>
                <w:szCs w:val="16"/>
              </w:rPr>
            </w:pP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000001-2024-SUNAT/3G0800 de fecha 04.01.2024</w:t>
            </w:r>
          </w:p>
        </w:tc>
      </w:tr>
      <w:tr w:rsidR="003D31EB" w14:paraId="1A50C952" w14:textId="77777777" w:rsidTr="00994B22">
        <w:tc>
          <w:tcPr>
            <w:tcW w:w="4672" w:type="dxa"/>
            <w:gridSpan w:val="3"/>
            <w:tcBorders>
              <w:top w:val="single" w:sz="4" w:space="0" w:color="auto"/>
              <w:left w:val="single" w:sz="4" w:space="0" w:color="auto"/>
              <w:bottom w:val="single" w:sz="4" w:space="0" w:color="auto"/>
              <w:right w:val="single" w:sz="4" w:space="0" w:color="auto"/>
            </w:tcBorders>
          </w:tcPr>
          <w:p w14:paraId="49086581" w14:textId="77777777" w:rsidR="003D31EB" w:rsidRPr="003D31EB" w:rsidRDefault="003D31EB" w:rsidP="003D31EB">
            <w:pPr>
              <w:spacing w:after="0" w:line="0" w:lineRule="atLeast"/>
              <w:jc w:val="both"/>
              <w:rPr>
                <w:rFonts w:ascii="Arial Narrow" w:hAnsi="Arial Narrow"/>
                <w:sz w:val="16"/>
                <w:szCs w:val="16"/>
              </w:rPr>
            </w:pPr>
            <w:r w:rsidRPr="003D31EB">
              <w:rPr>
                <w:rFonts w:ascii="Arial Narrow" w:eastAsia="Times New Roman" w:hAnsi="Arial Narrow" w:cs="Times New Roman"/>
                <w:color w:val="000000"/>
                <w:sz w:val="16"/>
                <w:szCs w:val="16"/>
                <w:lang w:val="es-ES" w:eastAsia="es-ES"/>
              </w:rPr>
              <w:t>Determinación</w:t>
            </w:r>
            <w:r w:rsidRPr="003D31EB">
              <w:rPr>
                <w:rFonts w:ascii="Arial Narrow" w:hAnsi="Arial Narrow"/>
                <w:sz w:val="16"/>
                <w:szCs w:val="16"/>
              </w:rPr>
              <w:t>:</w:t>
            </w:r>
          </w:p>
          <w:p w14:paraId="734390B5" w14:textId="77777777" w:rsidR="003D31EB" w:rsidRPr="003D31EB" w:rsidRDefault="003D31EB" w:rsidP="003D31EB">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3D31EB">
              <w:rPr>
                <w:rFonts w:ascii="Arial Narrow" w:eastAsia="Times New Roman" w:hAnsi="Arial Narrow" w:cstheme="minorHAnsi"/>
                <w:color w:val="000000"/>
                <w:sz w:val="16"/>
                <w:szCs w:val="16"/>
                <w:lang w:eastAsia="es-ES"/>
              </w:rPr>
              <w:t>ARTICULO PRIMERO. - Disponer la ACUMULACION del Expediente N° 172-URD119-2023-1307904 al Expediente N° 172-URD119-2023-1245044, por guardar conexión entre sí, debiendo tramitarse como un único expediente.</w:t>
            </w:r>
          </w:p>
          <w:p w14:paraId="021360AD" w14:textId="77777777" w:rsidR="003D31EB" w:rsidRPr="003D31EB" w:rsidRDefault="003D31EB" w:rsidP="003D31EB">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3D31EB">
              <w:rPr>
                <w:rFonts w:ascii="Arial Narrow" w:eastAsia="Times New Roman" w:hAnsi="Arial Narrow" w:cstheme="minorHAnsi"/>
                <w:color w:val="000000"/>
                <w:sz w:val="16"/>
                <w:szCs w:val="16"/>
                <w:lang w:eastAsia="es-ES"/>
              </w:rPr>
              <w:t>ARTICULO SEGUNDO. - Declarar IMPROCEDENTE la solicitud de devolución presentada por la Sra. YNES PANCA GALARZA identificada con Cédula de Identidad chilena N° 227377631 y DNI 40192766, en mérito a los fundamentos</w:t>
            </w:r>
          </w:p>
          <w:p w14:paraId="3C707622" w14:textId="77777777" w:rsidR="003D31EB" w:rsidRPr="003D31EB" w:rsidRDefault="003D31EB" w:rsidP="003D31EB">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3D31EB">
              <w:rPr>
                <w:rFonts w:ascii="Arial Narrow" w:eastAsia="Times New Roman" w:hAnsi="Arial Narrow" w:cstheme="minorHAnsi"/>
                <w:color w:val="000000"/>
                <w:sz w:val="16"/>
                <w:szCs w:val="16"/>
                <w:lang w:eastAsia="es-ES"/>
              </w:rPr>
              <w:t>expuestos en la presente resolución.</w:t>
            </w:r>
          </w:p>
          <w:p w14:paraId="4170D36A" w14:textId="77777777" w:rsidR="003D31EB" w:rsidRPr="003D31EB" w:rsidRDefault="003D31EB" w:rsidP="003D31EB">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r w:rsidRPr="003D31EB">
              <w:rPr>
                <w:rFonts w:ascii="Arial Narrow" w:eastAsia="Times New Roman" w:hAnsi="Arial Narrow" w:cstheme="minorHAnsi"/>
                <w:color w:val="000000"/>
                <w:sz w:val="16"/>
                <w:szCs w:val="16"/>
                <w:lang w:val="es-ES" w:eastAsia="es-ES"/>
              </w:rPr>
              <w:t xml:space="preserve">ARTICULO TERCERO. - Declarar el COMISO del vehículo de matrícula chilena </w:t>
            </w: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RRCD59 consignado en el Acta de Incautación </w:t>
            </w: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172-0204-2023-000977, identificado con las siguientes características: marca: SUZUKI, modelo: SWIFT 1.2 AUT, motor </w:t>
            </w: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K12B1567022, chasis </w:t>
            </w: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ZC72S148286, año 2013; de conformidad con el antepenúltimo párrafo del artículo 200° de la Ley General de Aduanas.</w:t>
            </w:r>
          </w:p>
          <w:p w14:paraId="30933479" w14:textId="395A58D2" w:rsidR="003D31EB" w:rsidRPr="003D31EB" w:rsidRDefault="003D31EB" w:rsidP="003D31EB">
            <w:pPr>
              <w:autoSpaceDE w:val="0"/>
              <w:autoSpaceDN w:val="0"/>
              <w:adjustRightInd w:val="0"/>
              <w:spacing w:after="0" w:line="0" w:lineRule="atLeast"/>
              <w:jc w:val="both"/>
              <w:rPr>
                <w:rFonts w:ascii="Arial Narrow" w:eastAsia="Times New Roman" w:hAnsi="Arial Narrow" w:cstheme="minorHAnsi"/>
                <w:color w:val="000000"/>
                <w:sz w:val="16"/>
                <w:szCs w:val="16"/>
                <w:lang w:val="es-ES" w:eastAsia="es-ES"/>
              </w:rPr>
            </w:pPr>
            <w:r w:rsidRPr="003D31EB">
              <w:rPr>
                <w:rFonts w:ascii="Arial Narrow" w:eastAsia="Times New Roman" w:hAnsi="Arial Narrow" w:cstheme="minorHAnsi"/>
                <w:color w:val="000000"/>
                <w:sz w:val="16"/>
                <w:szCs w:val="16"/>
                <w:lang w:val="es-ES" w:eastAsia="es-ES"/>
              </w:rPr>
              <w:t xml:space="preserve">ARTICULO CUARTO. - Proceder con la REGULARIZACIÓN excepcional del Registro Vehicular </w:t>
            </w:r>
            <w:proofErr w:type="spellStart"/>
            <w:r w:rsidRPr="003D31EB">
              <w:rPr>
                <w:rFonts w:ascii="Arial Narrow" w:eastAsia="Times New Roman" w:hAnsi="Arial Narrow" w:cstheme="minorHAnsi"/>
                <w:color w:val="000000"/>
                <w:sz w:val="16"/>
                <w:szCs w:val="16"/>
                <w:lang w:val="es-ES" w:eastAsia="es-ES"/>
              </w:rPr>
              <w:t>N°</w:t>
            </w:r>
            <w:proofErr w:type="spellEnd"/>
            <w:r w:rsidRPr="003D31EB">
              <w:rPr>
                <w:rFonts w:ascii="Arial Narrow" w:eastAsia="Times New Roman" w:hAnsi="Arial Narrow" w:cstheme="minorHAnsi"/>
                <w:color w:val="000000"/>
                <w:sz w:val="16"/>
                <w:szCs w:val="16"/>
                <w:lang w:val="es-ES" w:eastAsia="es-ES"/>
              </w:rPr>
              <w:t xml:space="preserve"> 15-172-0204-2023-028364 del 09.06.2023 en aplicación del inciso d), numeral 1, literal E.2, sección VII del Procedimiento General "Vehículos para Turismo" DESPA-PG.16 (versión 3).</w:t>
            </w:r>
          </w:p>
        </w:tc>
      </w:tr>
    </w:tbl>
    <w:p w14:paraId="733E3454" w14:textId="77777777" w:rsidR="003D31EB" w:rsidRPr="00061122" w:rsidRDefault="003D31EB" w:rsidP="00E81294">
      <w:pPr>
        <w:spacing w:after="0" w:line="0" w:lineRule="atLeast"/>
        <w:ind w:left="426" w:right="210"/>
        <w:jc w:val="both"/>
        <w:rPr>
          <w:rFonts w:ascii="Arial Narrow" w:hAnsi="Arial Narrow"/>
          <w:sz w:val="16"/>
          <w:szCs w:val="16"/>
        </w:rPr>
      </w:pPr>
    </w:p>
    <w:p w14:paraId="40A49D54" w14:textId="77777777" w:rsidR="00E81294" w:rsidRDefault="00E81294" w:rsidP="00E81294"/>
    <w:p w14:paraId="06346E7E" w14:textId="77777777" w:rsidR="00E81294" w:rsidRDefault="00E81294" w:rsidP="00E81294"/>
    <w:p w14:paraId="29E63CA7" w14:textId="77777777" w:rsidR="00FC22F4" w:rsidRDefault="00FC22F4"/>
    <w:sectPr w:rsidR="00FC22F4" w:rsidSect="00EE3293">
      <w:pgSz w:w="11900" w:h="16840"/>
      <w:pgMar w:top="1440" w:right="85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4"/>
    <w:rsid w:val="000D5190"/>
    <w:rsid w:val="003D31EB"/>
    <w:rsid w:val="0067261C"/>
    <w:rsid w:val="00875C88"/>
    <w:rsid w:val="00994B22"/>
    <w:rsid w:val="00B5579B"/>
    <w:rsid w:val="00E5569D"/>
    <w:rsid w:val="00E81294"/>
    <w:rsid w:val="00EC428E"/>
    <w:rsid w:val="00EE3293"/>
    <w:rsid w:val="00FC22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8472"/>
  <w15:chartTrackingRefBased/>
  <w15:docId w15:val="{43482812-F2E7-42F0-86A6-5A9683A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294"/>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E812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3D3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Llerena Lopez Emilio Marcelo</dc:creator>
  <cp:keywords/>
  <dc:description/>
  <cp:lastModifiedBy>Meniz Cieza Fernando Salvador</cp:lastModifiedBy>
  <cp:revision>7</cp:revision>
  <dcterms:created xsi:type="dcterms:W3CDTF">2024-01-12T19:41:00Z</dcterms:created>
  <dcterms:modified xsi:type="dcterms:W3CDTF">2024-01-12T20:52:00Z</dcterms:modified>
</cp:coreProperties>
</file>