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88E9" w14:textId="77777777" w:rsidR="008B4CDE" w:rsidRDefault="008B4CDE" w:rsidP="008B4CDE">
      <w:pPr>
        <w:spacing w:after="0" w:line="0" w:lineRule="atLeast"/>
        <w:ind w:left="567" w:right="635"/>
        <w:jc w:val="center"/>
        <w:rPr>
          <w:rFonts w:ascii="Arial Narrow" w:hAnsi="Arial Narrow"/>
          <w:b/>
          <w:bCs/>
          <w:sz w:val="16"/>
          <w:szCs w:val="16"/>
        </w:rPr>
      </w:pPr>
    </w:p>
    <w:p w14:paraId="428F4094" w14:textId="77777777" w:rsidR="008B4CDE" w:rsidRDefault="008B4CDE" w:rsidP="008B4CDE">
      <w:pPr>
        <w:spacing w:after="0" w:line="0" w:lineRule="atLeast"/>
        <w:ind w:left="567" w:right="635"/>
        <w:jc w:val="center"/>
        <w:rPr>
          <w:rFonts w:ascii="Arial Narrow" w:hAnsi="Arial Narrow"/>
          <w:b/>
          <w:bCs/>
          <w:sz w:val="16"/>
          <w:szCs w:val="16"/>
        </w:rPr>
      </w:pPr>
    </w:p>
    <w:p w14:paraId="6C7EAF8D" w14:textId="77777777" w:rsidR="008B4CDE" w:rsidRDefault="008B4CDE" w:rsidP="008B4CDE">
      <w:pPr>
        <w:spacing w:after="0" w:line="0" w:lineRule="atLeast"/>
        <w:ind w:left="567" w:right="635"/>
        <w:jc w:val="center"/>
        <w:rPr>
          <w:rFonts w:ascii="Arial Narrow" w:hAnsi="Arial Narrow"/>
          <w:b/>
          <w:bCs/>
          <w:sz w:val="16"/>
          <w:szCs w:val="16"/>
        </w:rPr>
      </w:pPr>
    </w:p>
    <w:p w14:paraId="4B9E332D" w14:textId="77777777" w:rsidR="008B4CDE" w:rsidRDefault="008B4CDE" w:rsidP="008B4CDE">
      <w:pPr>
        <w:spacing w:after="0" w:line="0" w:lineRule="atLeast"/>
        <w:ind w:left="567" w:right="635"/>
        <w:jc w:val="center"/>
        <w:rPr>
          <w:rFonts w:ascii="Arial Narrow" w:hAnsi="Arial Narrow"/>
          <w:b/>
          <w:bCs/>
          <w:sz w:val="16"/>
          <w:szCs w:val="16"/>
        </w:rPr>
      </w:pPr>
    </w:p>
    <w:p w14:paraId="1317D52C" w14:textId="77777777" w:rsidR="008B4CDE" w:rsidRDefault="008B4CDE" w:rsidP="008B4CDE">
      <w:pPr>
        <w:spacing w:after="0" w:line="0" w:lineRule="atLeast"/>
        <w:ind w:left="567" w:right="635"/>
        <w:jc w:val="center"/>
        <w:rPr>
          <w:rFonts w:ascii="Arial Narrow" w:hAnsi="Arial Narrow"/>
          <w:b/>
          <w:bCs/>
          <w:sz w:val="16"/>
          <w:szCs w:val="16"/>
        </w:rPr>
      </w:pPr>
    </w:p>
    <w:p w14:paraId="1EA7E033" w14:textId="0F1E2901" w:rsidR="00DD1691" w:rsidRPr="008B4CDE" w:rsidRDefault="00DD1691" w:rsidP="008B4CDE">
      <w:pPr>
        <w:spacing w:after="0" w:line="0" w:lineRule="atLeast"/>
        <w:ind w:left="567" w:right="635"/>
        <w:jc w:val="center"/>
        <w:rPr>
          <w:rFonts w:ascii="Arial Narrow" w:hAnsi="Arial Narrow"/>
          <w:b/>
          <w:bCs/>
          <w:sz w:val="16"/>
          <w:szCs w:val="16"/>
        </w:rPr>
      </w:pPr>
      <w:r w:rsidRPr="008B4CDE">
        <w:rPr>
          <w:rFonts w:ascii="Arial Narrow" w:hAnsi="Arial Narrow"/>
          <w:b/>
          <w:bCs/>
          <w:sz w:val="16"/>
          <w:szCs w:val="16"/>
        </w:rPr>
        <w:t>SUPERINTENDENCIA NACIONAL DE ADUANAS Y ADMINISTRACION TRIBUTARIA</w:t>
      </w:r>
    </w:p>
    <w:p w14:paraId="2950D202" w14:textId="1C10FFE1" w:rsidR="00DD1691" w:rsidRPr="008B4CDE" w:rsidRDefault="00DD1691" w:rsidP="008B4CDE">
      <w:pPr>
        <w:spacing w:after="0" w:line="0" w:lineRule="atLeast"/>
        <w:ind w:left="567" w:right="635"/>
        <w:jc w:val="center"/>
        <w:rPr>
          <w:rFonts w:ascii="Arial Narrow" w:hAnsi="Arial Narrow"/>
          <w:b/>
          <w:bCs/>
          <w:sz w:val="16"/>
          <w:szCs w:val="16"/>
        </w:rPr>
      </w:pPr>
      <w:r w:rsidRPr="008B4CDE">
        <w:rPr>
          <w:rFonts w:ascii="Arial Narrow" w:hAnsi="Arial Narrow"/>
          <w:b/>
          <w:bCs/>
          <w:sz w:val="16"/>
          <w:szCs w:val="16"/>
        </w:rPr>
        <w:t>INTENDENCIA DE ADUANA DE TACNA</w:t>
      </w:r>
    </w:p>
    <w:p w14:paraId="2E2A33B8" w14:textId="77777777" w:rsidR="008B4CDE" w:rsidRPr="008B4CDE" w:rsidRDefault="008B4CDE" w:rsidP="008B4CDE">
      <w:pPr>
        <w:spacing w:after="0" w:line="0" w:lineRule="atLeast"/>
        <w:ind w:left="567" w:right="635"/>
        <w:jc w:val="center"/>
        <w:rPr>
          <w:rFonts w:ascii="Arial Narrow" w:hAnsi="Arial Narrow"/>
          <w:b/>
          <w:bCs/>
          <w:sz w:val="16"/>
          <w:szCs w:val="16"/>
        </w:rPr>
      </w:pPr>
    </w:p>
    <w:p w14:paraId="1C954EAA" w14:textId="14FDC13B" w:rsidR="00DD1691" w:rsidRPr="008B4CDE" w:rsidRDefault="00DD1691" w:rsidP="008B4CDE">
      <w:pPr>
        <w:spacing w:after="0" w:line="0" w:lineRule="atLeast"/>
        <w:ind w:left="567" w:right="635"/>
        <w:jc w:val="center"/>
        <w:rPr>
          <w:rFonts w:ascii="Arial Narrow" w:hAnsi="Arial Narrow"/>
          <w:b/>
          <w:bCs/>
          <w:sz w:val="16"/>
          <w:szCs w:val="16"/>
        </w:rPr>
      </w:pPr>
      <w:r w:rsidRPr="008B4CDE">
        <w:rPr>
          <w:rFonts w:ascii="Arial Narrow" w:hAnsi="Arial Narrow"/>
          <w:b/>
          <w:bCs/>
          <w:sz w:val="16"/>
          <w:szCs w:val="16"/>
        </w:rPr>
        <w:t xml:space="preserve">NOTIFICACION ADMINISTRATIVA </w:t>
      </w:r>
      <w:r w:rsidR="00F17968">
        <w:rPr>
          <w:rFonts w:ascii="Arial Narrow" w:hAnsi="Arial Narrow"/>
          <w:b/>
          <w:bCs/>
          <w:sz w:val="16"/>
          <w:szCs w:val="16"/>
        </w:rPr>
        <w:br/>
      </w:r>
      <w:r w:rsidR="00F17968" w:rsidRPr="00EC0EF1">
        <w:rPr>
          <w:rFonts w:ascii="Arial Narrow" w:hAnsi="Arial Narrow"/>
          <w:bCs/>
          <w:sz w:val="16"/>
          <w:szCs w:val="16"/>
        </w:rPr>
        <w:t>(Publicada en el Boletín del Diario Oficial El Peruano el</w:t>
      </w:r>
      <w:r w:rsidR="00F17968" w:rsidRPr="00814C93">
        <w:rPr>
          <w:rFonts w:ascii="Arial Narrow" w:hAnsi="Arial Narrow"/>
          <w:sz w:val="16"/>
          <w:szCs w:val="16"/>
        </w:rPr>
        <w:t xml:space="preserve"> </w:t>
      </w:r>
      <w:r w:rsidR="00F17968">
        <w:rPr>
          <w:rFonts w:ascii="Arial Narrow" w:hAnsi="Arial Narrow"/>
          <w:sz w:val="16"/>
          <w:szCs w:val="16"/>
        </w:rPr>
        <w:t>22</w:t>
      </w:r>
      <w:r w:rsidR="00F17968" w:rsidRPr="00EC0EF1">
        <w:rPr>
          <w:rFonts w:ascii="Arial Narrow" w:hAnsi="Arial Narrow"/>
          <w:bCs/>
          <w:sz w:val="16"/>
          <w:szCs w:val="16"/>
        </w:rPr>
        <w:t>.01.2024)</w:t>
      </w:r>
    </w:p>
    <w:p w14:paraId="26F786DF" w14:textId="77777777" w:rsidR="00DD1691" w:rsidRPr="00036F2E" w:rsidRDefault="00DD1691" w:rsidP="008B4CDE">
      <w:pPr>
        <w:spacing w:after="0" w:line="0" w:lineRule="atLeast"/>
        <w:ind w:left="567" w:right="635"/>
        <w:jc w:val="center"/>
        <w:rPr>
          <w:rFonts w:ascii="Arial Narrow" w:hAnsi="Arial Narrow"/>
          <w:sz w:val="16"/>
          <w:szCs w:val="16"/>
        </w:rPr>
      </w:pPr>
    </w:p>
    <w:p w14:paraId="00FDD033" w14:textId="6C0CF2B1" w:rsidR="00DD1691" w:rsidRPr="00036F2E" w:rsidRDefault="00DD1691" w:rsidP="008B4CDE">
      <w:pPr>
        <w:spacing w:after="0" w:line="0" w:lineRule="atLeast"/>
        <w:ind w:left="567" w:right="635"/>
        <w:jc w:val="both"/>
        <w:rPr>
          <w:rFonts w:ascii="Arial Narrow" w:hAnsi="Arial Narrow"/>
          <w:sz w:val="16"/>
          <w:szCs w:val="16"/>
        </w:rPr>
      </w:pPr>
      <w:r w:rsidRPr="00036F2E">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w:t>
      </w:r>
      <w:r w:rsidR="008B4CDE">
        <w:rPr>
          <w:rFonts w:ascii="Arial Narrow" w:hAnsi="Arial Narrow"/>
          <w:sz w:val="16"/>
          <w:szCs w:val="16"/>
        </w:rPr>
        <w:t>ones</w:t>
      </w:r>
      <w:r w:rsidRPr="00036F2E">
        <w:rPr>
          <w:rFonts w:ascii="Arial Narrow" w:hAnsi="Arial Narrow"/>
          <w:sz w:val="16"/>
          <w:szCs w:val="16"/>
        </w:rPr>
        <w:t>, en relación a las  mercancías descritas en el acta de incautación indicada en la presente notificación.</w:t>
      </w:r>
    </w:p>
    <w:p w14:paraId="2428F2AF" w14:textId="77777777" w:rsidR="00DD1691" w:rsidRPr="00036F2E" w:rsidRDefault="00DD1691" w:rsidP="008B4CDE">
      <w:pPr>
        <w:spacing w:after="0" w:line="0" w:lineRule="atLeast"/>
        <w:ind w:left="567" w:right="635"/>
        <w:jc w:val="both"/>
        <w:rPr>
          <w:rFonts w:ascii="Arial Narrow" w:hAnsi="Arial Narrow"/>
          <w:sz w:val="16"/>
          <w:szCs w:val="16"/>
        </w:rPr>
      </w:pPr>
      <w:r w:rsidRPr="00036F2E">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5CC16CA9" w14:textId="77777777" w:rsidR="00DD1691" w:rsidRPr="00036F2E" w:rsidRDefault="00DD1691" w:rsidP="00036F2E">
      <w:pPr>
        <w:spacing w:after="0" w:line="0" w:lineRule="atLeast"/>
        <w:jc w:val="both"/>
        <w:rPr>
          <w:rFonts w:ascii="Arial Narrow" w:hAnsi="Arial Narrow"/>
          <w:sz w:val="16"/>
          <w:szCs w:val="16"/>
        </w:rPr>
      </w:pPr>
    </w:p>
    <w:tbl>
      <w:tblPr>
        <w:tblStyle w:val="Tablaconcuadrculaclara"/>
        <w:tblW w:w="0" w:type="auto"/>
        <w:tblInd w:w="562" w:type="dxa"/>
        <w:tblLook w:val="04A0" w:firstRow="1" w:lastRow="0" w:firstColumn="1" w:lastColumn="0" w:noHBand="0" w:noVBand="1"/>
      </w:tblPr>
      <w:tblGrid>
        <w:gridCol w:w="1980"/>
        <w:gridCol w:w="1984"/>
        <w:gridCol w:w="8647"/>
      </w:tblGrid>
      <w:tr w:rsidR="001356EC" w:rsidRPr="00036F2E" w14:paraId="0BEE642C" w14:textId="6CCFB7BD" w:rsidTr="008B4CDE">
        <w:trPr>
          <w:trHeight w:val="20"/>
        </w:trPr>
        <w:tc>
          <w:tcPr>
            <w:tcW w:w="1980" w:type="dxa"/>
          </w:tcPr>
          <w:p w14:paraId="03727ED1" w14:textId="6A8CA558" w:rsidR="001356EC" w:rsidRPr="00036F2E" w:rsidRDefault="001356EC" w:rsidP="00036F2E">
            <w:pPr>
              <w:spacing w:after="0" w:line="0" w:lineRule="atLeast"/>
              <w:jc w:val="center"/>
              <w:rPr>
                <w:rFonts w:ascii="Arial Narrow" w:hAnsi="Arial Narrow" w:cstheme="minorHAnsi"/>
                <w:sz w:val="16"/>
                <w:szCs w:val="16"/>
              </w:rPr>
            </w:pPr>
            <w:r w:rsidRPr="00036F2E">
              <w:rPr>
                <w:rFonts w:ascii="Arial Narrow" w:hAnsi="Arial Narrow" w:cstheme="minorHAnsi"/>
                <w:sz w:val="16"/>
                <w:szCs w:val="16"/>
              </w:rPr>
              <w:t xml:space="preserve">Acta de Incautación </w:t>
            </w:r>
          </w:p>
        </w:tc>
        <w:tc>
          <w:tcPr>
            <w:tcW w:w="1984" w:type="dxa"/>
          </w:tcPr>
          <w:p w14:paraId="5A77CF39" w14:textId="77777777" w:rsidR="001356EC" w:rsidRPr="00036F2E" w:rsidRDefault="001356EC" w:rsidP="00036F2E">
            <w:pPr>
              <w:spacing w:after="0" w:line="0" w:lineRule="atLeast"/>
              <w:jc w:val="center"/>
              <w:rPr>
                <w:rFonts w:ascii="Arial Narrow" w:hAnsi="Arial Narrow" w:cstheme="minorHAnsi"/>
                <w:sz w:val="16"/>
                <w:szCs w:val="16"/>
              </w:rPr>
            </w:pPr>
            <w:r w:rsidRPr="00036F2E">
              <w:rPr>
                <w:rFonts w:ascii="Arial Narrow" w:eastAsia="Times New Roman" w:hAnsi="Arial Narrow" w:cstheme="minorHAnsi"/>
                <w:noProof/>
                <w:color w:val="000000"/>
                <w:sz w:val="16"/>
                <w:szCs w:val="16"/>
              </w:rPr>
              <w:t>Resolución de División</w:t>
            </w:r>
          </w:p>
        </w:tc>
        <w:tc>
          <w:tcPr>
            <w:tcW w:w="8647" w:type="dxa"/>
          </w:tcPr>
          <w:p w14:paraId="4155997F" w14:textId="77777777" w:rsidR="001356EC" w:rsidRPr="00036F2E" w:rsidRDefault="001356EC" w:rsidP="00036F2E">
            <w:pPr>
              <w:spacing w:after="0" w:line="0" w:lineRule="atLeast"/>
              <w:jc w:val="center"/>
              <w:rPr>
                <w:rFonts w:ascii="Arial Narrow" w:hAnsi="Arial Narrow" w:cstheme="minorHAnsi"/>
                <w:sz w:val="16"/>
                <w:szCs w:val="16"/>
              </w:rPr>
            </w:pPr>
            <w:r w:rsidRPr="00036F2E">
              <w:rPr>
                <w:rFonts w:ascii="Arial Narrow" w:eastAsia="Times New Roman" w:hAnsi="Arial Narrow" w:cstheme="minorHAnsi"/>
                <w:color w:val="000000"/>
                <w:sz w:val="16"/>
                <w:szCs w:val="16"/>
              </w:rPr>
              <w:t>Determinación</w:t>
            </w:r>
          </w:p>
        </w:tc>
      </w:tr>
      <w:tr w:rsidR="001356EC" w:rsidRPr="00036F2E" w14:paraId="1C6EDD2F" w14:textId="68CB9FDD" w:rsidTr="008B4CDE">
        <w:trPr>
          <w:trHeight w:val="20"/>
        </w:trPr>
        <w:tc>
          <w:tcPr>
            <w:tcW w:w="1980" w:type="dxa"/>
          </w:tcPr>
          <w:p w14:paraId="5385A6F4" w14:textId="12BFA68F" w:rsidR="001356EC" w:rsidRPr="00036F2E" w:rsidRDefault="000E117F" w:rsidP="00036F2E">
            <w:pPr>
              <w:autoSpaceDE w:val="0"/>
              <w:autoSpaceDN w:val="0"/>
              <w:adjustRightInd w:val="0"/>
              <w:spacing w:after="0" w:line="0" w:lineRule="atLeast"/>
              <w:jc w:val="center"/>
              <w:rPr>
                <w:rFonts w:ascii="Arial Narrow" w:hAnsi="Arial Narrow" w:cstheme="minorHAnsi"/>
                <w:sz w:val="16"/>
                <w:szCs w:val="16"/>
              </w:rPr>
            </w:pPr>
            <w:r w:rsidRPr="00036F2E">
              <w:rPr>
                <w:rFonts w:ascii="Arial Narrow" w:hAnsi="Arial Narrow" w:cstheme="minorHAnsi"/>
                <w:sz w:val="16"/>
                <w:szCs w:val="16"/>
              </w:rPr>
              <w:t xml:space="preserve">Acta de Incautación N° </w:t>
            </w:r>
            <w:r w:rsidRPr="00036F2E">
              <w:rPr>
                <w:rFonts w:ascii="Arial Narrow" w:hAnsi="Arial Narrow" w:cstheme="minorHAnsi"/>
                <w:sz w:val="16"/>
                <w:szCs w:val="16"/>
                <w:lang w:val="es-ES"/>
              </w:rPr>
              <w:t>172-</w:t>
            </w:r>
            <w:r w:rsidR="00781834" w:rsidRPr="00036F2E">
              <w:rPr>
                <w:rFonts w:ascii="Arial Narrow" w:hAnsi="Arial Narrow" w:cstheme="minorHAnsi"/>
                <w:sz w:val="16"/>
                <w:szCs w:val="16"/>
                <w:lang w:val="es-ES"/>
              </w:rPr>
              <w:t>0300-2022-000133 de fecha 03.11.2022</w:t>
            </w:r>
          </w:p>
        </w:tc>
        <w:tc>
          <w:tcPr>
            <w:tcW w:w="1984" w:type="dxa"/>
          </w:tcPr>
          <w:p w14:paraId="4962B69B" w14:textId="28A761F8" w:rsidR="001356EC" w:rsidRPr="00036F2E" w:rsidRDefault="00403782" w:rsidP="00036F2E">
            <w:pPr>
              <w:spacing w:after="0" w:line="0" w:lineRule="atLeast"/>
              <w:jc w:val="center"/>
              <w:rPr>
                <w:rFonts w:ascii="Arial Narrow" w:hAnsi="Arial Narrow" w:cstheme="minorHAnsi"/>
                <w:sz w:val="16"/>
                <w:szCs w:val="16"/>
              </w:rPr>
            </w:pPr>
            <w:r w:rsidRPr="00036F2E">
              <w:rPr>
                <w:rFonts w:ascii="Arial Narrow" w:hAnsi="Arial Narrow" w:cstheme="minorHAnsi"/>
                <w:sz w:val="16"/>
                <w:szCs w:val="16"/>
              </w:rPr>
              <w:t xml:space="preserve">Resolución de División N° </w:t>
            </w:r>
            <w:r w:rsidR="00781834" w:rsidRPr="00036F2E">
              <w:rPr>
                <w:rFonts w:ascii="Arial Narrow" w:hAnsi="Arial Narrow" w:cstheme="minorHAnsi"/>
                <w:sz w:val="16"/>
                <w:szCs w:val="16"/>
              </w:rPr>
              <w:t>000017</w:t>
            </w:r>
            <w:r w:rsidRPr="00036F2E">
              <w:rPr>
                <w:rFonts w:ascii="Arial Narrow" w:hAnsi="Arial Narrow" w:cstheme="minorHAnsi"/>
                <w:sz w:val="16"/>
                <w:szCs w:val="16"/>
              </w:rPr>
              <w:t>-202</w:t>
            </w:r>
            <w:r w:rsidR="00781834" w:rsidRPr="00036F2E">
              <w:rPr>
                <w:rFonts w:ascii="Arial Narrow" w:hAnsi="Arial Narrow" w:cstheme="minorHAnsi"/>
                <w:sz w:val="16"/>
                <w:szCs w:val="16"/>
              </w:rPr>
              <w:t>4</w:t>
            </w:r>
            <w:r w:rsidRPr="00036F2E">
              <w:rPr>
                <w:rFonts w:ascii="Arial Narrow" w:hAnsi="Arial Narrow" w:cstheme="minorHAnsi"/>
                <w:sz w:val="16"/>
                <w:szCs w:val="16"/>
              </w:rPr>
              <w:t xml:space="preserve">-SUNAT/3G0500 de fecha </w:t>
            </w:r>
            <w:r w:rsidR="00781834" w:rsidRPr="00036F2E">
              <w:rPr>
                <w:rFonts w:ascii="Arial Narrow" w:hAnsi="Arial Narrow" w:cstheme="minorHAnsi"/>
                <w:sz w:val="16"/>
                <w:szCs w:val="16"/>
              </w:rPr>
              <w:t>16.01.24</w:t>
            </w:r>
          </w:p>
        </w:tc>
        <w:tc>
          <w:tcPr>
            <w:tcW w:w="8647" w:type="dxa"/>
          </w:tcPr>
          <w:p w14:paraId="4B4BEB25" w14:textId="77777777" w:rsidR="00781834" w:rsidRPr="00036F2E" w:rsidRDefault="000E117F" w:rsidP="00036F2E">
            <w:pPr>
              <w:tabs>
                <w:tab w:val="left" w:pos="2410"/>
              </w:tabs>
              <w:spacing w:after="0" w:line="0" w:lineRule="atLeast"/>
              <w:jc w:val="both"/>
              <w:rPr>
                <w:rFonts w:ascii="Arial Narrow" w:hAnsi="Arial Narrow" w:cstheme="minorHAnsi"/>
                <w:sz w:val="16"/>
                <w:szCs w:val="16"/>
              </w:rPr>
            </w:pPr>
            <w:r w:rsidRPr="00036F2E">
              <w:rPr>
                <w:rFonts w:ascii="Arial Narrow" w:hAnsi="Arial Narrow" w:cstheme="minorHAnsi"/>
                <w:sz w:val="16"/>
                <w:szCs w:val="16"/>
              </w:rPr>
              <w:t>SE RESUELVE:</w:t>
            </w:r>
            <w:bookmarkStart w:id="0" w:name="_Hlk15063021"/>
          </w:p>
          <w:p w14:paraId="6B043B96" w14:textId="17BD69AB" w:rsidR="001356EC" w:rsidRPr="00036F2E" w:rsidRDefault="000E117F" w:rsidP="00036F2E">
            <w:pPr>
              <w:tabs>
                <w:tab w:val="left" w:pos="2410"/>
              </w:tabs>
              <w:spacing w:after="0" w:line="0" w:lineRule="atLeast"/>
              <w:jc w:val="both"/>
              <w:rPr>
                <w:rFonts w:ascii="Arial Narrow" w:hAnsi="Arial Narrow" w:cstheme="minorHAnsi"/>
                <w:sz w:val="16"/>
                <w:szCs w:val="16"/>
                <w:lang w:val="es-ES_tradnl"/>
              </w:rPr>
            </w:pPr>
            <w:r w:rsidRPr="00036F2E">
              <w:rPr>
                <w:rFonts w:ascii="Arial Narrow" w:hAnsi="Arial Narrow" w:cstheme="minorHAnsi"/>
                <w:sz w:val="16"/>
                <w:szCs w:val="16"/>
              </w:rPr>
              <w:t xml:space="preserve">ARTÍCULO </w:t>
            </w:r>
            <w:bookmarkStart w:id="1" w:name="_Hlk526514607"/>
            <w:r w:rsidRPr="00036F2E">
              <w:rPr>
                <w:rFonts w:ascii="Arial Narrow" w:hAnsi="Arial Narrow" w:cstheme="minorHAnsi"/>
                <w:sz w:val="16"/>
                <w:szCs w:val="16"/>
                <w:lang w:val="es-ES"/>
              </w:rPr>
              <w:t>ÚNICO</w:t>
            </w:r>
            <w:r w:rsidRPr="00036F2E">
              <w:rPr>
                <w:rFonts w:ascii="Arial Narrow" w:hAnsi="Arial Narrow" w:cstheme="minorHAnsi"/>
                <w:sz w:val="16"/>
                <w:szCs w:val="16"/>
              </w:rPr>
              <w:t xml:space="preserve">.- </w:t>
            </w:r>
            <w:bookmarkEnd w:id="0"/>
            <w:bookmarkEnd w:id="1"/>
            <w:r w:rsidR="00781834" w:rsidRPr="00036F2E">
              <w:rPr>
                <w:rFonts w:ascii="Arial Narrow" w:hAnsi="Arial Narrow" w:cstheme="minorHAnsi"/>
                <w:sz w:val="16"/>
                <w:szCs w:val="16"/>
              </w:rPr>
              <w:t>Declarar el COMISO del vehículo automotor con Placa de Rodaje N° CHZW65, consignado en el Acta de Incautación N°172-0300-2022-000133 de fecha 03.11.22; conforme a los fundamentos de hecho y derechos expuestos en la parte considerativa de la presente.</w:t>
            </w:r>
          </w:p>
        </w:tc>
      </w:tr>
    </w:tbl>
    <w:p w14:paraId="27F41EC3" w14:textId="77777777" w:rsidR="008B4CDE" w:rsidRPr="00036F2E" w:rsidRDefault="008B4CDE" w:rsidP="00036F2E">
      <w:pPr>
        <w:spacing w:after="0" w:line="0" w:lineRule="atLeast"/>
        <w:jc w:val="both"/>
        <w:rPr>
          <w:rFonts w:ascii="Arial Narrow" w:hAnsi="Arial Narrow" w:cstheme="minorHAnsi"/>
          <w:sz w:val="16"/>
          <w:szCs w:val="16"/>
        </w:rPr>
      </w:pPr>
    </w:p>
    <w:tbl>
      <w:tblPr>
        <w:tblStyle w:val="Tablaconcuadrculaclara"/>
        <w:tblW w:w="0" w:type="auto"/>
        <w:tblInd w:w="562" w:type="dxa"/>
        <w:tblLook w:val="04A0" w:firstRow="1" w:lastRow="0" w:firstColumn="1" w:lastColumn="0" w:noHBand="0" w:noVBand="1"/>
      </w:tblPr>
      <w:tblGrid>
        <w:gridCol w:w="1550"/>
        <w:gridCol w:w="870"/>
        <w:gridCol w:w="1119"/>
        <w:gridCol w:w="1863"/>
        <w:gridCol w:w="7285"/>
      </w:tblGrid>
      <w:tr w:rsidR="008B4CDE" w:rsidRPr="00036F2E" w14:paraId="6EBCCF29" w14:textId="77777777" w:rsidTr="008B4CDE">
        <w:trPr>
          <w:trHeight w:val="20"/>
        </w:trPr>
        <w:tc>
          <w:tcPr>
            <w:tcW w:w="1550" w:type="dxa"/>
            <w:vAlign w:val="center"/>
            <w:hideMark/>
          </w:tcPr>
          <w:p w14:paraId="55FFF065"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Infractor</w:t>
            </w:r>
          </w:p>
        </w:tc>
        <w:tc>
          <w:tcPr>
            <w:tcW w:w="870" w:type="dxa"/>
            <w:vAlign w:val="center"/>
            <w:hideMark/>
          </w:tcPr>
          <w:p w14:paraId="56B62722"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DNI</w:t>
            </w:r>
          </w:p>
        </w:tc>
        <w:tc>
          <w:tcPr>
            <w:tcW w:w="1119" w:type="dxa"/>
            <w:vAlign w:val="center"/>
            <w:hideMark/>
          </w:tcPr>
          <w:p w14:paraId="25083864"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Acta de Incautación</w:t>
            </w:r>
          </w:p>
        </w:tc>
        <w:tc>
          <w:tcPr>
            <w:tcW w:w="1863" w:type="dxa"/>
            <w:vAlign w:val="center"/>
            <w:hideMark/>
          </w:tcPr>
          <w:p w14:paraId="47682387"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Resolución Jefatural de División</w:t>
            </w:r>
          </w:p>
        </w:tc>
        <w:tc>
          <w:tcPr>
            <w:tcW w:w="7285" w:type="dxa"/>
            <w:noWrap/>
            <w:vAlign w:val="center"/>
            <w:hideMark/>
          </w:tcPr>
          <w:p w14:paraId="0127CBA9"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Determinación</w:t>
            </w:r>
          </w:p>
        </w:tc>
      </w:tr>
      <w:tr w:rsidR="008B4CDE" w:rsidRPr="00036F2E" w14:paraId="78B12CFF" w14:textId="77777777" w:rsidTr="008B4CDE">
        <w:trPr>
          <w:trHeight w:val="20"/>
        </w:trPr>
        <w:tc>
          <w:tcPr>
            <w:tcW w:w="1550" w:type="dxa"/>
            <w:vAlign w:val="center"/>
            <w:hideMark/>
          </w:tcPr>
          <w:p w14:paraId="5C643DA6"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ALARCON PADILLA ROBERT COSTTIS</w:t>
            </w:r>
          </w:p>
        </w:tc>
        <w:tc>
          <w:tcPr>
            <w:tcW w:w="870" w:type="dxa"/>
            <w:vAlign w:val="center"/>
            <w:hideMark/>
          </w:tcPr>
          <w:p w14:paraId="0C9DE1F3"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25783463</w:t>
            </w:r>
          </w:p>
        </w:tc>
        <w:tc>
          <w:tcPr>
            <w:tcW w:w="1119" w:type="dxa"/>
            <w:vAlign w:val="center"/>
            <w:hideMark/>
          </w:tcPr>
          <w:p w14:paraId="1FF1D62F"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172-0204-2023-000430</w:t>
            </w:r>
          </w:p>
        </w:tc>
        <w:tc>
          <w:tcPr>
            <w:tcW w:w="1863" w:type="dxa"/>
            <w:vAlign w:val="center"/>
            <w:hideMark/>
          </w:tcPr>
          <w:p w14:paraId="1BB297AD"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172-3G0800/2023-000081 del 04.11.2023</w:t>
            </w:r>
          </w:p>
        </w:tc>
        <w:tc>
          <w:tcPr>
            <w:tcW w:w="7285" w:type="dxa"/>
            <w:vMerge w:val="restart"/>
            <w:vAlign w:val="center"/>
          </w:tcPr>
          <w:p w14:paraId="2D719014" w14:textId="77777777" w:rsidR="00036F2E" w:rsidRPr="00036F2E" w:rsidRDefault="00036F2E" w:rsidP="0001550C">
            <w:pPr>
              <w:autoSpaceDE w:val="0"/>
              <w:autoSpaceDN w:val="0"/>
              <w:adjustRightInd w:val="0"/>
              <w:spacing w:after="0" w:line="0" w:lineRule="atLeast"/>
              <w:jc w:val="both"/>
              <w:rPr>
                <w:rFonts w:ascii="Arial Narrow" w:hAnsi="Arial Narrow" w:cstheme="minorHAnsi"/>
                <w:sz w:val="16"/>
                <w:szCs w:val="16"/>
              </w:rPr>
            </w:pPr>
            <w:r w:rsidRPr="00036F2E">
              <w:rPr>
                <w:rFonts w:ascii="Arial Narrow" w:hAnsi="Arial Narrow" w:cstheme="minorHAnsi"/>
                <w:sz w:val="16"/>
                <w:szCs w:val="16"/>
              </w:rPr>
              <w:t>ARTICULO ÚNICO: Declarar el COMISO ADMINISTRATIVO de las mercancías descritas en las actas de incautación detalladas en el Anexo – Anexo – Actas De Incautación De Mercancía No Declarada En Control De Equipaje – desde el 18 de mayo al 22 de julio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8B4CDE" w:rsidRPr="00036F2E" w14:paraId="2F92866F" w14:textId="77777777" w:rsidTr="008B4CDE">
        <w:trPr>
          <w:trHeight w:val="20"/>
        </w:trPr>
        <w:tc>
          <w:tcPr>
            <w:tcW w:w="1550" w:type="dxa"/>
            <w:vAlign w:val="center"/>
          </w:tcPr>
          <w:p w14:paraId="40183BC1"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ZUMAETA CHAVEZ ROOSEWELT</w:t>
            </w:r>
          </w:p>
        </w:tc>
        <w:tc>
          <w:tcPr>
            <w:tcW w:w="870" w:type="dxa"/>
            <w:vAlign w:val="center"/>
          </w:tcPr>
          <w:p w14:paraId="7CB94489"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06273824</w:t>
            </w:r>
          </w:p>
        </w:tc>
        <w:tc>
          <w:tcPr>
            <w:tcW w:w="1119" w:type="dxa"/>
            <w:vAlign w:val="center"/>
          </w:tcPr>
          <w:p w14:paraId="6A872B69"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172-0204-2023-000413</w:t>
            </w:r>
          </w:p>
        </w:tc>
        <w:tc>
          <w:tcPr>
            <w:tcW w:w="1863" w:type="dxa"/>
            <w:vAlign w:val="center"/>
          </w:tcPr>
          <w:p w14:paraId="5E994DDC" w14:textId="77777777" w:rsidR="00036F2E" w:rsidRPr="00036F2E" w:rsidRDefault="00036F2E" w:rsidP="00036F2E">
            <w:pPr>
              <w:spacing w:after="0" w:line="0" w:lineRule="atLeast"/>
              <w:jc w:val="center"/>
              <w:rPr>
                <w:rFonts w:ascii="Arial Narrow" w:eastAsia="Times New Roman" w:hAnsi="Arial Narrow" w:cstheme="minorHAnsi"/>
                <w:color w:val="000000"/>
                <w:sz w:val="16"/>
                <w:szCs w:val="16"/>
                <w:lang w:eastAsia="es-PE"/>
              </w:rPr>
            </w:pPr>
            <w:r w:rsidRPr="00036F2E">
              <w:rPr>
                <w:rFonts w:ascii="Arial Narrow" w:eastAsia="Times New Roman" w:hAnsi="Arial Narrow" w:cstheme="minorHAnsi"/>
                <w:color w:val="000000"/>
                <w:sz w:val="16"/>
                <w:szCs w:val="16"/>
                <w:lang w:eastAsia="es-PE"/>
              </w:rPr>
              <w:t>172-3G0800/2023-000081 del 04.11.2023</w:t>
            </w:r>
          </w:p>
        </w:tc>
        <w:tc>
          <w:tcPr>
            <w:tcW w:w="7285" w:type="dxa"/>
            <w:vMerge/>
            <w:vAlign w:val="center"/>
          </w:tcPr>
          <w:p w14:paraId="3A4CCE48" w14:textId="77777777" w:rsidR="00036F2E" w:rsidRPr="00036F2E" w:rsidRDefault="00036F2E" w:rsidP="00036F2E">
            <w:pPr>
              <w:autoSpaceDE w:val="0"/>
              <w:autoSpaceDN w:val="0"/>
              <w:adjustRightInd w:val="0"/>
              <w:spacing w:after="0" w:line="0" w:lineRule="atLeast"/>
              <w:rPr>
                <w:rFonts w:ascii="Arial Narrow" w:hAnsi="Arial Narrow" w:cstheme="minorHAnsi"/>
                <w:sz w:val="16"/>
                <w:szCs w:val="16"/>
              </w:rPr>
            </w:pPr>
          </w:p>
        </w:tc>
      </w:tr>
    </w:tbl>
    <w:p w14:paraId="233C27D8" w14:textId="77777777" w:rsidR="00036F2E" w:rsidRPr="00036F2E" w:rsidRDefault="00036F2E" w:rsidP="00036F2E">
      <w:pPr>
        <w:spacing w:after="0" w:line="0" w:lineRule="atLeast"/>
        <w:jc w:val="both"/>
        <w:rPr>
          <w:rFonts w:ascii="Arial Narrow" w:hAnsi="Arial Narrow" w:cstheme="minorHAnsi"/>
          <w:sz w:val="16"/>
          <w:szCs w:val="16"/>
        </w:rPr>
      </w:pPr>
    </w:p>
    <w:p w14:paraId="6B5B130A" w14:textId="77777777" w:rsidR="00036F2E" w:rsidRPr="00036F2E" w:rsidRDefault="00036F2E" w:rsidP="00036F2E">
      <w:pPr>
        <w:spacing w:after="0" w:line="0" w:lineRule="atLeast"/>
        <w:contextualSpacing/>
        <w:rPr>
          <w:rFonts w:ascii="Arial Narrow" w:hAnsi="Arial Narrow" w:cstheme="minorHAnsi"/>
          <w:sz w:val="16"/>
          <w:szCs w:val="16"/>
          <w:lang w:val="es-ES_tradnl"/>
        </w:rPr>
      </w:pPr>
    </w:p>
    <w:p w14:paraId="78529F68" w14:textId="77777777" w:rsidR="00DD1691" w:rsidRPr="00036F2E" w:rsidRDefault="00DD1691" w:rsidP="00036F2E">
      <w:pPr>
        <w:spacing w:after="0" w:line="0" w:lineRule="atLeast"/>
        <w:rPr>
          <w:rFonts w:ascii="Arial Narrow" w:hAnsi="Arial Narrow"/>
          <w:sz w:val="16"/>
          <w:szCs w:val="16"/>
        </w:rPr>
      </w:pPr>
    </w:p>
    <w:sectPr w:rsidR="00DD1691" w:rsidRPr="00036F2E" w:rsidSect="00761FF4">
      <w:pgSz w:w="16840" w:h="1190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1550C"/>
    <w:rsid w:val="00036F2E"/>
    <w:rsid w:val="000D20D2"/>
    <w:rsid w:val="000E117F"/>
    <w:rsid w:val="001029D9"/>
    <w:rsid w:val="001356EC"/>
    <w:rsid w:val="00294A03"/>
    <w:rsid w:val="002D2D1B"/>
    <w:rsid w:val="00336A17"/>
    <w:rsid w:val="003535DC"/>
    <w:rsid w:val="003E2E54"/>
    <w:rsid w:val="00403782"/>
    <w:rsid w:val="004B08F7"/>
    <w:rsid w:val="0050456E"/>
    <w:rsid w:val="00624207"/>
    <w:rsid w:val="00761FF4"/>
    <w:rsid w:val="00764C06"/>
    <w:rsid w:val="00781834"/>
    <w:rsid w:val="00855DD0"/>
    <w:rsid w:val="008B4CDE"/>
    <w:rsid w:val="008C705D"/>
    <w:rsid w:val="00C84F20"/>
    <w:rsid w:val="00D20F76"/>
    <w:rsid w:val="00DD1691"/>
    <w:rsid w:val="00E34D9F"/>
    <w:rsid w:val="00E4309F"/>
    <w:rsid w:val="00EF721C"/>
    <w:rsid w:val="00F179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0E117F"/>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semiHidden/>
    <w:rsid w:val="000E117F"/>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8B4C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6</cp:revision>
  <dcterms:created xsi:type="dcterms:W3CDTF">2024-01-18T14:04:00Z</dcterms:created>
  <dcterms:modified xsi:type="dcterms:W3CDTF">2024-01-18T20:38:00Z</dcterms:modified>
</cp:coreProperties>
</file>