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21BF1ABD" w:rsidR="00107F95" w:rsidRPr="000D53DC" w:rsidRDefault="00107F95" w:rsidP="006C5431">
      <w:pPr>
        <w:spacing w:after="0" w:line="240" w:lineRule="auto"/>
        <w:jc w:val="center"/>
        <w:rPr>
          <w:rFonts w:ascii="Arial Narrow" w:hAnsi="Arial Narrow"/>
          <w:b/>
          <w:bCs/>
          <w:sz w:val="16"/>
          <w:szCs w:val="16"/>
        </w:rPr>
      </w:pPr>
      <w:r w:rsidRPr="000D53DC">
        <w:rPr>
          <w:rFonts w:ascii="Arial Narrow" w:hAnsi="Arial Narrow"/>
          <w:b/>
          <w:bCs/>
          <w:sz w:val="16"/>
          <w:szCs w:val="16"/>
        </w:rPr>
        <w:t>SUPERINTENDENCIA NACIONAL DE ADUANAS Y</w:t>
      </w:r>
      <w:r w:rsidR="000D53DC">
        <w:rPr>
          <w:rFonts w:ascii="Arial Narrow" w:hAnsi="Arial Narrow"/>
          <w:b/>
          <w:bCs/>
          <w:sz w:val="16"/>
          <w:szCs w:val="16"/>
        </w:rPr>
        <w:t xml:space="preserve"> DE</w:t>
      </w:r>
      <w:r w:rsidRPr="000D53DC">
        <w:rPr>
          <w:rFonts w:ascii="Arial Narrow" w:hAnsi="Arial Narrow"/>
          <w:b/>
          <w:bCs/>
          <w:sz w:val="16"/>
          <w:szCs w:val="16"/>
        </w:rPr>
        <w:t xml:space="preserve"> ADMINISTRACION TRIBUTARIA</w:t>
      </w:r>
    </w:p>
    <w:p w14:paraId="5600198A" w14:textId="77777777" w:rsidR="00107F95" w:rsidRPr="000D53DC" w:rsidRDefault="00107F95" w:rsidP="006C5431">
      <w:pPr>
        <w:spacing w:after="0" w:line="240" w:lineRule="auto"/>
        <w:jc w:val="center"/>
        <w:rPr>
          <w:rFonts w:ascii="Arial Narrow" w:hAnsi="Arial Narrow"/>
          <w:b/>
          <w:bCs/>
          <w:sz w:val="16"/>
          <w:szCs w:val="16"/>
        </w:rPr>
      </w:pPr>
      <w:r w:rsidRPr="000D53DC">
        <w:rPr>
          <w:rFonts w:ascii="Arial Narrow" w:hAnsi="Arial Narrow"/>
          <w:b/>
          <w:bCs/>
          <w:sz w:val="16"/>
          <w:szCs w:val="16"/>
        </w:rPr>
        <w:t>INTENDENCIA DE ADUANA</w:t>
      </w:r>
      <w:r w:rsidR="009263D2" w:rsidRPr="000D53DC">
        <w:rPr>
          <w:rFonts w:ascii="Arial Narrow" w:hAnsi="Arial Narrow"/>
          <w:b/>
          <w:bCs/>
          <w:sz w:val="16"/>
          <w:szCs w:val="16"/>
        </w:rPr>
        <w:t xml:space="preserve"> </w:t>
      </w:r>
      <w:r w:rsidRPr="000D53DC">
        <w:rPr>
          <w:rFonts w:ascii="Arial Narrow" w:hAnsi="Arial Narrow"/>
          <w:b/>
          <w:bCs/>
          <w:sz w:val="16"/>
          <w:szCs w:val="16"/>
        </w:rPr>
        <w:t>DE TACNA</w:t>
      </w:r>
    </w:p>
    <w:p w14:paraId="5CE0A211" w14:textId="77777777" w:rsidR="00107F95" w:rsidRDefault="00107F95" w:rsidP="006C5431">
      <w:pPr>
        <w:spacing w:before="240" w:after="0" w:line="240" w:lineRule="auto"/>
        <w:jc w:val="center"/>
        <w:rPr>
          <w:rFonts w:ascii="Arial Narrow" w:hAnsi="Arial Narrow"/>
          <w:b/>
          <w:bCs/>
          <w:sz w:val="16"/>
          <w:szCs w:val="16"/>
        </w:rPr>
      </w:pPr>
      <w:r w:rsidRPr="000D53DC">
        <w:rPr>
          <w:rFonts w:ascii="Arial Narrow" w:hAnsi="Arial Narrow"/>
          <w:b/>
          <w:bCs/>
          <w:sz w:val="16"/>
          <w:szCs w:val="16"/>
        </w:rPr>
        <w:t>NOTIFICACI</w:t>
      </w:r>
      <w:r w:rsidR="009263D2" w:rsidRPr="000D53DC">
        <w:rPr>
          <w:rFonts w:ascii="Arial Narrow" w:hAnsi="Arial Narrow"/>
          <w:b/>
          <w:bCs/>
          <w:sz w:val="16"/>
          <w:szCs w:val="16"/>
        </w:rPr>
        <w:t>Ó</w:t>
      </w:r>
      <w:r w:rsidRPr="000D53DC">
        <w:rPr>
          <w:rFonts w:ascii="Arial Narrow" w:hAnsi="Arial Narrow"/>
          <w:b/>
          <w:bCs/>
          <w:sz w:val="16"/>
          <w:szCs w:val="16"/>
        </w:rPr>
        <w:t xml:space="preserve">N ADMINISTRATIVA </w:t>
      </w:r>
    </w:p>
    <w:p w14:paraId="4CD82B6E" w14:textId="52B937FE" w:rsidR="00075984" w:rsidRPr="00075984" w:rsidRDefault="00075984" w:rsidP="00075984">
      <w:pPr>
        <w:spacing w:after="0" w:line="0" w:lineRule="atLeast"/>
        <w:jc w:val="center"/>
        <w:rPr>
          <w:rFonts w:ascii="Arial Narrow" w:hAnsi="Arial Narrow"/>
          <w:szCs w:val="16"/>
        </w:rPr>
      </w:pPr>
      <w:r w:rsidRPr="006053C9">
        <w:rPr>
          <w:rFonts w:ascii="Arial Narrow" w:hAnsi="Arial Narrow"/>
          <w:sz w:val="16"/>
          <w:szCs w:val="16"/>
        </w:rPr>
        <w:t xml:space="preserve">(Publicada en el Boletín del Diario Oficial El Peruano el </w:t>
      </w:r>
      <w:r>
        <w:rPr>
          <w:rFonts w:ascii="Arial Narrow" w:hAnsi="Arial Narrow"/>
          <w:sz w:val="16"/>
          <w:szCs w:val="16"/>
        </w:rPr>
        <w:t>05</w:t>
      </w:r>
      <w:r>
        <w:rPr>
          <w:rFonts w:ascii="Arial Narrow" w:hAnsi="Arial Narrow"/>
          <w:sz w:val="16"/>
          <w:szCs w:val="16"/>
        </w:rPr>
        <w:t>.</w:t>
      </w:r>
      <w:r w:rsidRPr="006053C9">
        <w:rPr>
          <w:rFonts w:ascii="Arial Narrow" w:hAnsi="Arial Narrow"/>
          <w:sz w:val="16"/>
          <w:szCs w:val="16"/>
        </w:rPr>
        <w:t>0</w:t>
      </w:r>
      <w:r>
        <w:rPr>
          <w:rFonts w:ascii="Arial Narrow" w:hAnsi="Arial Narrow"/>
          <w:sz w:val="16"/>
          <w:szCs w:val="16"/>
        </w:rPr>
        <w:t>7</w:t>
      </w:r>
      <w:r w:rsidRPr="006053C9">
        <w:rPr>
          <w:rFonts w:ascii="Arial Narrow" w:hAnsi="Arial Narrow"/>
          <w:sz w:val="16"/>
          <w:szCs w:val="16"/>
        </w:rPr>
        <w:t>.2024)</w:t>
      </w:r>
    </w:p>
    <w:p w14:paraId="30B64556" w14:textId="77777777" w:rsidR="00107F95" w:rsidRPr="000D53DC" w:rsidRDefault="00107F95" w:rsidP="006C5431">
      <w:pPr>
        <w:spacing w:after="0" w:line="240" w:lineRule="auto"/>
        <w:jc w:val="center"/>
        <w:rPr>
          <w:rFonts w:ascii="Arial Narrow" w:hAnsi="Arial Narrow"/>
          <w:sz w:val="16"/>
          <w:szCs w:val="16"/>
        </w:rPr>
      </w:pPr>
    </w:p>
    <w:p w14:paraId="5B8EC1F1" w14:textId="6B0AAB7D" w:rsidR="009263D2" w:rsidRPr="000D53DC" w:rsidRDefault="00BF660F" w:rsidP="006C5431">
      <w:pPr>
        <w:spacing w:after="0" w:line="240" w:lineRule="auto"/>
        <w:jc w:val="both"/>
        <w:rPr>
          <w:rFonts w:ascii="Arial Narrow" w:hAnsi="Arial Narrow"/>
          <w:sz w:val="16"/>
          <w:szCs w:val="16"/>
        </w:rPr>
      </w:pPr>
      <w:r w:rsidRPr="000D53DC">
        <w:rPr>
          <w:rFonts w:ascii="Arial Narrow" w:hAnsi="Arial Narrow"/>
          <w:sz w:val="16"/>
          <w:szCs w:val="16"/>
        </w:rPr>
        <w:t>D</w:t>
      </w:r>
      <w:r w:rsidR="00107F95" w:rsidRPr="000D53DC">
        <w:rPr>
          <w:rFonts w:ascii="Arial Narrow" w:hAnsi="Arial Narrow"/>
          <w:sz w:val="16"/>
          <w:szCs w:val="16"/>
        </w:rPr>
        <w:t xml:space="preserve">e conformidad con lo dispuesto en el </w:t>
      </w:r>
      <w:r w:rsidR="004E21D2" w:rsidRPr="000D53DC">
        <w:rPr>
          <w:rFonts w:ascii="Arial Narrow" w:hAnsi="Arial Narrow"/>
          <w:sz w:val="16"/>
          <w:szCs w:val="16"/>
        </w:rPr>
        <w:t>artículo</w:t>
      </w:r>
      <w:r w:rsidR="00107F95" w:rsidRPr="000D53DC">
        <w:rPr>
          <w:rFonts w:ascii="Arial Narrow" w:hAnsi="Arial Narrow"/>
          <w:sz w:val="16"/>
          <w:szCs w:val="16"/>
        </w:rPr>
        <w:t xml:space="preserve"> 104° inciso e) del Texto Único Ordenado del Código Tributario, aprobado por DS N° 133-2013-EF y su</w:t>
      </w:r>
      <w:r w:rsidR="009263D2" w:rsidRPr="000D53DC">
        <w:rPr>
          <w:rFonts w:ascii="Arial Narrow" w:hAnsi="Arial Narrow"/>
          <w:sz w:val="16"/>
          <w:szCs w:val="16"/>
        </w:rPr>
        <w:t>s</w:t>
      </w:r>
      <w:r w:rsidR="00107F95" w:rsidRPr="000D53DC">
        <w:rPr>
          <w:rFonts w:ascii="Arial Narrow" w:hAnsi="Arial Narrow"/>
          <w:sz w:val="16"/>
          <w:szCs w:val="16"/>
        </w:rPr>
        <w:t xml:space="preserve"> modificatoria</w:t>
      </w:r>
      <w:r w:rsidR="009263D2" w:rsidRPr="000D53DC">
        <w:rPr>
          <w:rFonts w:ascii="Arial Narrow" w:hAnsi="Arial Narrow"/>
          <w:sz w:val="16"/>
          <w:szCs w:val="16"/>
        </w:rPr>
        <w:t>s</w:t>
      </w:r>
      <w:r w:rsidR="00107F95" w:rsidRPr="000D53DC">
        <w:rPr>
          <w:rFonts w:ascii="Arial Narrow" w:hAnsi="Arial Narrow"/>
          <w:sz w:val="16"/>
          <w:szCs w:val="16"/>
        </w:rPr>
        <w:t xml:space="preserve">, </w:t>
      </w:r>
      <w:r w:rsidR="00923EFA" w:rsidRPr="000D53DC">
        <w:rPr>
          <w:rFonts w:ascii="Arial Narrow" w:hAnsi="Arial Narrow"/>
          <w:sz w:val="16"/>
          <w:szCs w:val="16"/>
        </w:rPr>
        <w:t>Ley de</w:t>
      </w:r>
      <w:r w:rsidR="009263D2" w:rsidRPr="000D53DC">
        <w:rPr>
          <w:rFonts w:ascii="Arial Narrow" w:hAnsi="Arial Narrow"/>
          <w:sz w:val="16"/>
          <w:szCs w:val="16"/>
        </w:rPr>
        <w:t>l</w:t>
      </w:r>
      <w:r w:rsidR="00923EFA" w:rsidRPr="000D53DC">
        <w:rPr>
          <w:rFonts w:ascii="Arial Narrow" w:hAnsi="Arial Narrow"/>
          <w:sz w:val="16"/>
          <w:szCs w:val="16"/>
        </w:rPr>
        <w:t xml:space="preserve"> Procedimiento</w:t>
      </w:r>
      <w:r w:rsidR="00DD5293" w:rsidRPr="000D53DC">
        <w:rPr>
          <w:rFonts w:ascii="Arial Narrow" w:hAnsi="Arial Narrow"/>
          <w:sz w:val="16"/>
          <w:szCs w:val="16"/>
        </w:rPr>
        <w:t xml:space="preserve"> Administrativo</w:t>
      </w:r>
      <w:r w:rsidR="009263D2" w:rsidRPr="000D53DC">
        <w:rPr>
          <w:rFonts w:ascii="Arial Narrow" w:hAnsi="Arial Narrow"/>
          <w:sz w:val="16"/>
          <w:szCs w:val="16"/>
        </w:rPr>
        <w:t xml:space="preserve"> </w:t>
      </w:r>
      <w:r w:rsidR="00DD5293" w:rsidRPr="000D53DC">
        <w:rPr>
          <w:rFonts w:ascii="Arial Narrow" w:hAnsi="Arial Narrow"/>
          <w:sz w:val="16"/>
          <w:szCs w:val="16"/>
        </w:rPr>
        <w:t xml:space="preserve">General-Ley N° 27444, cumple con NOTIFICAR a las </w:t>
      </w:r>
      <w:r w:rsidR="00107F95" w:rsidRPr="000D53DC">
        <w:rPr>
          <w:rFonts w:ascii="Arial Narrow" w:hAnsi="Arial Narrow"/>
          <w:sz w:val="16"/>
          <w:szCs w:val="16"/>
        </w:rPr>
        <w:t>personas naturales y/o jurídicas, que la Intendencia de Aduana</w:t>
      </w:r>
      <w:r w:rsidR="009263D2" w:rsidRPr="000D53DC">
        <w:rPr>
          <w:rFonts w:ascii="Arial Narrow" w:hAnsi="Arial Narrow"/>
          <w:sz w:val="16"/>
          <w:szCs w:val="16"/>
        </w:rPr>
        <w:t xml:space="preserve"> </w:t>
      </w:r>
      <w:r w:rsidR="00107F95" w:rsidRPr="000D53DC">
        <w:rPr>
          <w:rFonts w:ascii="Arial Narrow" w:hAnsi="Arial Narrow"/>
          <w:sz w:val="16"/>
          <w:szCs w:val="16"/>
        </w:rPr>
        <w:t>de Tacna, en aplicación del Artículo 1°, en concordancia con los artículos 33° y 38° de la Ley</w:t>
      </w:r>
      <w:r w:rsidR="009263D2" w:rsidRPr="000D53DC">
        <w:rPr>
          <w:rFonts w:ascii="Arial Narrow" w:hAnsi="Arial Narrow"/>
          <w:sz w:val="16"/>
          <w:szCs w:val="16"/>
        </w:rPr>
        <w:t xml:space="preserve"> N°</w:t>
      </w:r>
      <w:r w:rsidR="00107F95" w:rsidRPr="000D53DC">
        <w:rPr>
          <w:rFonts w:ascii="Arial Narrow" w:hAnsi="Arial Narrow"/>
          <w:sz w:val="16"/>
          <w:szCs w:val="16"/>
        </w:rPr>
        <w:t xml:space="preserve"> 28008 Ley de los Delitos Aduaneros</w:t>
      </w:r>
      <w:r w:rsidR="00DD5293" w:rsidRPr="000D53DC">
        <w:rPr>
          <w:rFonts w:ascii="Arial Narrow" w:hAnsi="Arial Narrow"/>
          <w:sz w:val="16"/>
          <w:szCs w:val="16"/>
        </w:rPr>
        <w:t xml:space="preserve"> y Decreto Legislativo N° 1053 – Ley General de Aduanas, ha decretado</w:t>
      </w:r>
      <w:r w:rsidR="00107F95" w:rsidRPr="000D53DC">
        <w:rPr>
          <w:rFonts w:ascii="Arial Narrow" w:hAnsi="Arial Narrow"/>
          <w:sz w:val="16"/>
          <w:szCs w:val="16"/>
        </w:rPr>
        <w:t xml:space="preserve"> </w:t>
      </w:r>
      <w:r w:rsidR="00DD5293" w:rsidRPr="000D53DC">
        <w:rPr>
          <w:rFonts w:ascii="Arial Narrow" w:hAnsi="Arial Narrow"/>
          <w:sz w:val="16"/>
          <w:szCs w:val="16"/>
        </w:rPr>
        <w:t>los siguientes actos administrativos mediante Resolución de División,</w:t>
      </w:r>
      <w:r w:rsidR="009263D2" w:rsidRPr="000D53DC">
        <w:rPr>
          <w:rFonts w:ascii="Arial Narrow" w:hAnsi="Arial Narrow"/>
          <w:sz w:val="16"/>
          <w:szCs w:val="16"/>
        </w:rPr>
        <w:t xml:space="preserve"> en relación a las </w:t>
      </w:r>
      <w:r w:rsidR="00107F95" w:rsidRPr="000D53DC">
        <w:rPr>
          <w:rFonts w:ascii="Arial Narrow" w:hAnsi="Arial Narrow"/>
          <w:sz w:val="16"/>
          <w:szCs w:val="16"/>
        </w:rPr>
        <w:t xml:space="preserve"> mercancías descritas en </w:t>
      </w:r>
      <w:r w:rsidR="00122B93" w:rsidRPr="000D53DC">
        <w:rPr>
          <w:rFonts w:ascii="Arial Narrow" w:hAnsi="Arial Narrow"/>
          <w:sz w:val="16"/>
          <w:szCs w:val="16"/>
        </w:rPr>
        <w:t>el</w:t>
      </w:r>
      <w:r w:rsidR="00107F95" w:rsidRPr="000D53DC">
        <w:rPr>
          <w:rFonts w:ascii="Arial Narrow" w:hAnsi="Arial Narrow"/>
          <w:sz w:val="16"/>
          <w:szCs w:val="16"/>
        </w:rPr>
        <w:t xml:space="preserve"> actas</w:t>
      </w:r>
      <w:r w:rsidR="00122B93" w:rsidRPr="000D53DC">
        <w:rPr>
          <w:rFonts w:ascii="Arial Narrow" w:hAnsi="Arial Narrow"/>
          <w:sz w:val="16"/>
          <w:szCs w:val="16"/>
        </w:rPr>
        <w:t xml:space="preserve"> </w:t>
      </w:r>
      <w:r w:rsidR="00107F95" w:rsidRPr="000D53DC">
        <w:rPr>
          <w:rFonts w:ascii="Arial Narrow" w:hAnsi="Arial Narrow"/>
          <w:sz w:val="16"/>
          <w:szCs w:val="16"/>
        </w:rPr>
        <w:t>de incautación indicada</w:t>
      </w:r>
      <w:r w:rsidR="009263D2" w:rsidRPr="000D53DC">
        <w:rPr>
          <w:rFonts w:ascii="Arial Narrow" w:hAnsi="Arial Narrow"/>
          <w:sz w:val="16"/>
          <w:szCs w:val="16"/>
        </w:rPr>
        <w:t xml:space="preserve"> en la presente notificación.</w:t>
      </w:r>
    </w:p>
    <w:p w14:paraId="0002F4BF" w14:textId="2A6997A5" w:rsidR="000D53DC" w:rsidRPr="000D53DC" w:rsidRDefault="00991A03" w:rsidP="006C5431">
      <w:pPr>
        <w:spacing w:after="0" w:line="240" w:lineRule="auto"/>
        <w:jc w:val="both"/>
        <w:rPr>
          <w:rFonts w:ascii="Arial Narrow" w:hAnsi="Arial Narrow"/>
          <w:sz w:val="16"/>
          <w:szCs w:val="16"/>
        </w:rPr>
      </w:pPr>
      <w:r w:rsidRPr="000D53DC">
        <w:rPr>
          <w:rFonts w:ascii="Arial Narrow" w:hAnsi="Arial Narrow"/>
          <w:sz w:val="16"/>
          <w:szCs w:val="16"/>
        </w:rPr>
        <w:t>L</w:t>
      </w:r>
      <w:r w:rsidR="00B245CD" w:rsidRPr="000D53DC">
        <w:rPr>
          <w:rFonts w:ascii="Arial Narrow" w:hAnsi="Arial Narrow"/>
          <w:sz w:val="16"/>
          <w:szCs w:val="16"/>
        </w:rPr>
        <w:t xml:space="preserve">a </w:t>
      </w:r>
      <w:r w:rsidR="00107F95" w:rsidRPr="000D53DC">
        <w:rPr>
          <w:rFonts w:ascii="Arial Narrow" w:hAnsi="Arial Narrow"/>
          <w:sz w:val="16"/>
          <w:szCs w:val="16"/>
        </w:rPr>
        <w:t>persona natural y/o jurídica con legítimo interés, puede acercarse a la Intendencia de Aduana</w:t>
      </w:r>
      <w:r w:rsidR="009263D2" w:rsidRPr="000D53DC">
        <w:rPr>
          <w:rFonts w:ascii="Arial Narrow" w:hAnsi="Arial Narrow"/>
          <w:sz w:val="16"/>
          <w:szCs w:val="16"/>
        </w:rPr>
        <w:t xml:space="preserve"> </w:t>
      </w:r>
      <w:r w:rsidR="00107F95" w:rsidRPr="000D53DC">
        <w:rPr>
          <w:rFonts w:ascii="Arial Narrow" w:hAnsi="Arial Narrow"/>
          <w:sz w:val="16"/>
          <w:szCs w:val="16"/>
        </w:rPr>
        <w:t>de Tacna ubicada en el Parque Industrial, Mz. A, Lote 5 y 6 – Pocollay – Tacna</w:t>
      </w:r>
      <w:r w:rsidR="009263D2" w:rsidRPr="000D53DC">
        <w:rPr>
          <w:rFonts w:ascii="Arial Narrow" w:hAnsi="Arial Narrow"/>
          <w:sz w:val="16"/>
          <w:szCs w:val="16"/>
        </w:rPr>
        <w:t xml:space="preserve"> o a través de la Mesa de Partes Virtual - SUNAT</w:t>
      </w:r>
      <w:r w:rsidR="00107F95" w:rsidRPr="000D53DC">
        <w:rPr>
          <w:rFonts w:ascii="Arial Narrow" w:hAnsi="Arial Narrow"/>
          <w:sz w:val="16"/>
          <w:szCs w:val="16"/>
        </w:rPr>
        <w:t>,</w:t>
      </w:r>
      <w:r w:rsidR="009263D2" w:rsidRPr="000D53DC">
        <w:rPr>
          <w:rFonts w:ascii="Arial Narrow" w:hAnsi="Arial Narrow"/>
          <w:sz w:val="16"/>
          <w:szCs w:val="16"/>
        </w:rPr>
        <w:t xml:space="preserve"> para solicitar la Resolución notificada. </w:t>
      </w:r>
      <w:r w:rsidR="00107F95" w:rsidRPr="000D53DC">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0D53DC">
        <w:rPr>
          <w:rFonts w:ascii="Arial Narrow" w:hAnsi="Arial Narrow"/>
          <w:sz w:val="16"/>
          <w:szCs w:val="16"/>
        </w:rPr>
        <w:t>artículo</w:t>
      </w:r>
      <w:r w:rsidR="00107F95" w:rsidRPr="000D53DC">
        <w:rPr>
          <w:rFonts w:ascii="Arial Narrow" w:hAnsi="Arial Narrow"/>
          <w:sz w:val="16"/>
          <w:szCs w:val="16"/>
        </w:rPr>
        <w:t xml:space="preserve"> 180° y 186° de la Ley General de Aduanas, aprobado por el Decreto Legislativo N° 1053, concordante con los artículos 235° , 242° y 243° de su Reglamento aprobado por Decreto Supremo N° 010-2009-EF.</w:t>
      </w:r>
    </w:p>
    <w:tbl>
      <w:tblPr>
        <w:tblStyle w:val="Tablaconcuadrculaclara"/>
        <w:tblW w:w="5000" w:type="pct"/>
        <w:tblLook w:val="04A0" w:firstRow="1" w:lastRow="0" w:firstColumn="1" w:lastColumn="0" w:noHBand="0" w:noVBand="1"/>
      </w:tblPr>
      <w:tblGrid>
        <w:gridCol w:w="1943"/>
        <w:gridCol w:w="1526"/>
        <w:gridCol w:w="1292"/>
        <w:gridCol w:w="1572"/>
        <w:gridCol w:w="6617"/>
      </w:tblGrid>
      <w:tr w:rsidR="00122B93" w:rsidRPr="000D53DC" w14:paraId="5133B05C" w14:textId="77777777" w:rsidTr="000D53DC">
        <w:trPr>
          <w:trHeight w:val="20"/>
        </w:trPr>
        <w:tc>
          <w:tcPr>
            <w:tcW w:w="750" w:type="pct"/>
            <w:hideMark/>
          </w:tcPr>
          <w:p w14:paraId="1677D3AE" w14:textId="77777777" w:rsidR="00122B93" w:rsidRPr="000D53DC" w:rsidRDefault="00122B93" w:rsidP="004F193F">
            <w:pPr>
              <w:jc w:val="center"/>
              <w:rPr>
                <w:rFonts w:ascii="Arial Narrow" w:eastAsia="Times New Roman" w:hAnsi="Arial Narrow" w:cs="Arial"/>
                <w:color w:val="000000"/>
                <w:sz w:val="16"/>
                <w:szCs w:val="16"/>
                <w:lang w:eastAsia="es-PE"/>
              </w:rPr>
            </w:pPr>
            <w:r w:rsidRPr="000D53DC">
              <w:rPr>
                <w:rFonts w:ascii="Arial Narrow" w:eastAsia="Times New Roman" w:hAnsi="Arial Narrow" w:cs="Arial"/>
                <w:color w:val="000000"/>
                <w:sz w:val="16"/>
                <w:szCs w:val="16"/>
                <w:lang w:eastAsia="es-PE"/>
              </w:rPr>
              <w:t>Infractor</w:t>
            </w:r>
          </w:p>
        </w:tc>
        <w:tc>
          <w:tcPr>
            <w:tcW w:w="589" w:type="pct"/>
            <w:hideMark/>
          </w:tcPr>
          <w:p w14:paraId="0E007F26" w14:textId="69197374" w:rsidR="00122B93" w:rsidRPr="000D53DC" w:rsidRDefault="006932DA" w:rsidP="004F193F">
            <w:pPr>
              <w:jc w:val="center"/>
              <w:rPr>
                <w:rFonts w:ascii="Arial Narrow" w:eastAsia="Times New Roman" w:hAnsi="Arial Narrow" w:cs="Arial"/>
                <w:color w:val="000000"/>
                <w:sz w:val="16"/>
                <w:szCs w:val="16"/>
                <w:lang w:eastAsia="es-PE"/>
              </w:rPr>
            </w:pPr>
            <w:r w:rsidRPr="000D53DC">
              <w:rPr>
                <w:rFonts w:ascii="Arial Narrow" w:eastAsia="Times New Roman" w:hAnsi="Arial Narrow" w:cs="Arial"/>
                <w:color w:val="000000"/>
                <w:sz w:val="16"/>
                <w:szCs w:val="16"/>
                <w:lang w:eastAsia="es-PE"/>
              </w:rPr>
              <w:t>Documento de Identificación</w:t>
            </w:r>
          </w:p>
        </w:tc>
        <w:tc>
          <w:tcPr>
            <w:tcW w:w="499" w:type="pct"/>
            <w:hideMark/>
          </w:tcPr>
          <w:p w14:paraId="441A8C7A" w14:textId="4F3BB08D" w:rsidR="00122B93" w:rsidRPr="000D53DC" w:rsidRDefault="00122B93" w:rsidP="004F193F">
            <w:pPr>
              <w:jc w:val="center"/>
              <w:rPr>
                <w:rFonts w:ascii="Arial Narrow" w:eastAsia="Times New Roman" w:hAnsi="Arial Narrow" w:cs="Arial"/>
                <w:color w:val="000000"/>
                <w:sz w:val="16"/>
                <w:szCs w:val="16"/>
                <w:lang w:eastAsia="es-PE"/>
              </w:rPr>
            </w:pPr>
            <w:r w:rsidRPr="000D53DC">
              <w:rPr>
                <w:rFonts w:ascii="Arial Narrow" w:eastAsia="Times New Roman" w:hAnsi="Arial Narrow" w:cs="Arial"/>
                <w:color w:val="000000"/>
                <w:sz w:val="16"/>
                <w:szCs w:val="16"/>
                <w:lang w:eastAsia="es-PE"/>
              </w:rPr>
              <w:t>Acta de In</w:t>
            </w:r>
            <w:r w:rsidR="006B0B6C" w:rsidRPr="000D53DC">
              <w:rPr>
                <w:rFonts w:ascii="Arial Narrow" w:eastAsia="Times New Roman" w:hAnsi="Arial Narrow" w:cs="Arial"/>
                <w:color w:val="000000"/>
                <w:sz w:val="16"/>
                <w:szCs w:val="16"/>
                <w:lang w:eastAsia="es-PE"/>
              </w:rPr>
              <w:t>cautación</w:t>
            </w:r>
          </w:p>
        </w:tc>
        <w:tc>
          <w:tcPr>
            <w:tcW w:w="607" w:type="pct"/>
            <w:hideMark/>
          </w:tcPr>
          <w:p w14:paraId="498BFC96" w14:textId="13402904" w:rsidR="00122B93" w:rsidRPr="000D53DC" w:rsidRDefault="00122B93" w:rsidP="004F193F">
            <w:pPr>
              <w:jc w:val="center"/>
              <w:rPr>
                <w:rFonts w:ascii="Arial Narrow" w:eastAsia="Times New Roman" w:hAnsi="Arial Narrow" w:cs="Arial"/>
                <w:color w:val="000000"/>
                <w:sz w:val="16"/>
                <w:szCs w:val="16"/>
                <w:lang w:eastAsia="es-PE"/>
              </w:rPr>
            </w:pPr>
            <w:r w:rsidRPr="000D53DC">
              <w:rPr>
                <w:rFonts w:ascii="Arial Narrow" w:eastAsia="Times New Roman" w:hAnsi="Arial Narrow" w:cs="Arial"/>
                <w:color w:val="000000"/>
                <w:sz w:val="16"/>
                <w:szCs w:val="16"/>
                <w:lang w:eastAsia="es-PE"/>
              </w:rPr>
              <w:t>Resolución de División</w:t>
            </w:r>
          </w:p>
        </w:tc>
        <w:tc>
          <w:tcPr>
            <w:tcW w:w="2555" w:type="pct"/>
            <w:noWrap/>
            <w:hideMark/>
          </w:tcPr>
          <w:p w14:paraId="1A65DF49" w14:textId="77777777" w:rsidR="00122B93" w:rsidRPr="000D53DC" w:rsidRDefault="00122B93" w:rsidP="004F193F">
            <w:pPr>
              <w:jc w:val="center"/>
              <w:rPr>
                <w:rFonts w:ascii="Arial Narrow" w:eastAsia="Times New Roman" w:hAnsi="Arial Narrow" w:cs="Arial"/>
                <w:color w:val="000000"/>
                <w:sz w:val="16"/>
                <w:szCs w:val="16"/>
                <w:lang w:eastAsia="es-PE"/>
              </w:rPr>
            </w:pPr>
            <w:r w:rsidRPr="000D53DC">
              <w:rPr>
                <w:rFonts w:ascii="Arial Narrow" w:eastAsia="Times New Roman" w:hAnsi="Arial Narrow" w:cs="Arial"/>
                <w:color w:val="000000"/>
                <w:sz w:val="16"/>
                <w:szCs w:val="16"/>
                <w:lang w:eastAsia="es-PE"/>
              </w:rPr>
              <w:t>Determinación</w:t>
            </w:r>
          </w:p>
        </w:tc>
      </w:tr>
      <w:tr w:rsidR="009B5A6D" w:rsidRPr="000D53DC" w14:paraId="69712786" w14:textId="77777777" w:rsidTr="000D53DC">
        <w:trPr>
          <w:trHeight w:val="20"/>
        </w:trPr>
        <w:tc>
          <w:tcPr>
            <w:tcW w:w="750" w:type="pct"/>
          </w:tcPr>
          <w:p w14:paraId="4701A625" w14:textId="055C3750" w:rsidR="009B5A6D" w:rsidRPr="000D53DC" w:rsidRDefault="001F4857" w:rsidP="004F193F">
            <w:pPr>
              <w:jc w:val="center"/>
              <w:rPr>
                <w:rFonts w:ascii="Arial Narrow" w:eastAsia="Times New Roman" w:hAnsi="Arial Narrow" w:cs="Arial"/>
                <w:color w:val="000000"/>
                <w:sz w:val="16"/>
                <w:szCs w:val="16"/>
                <w:lang w:eastAsia="es-PE"/>
              </w:rPr>
            </w:pPr>
            <w:r w:rsidRPr="000D53DC">
              <w:rPr>
                <w:rFonts w:ascii="Arial Narrow" w:hAnsi="Arial Narrow"/>
                <w:sz w:val="16"/>
                <w:szCs w:val="16"/>
              </w:rPr>
              <w:t>CARCAMO MARIN PAULA</w:t>
            </w:r>
          </w:p>
        </w:tc>
        <w:tc>
          <w:tcPr>
            <w:tcW w:w="589" w:type="pct"/>
          </w:tcPr>
          <w:p w14:paraId="254FA26C" w14:textId="6605C01D" w:rsidR="009B5A6D" w:rsidRPr="000D53DC" w:rsidRDefault="001F4857" w:rsidP="004F193F">
            <w:pPr>
              <w:jc w:val="center"/>
              <w:rPr>
                <w:rFonts w:ascii="Arial Narrow" w:hAnsi="Arial Narrow" w:cs="Arial"/>
                <w:sz w:val="16"/>
                <w:szCs w:val="16"/>
              </w:rPr>
            </w:pPr>
            <w:r w:rsidRPr="000D53DC">
              <w:rPr>
                <w:rFonts w:ascii="Arial Narrow" w:hAnsi="Arial Narrow"/>
                <w:sz w:val="16"/>
                <w:szCs w:val="16"/>
              </w:rPr>
              <w:t>CEDULA</w:t>
            </w:r>
            <w:r w:rsidR="005F5E64" w:rsidRPr="000D53DC">
              <w:rPr>
                <w:rFonts w:ascii="Arial Narrow" w:hAnsi="Arial Narrow"/>
                <w:sz w:val="16"/>
                <w:szCs w:val="16"/>
              </w:rPr>
              <w:t xml:space="preserve"> N° </w:t>
            </w:r>
            <w:r w:rsidRPr="000D53DC">
              <w:rPr>
                <w:rFonts w:ascii="Arial Narrow" w:hAnsi="Arial Narrow"/>
                <w:sz w:val="16"/>
                <w:szCs w:val="16"/>
              </w:rPr>
              <w:t>188689434</w:t>
            </w:r>
          </w:p>
        </w:tc>
        <w:tc>
          <w:tcPr>
            <w:tcW w:w="499" w:type="pct"/>
          </w:tcPr>
          <w:p w14:paraId="7B16DFEC" w14:textId="67D8DFD8" w:rsidR="009B5A6D" w:rsidRPr="000D53DC" w:rsidRDefault="001F4857" w:rsidP="004F193F">
            <w:pPr>
              <w:jc w:val="center"/>
              <w:rPr>
                <w:rFonts w:ascii="Arial Narrow" w:hAnsi="Arial Narrow" w:cs="Arial"/>
                <w:sz w:val="16"/>
                <w:szCs w:val="16"/>
              </w:rPr>
            </w:pPr>
            <w:r w:rsidRPr="000D53DC">
              <w:rPr>
                <w:rFonts w:ascii="Arial Narrow" w:hAnsi="Arial Narrow"/>
                <w:sz w:val="16"/>
                <w:szCs w:val="16"/>
              </w:rPr>
              <w:t>172-0204- 2022-000343</w:t>
            </w:r>
          </w:p>
        </w:tc>
        <w:tc>
          <w:tcPr>
            <w:tcW w:w="607" w:type="pct"/>
          </w:tcPr>
          <w:p w14:paraId="13117E63" w14:textId="33A9FD64" w:rsidR="009B5A6D" w:rsidRPr="000D53DC" w:rsidRDefault="00E05035" w:rsidP="004F193F">
            <w:pPr>
              <w:jc w:val="center"/>
              <w:rPr>
                <w:rFonts w:ascii="Arial Narrow" w:eastAsia="Times New Roman" w:hAnsi="Arial Narrow" w:cs="Arial"/>
                <w:color w:val="000000"/>
                <w:sz w:val="16"/>
                <w:szCs w:val="16"/>
                <w:lang w:eastAsia="es-PE"/>
              </w:rPr>
            </w:pPr>
            <w:r w:rsidRPr="000D53DC">
              <w:rPr>
                <w:rFonts w:ascii="Arial Narrow" w:hAnsi="Arial Narrow" w:cs="Arial"/>
                <w:sz w:val="16"/>
                <w:szCs w:val="16"/>
              </w:rPr>
              <w:t>172-3G0800/2024-000</w:t>
            </w:r>
            <w:r w:rsidR="004C0B52" w:rsidRPr="000D53DC">
              <w:rPr>
                <w:rFonts w:ascii="Arial Narrow" w:hAnsi="Arial Narrow" w:cs="Arial"/>
                <w:sz w:val="16"/>
                <w:szCs w:val="16"/>
              </w:rPr>
              <w:t>1</w:t>
            </w:r>
            <w:r w:rsidR="001F4857" w:rsidRPr="000D53DC">
              <w:rPr>
                <w:rFonts w:ascii="Arial Narrow" w:hAnsi="Arial Narrow" w:cs="Arial"/>
                <w:sz w:val="16"/>
                <w:szCs w:val="16"/>
              </w:rPr>
              <w:t>10</w:t>
            </w:r>
            <w:r w:rsidRPr="000D53DC">
              <w:rPr>
                <w:rFonts w:ascii="Arial Narrow" w:hAnsi="Arial Narrow" w:cs="Arial"/>
                <w:sz w:val="16"/>
                <w:szCs w:val="16"/>
              </w:rPr>
              <w:t xml:space="preserve"> del </w:t>
            </w:r>
            <w:r w:rsidR="00C45ADF" w:rsidRPr="000D53DC">
              <w:rPr>
                <w:rFonts w:ascii="Arial Narrow" w:hAnsi="Arial Narrow" w:cs="Arial"/>
                <w:sz w:val="16"/>
                <w:szCs w:val="16"/>
              </w:rPr>
              <w:t>02</w:t>
            </w:r>
            <w:r w:rsidRPr="000D53DC">
              <w:rPr>
                <w:rFonts w:ascii="Arial Narrow" w:hAnsi="Arial Narrow" w:cs="Arial"/>
                <w:sz w:val="16"/>
                <w:szCs w:val="16"/>
              </w:rPr>
              <w:t>.0</w:t>
            </w:r>
            <w:r w:rsidR="00C45ADF" w:rsidRPr="000D53DC">
              <w:rPr>
                <w:rFonts w:ascii="Arial Narrow" w:hAnsi="Arial Narrow" w:cs="Arial"/>
                <w:sz w:val="16"/>
                <w:szCs w:val="16"/>
              </w:rPr>
              <w:t>7</w:t>
            </w:r>
            <w:r w:rsidRPr="000D53DC">
              <w:rPr>
                <w:rFonts w:ascii="Arial Narrow" w:hAnsi="Arial Narrow" w:cs="Arial"/>
                <w:sz w:val="16"/>
                <w:szCs w:val="16"/>
              </w:rPr>
              <w:t>.2024</w:t>
            </w:r>
          </w:p>
        </w:tc>
        <w:tc>
          <w:tcPr>
            <w:tcW w:w="2555" w:type="pct"/>
          </w:tcPr>
          <w:p w14:paraId="70DD00B6" w14:textId="16B50F14" w:rsidR="00A224C2" w:rsidRPr="000D53DC" w:rsidRDefault="009B5A6D" w:rsidP="004F193F">
            <w:pPr>
              <w:autoSpaceDE w:val="0"/>
              <w:autoSpaceDN w:val="0"/>
              <w:adjustRightInd w:val="0"/>
              <w:jc w:val="both"/>
              <w:rPr>
                <w:rFonts w:ascii="Arial Narrow" w:hAnsi="Arial Narrow" w:cs="Arial"/>
                <w:sz w:val="16"/>
                <w:szCs w:val="16"/>
              </w:rPr>
            </w:pPr>
            <w:r w:rsidRPr="000D53DC">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4021BA7C" w14:textId="3A166FB2" w:rsidR="008C1183" w:rsidRPr="00E87485" w:rsidRDefault="008C1183" w:rsidP="000D0C0D">
      <w:pPr>
        <w:spacing w:before="240" w:after="0" w:line="240" w:lineRule="auto"/>
        <w:jc w:val="center"/>
        <w:rPr>
          <w:rFonts w:ascii="Arial Narrow" w:hAnsi="Arial Narrow"/>
          <w:b/>
          <w:bCs/>
          <w:sz w:val="16"/>
          <w:szCs w:val="16"/>
        </w:rPr>
      </w:pPr>
      <w:r w:rsidRPr="00E87485">
        <w:rPr>
          <w:rFonts w:ascii="Arial Narrow" w:hAnsi="Arial Narrow"/>
          <w:b/>
          <w:bCs/>
          <w:sz w:val="16"/>
          <w:szCs w:val="16"/>
        </w:rPr>
        <w:t>NOTIFICACIÓN ADMINISTRATIVA</w:t>
      </w:r>
    </w:p>
    <w:p w14:paraId="68FC089A" w14:textId="77777777" w:rsidR="008C1183" w:rsidRPr="008C1183" w:rsidRDefault="008C1183" w:rsidP="008C1183">
      <w:pPr>
        <w:spacing w:after="0" w:line="240" w:lineRule="auto"/>
        <w:jc w:val="center"/>
        <w:rPr>
          <w:rFonts w:ascii="Arial Narrow" w:hAnsi="Arial Narrow"/>
          <w:sz w:val="16"/>
          <w:szCs w:val="16"/>
        </w:rPr>
      </w:pPr>
    </w:p>
    <w:p w14:paraId="27E2E8D1" w14:textId="77777777" w:rsidR="008C1183" w:rsidRPr="008C1183" w:rsidRDefault="008C1183" w:rsidP="008C1183">
      <w:pPr>
        <w:spacing w:after="0" w:line="240" w:lineRule="auto"/>
        <w:jc w:val="both"/>
        <w:rPr>
          <w:rFonts w:ascii="Arial Narrow" w:hAnsi="Arial Narrow"/>
          <w:sz w:val="16"/>
          <w:szCs w:val="16"/>
        </w:rPr>
      </w:pPr>
      <w:r w:rsidRPr="008C1183">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se cumple con NOTIFICAR a las personas naturales y/o jurídicas, que la Intendencia de Aduana de Tacna, en aplicación del Artículo 1°, y el Decreto Legislativo N° 1053 – Ley General de Aduanas, ha decretado los siguientes actos administrativos mediante Resolución de División, en relación a la mercancía descrita en el acta de incautación señalada en la presente notificación.</w:t>
      </w:r>
    </w:p>
    <w:p w14:paraId="7DBE66AB" w14:textId="1100757B" w:rsidR="008C1183" w:rsidRPr="008C1183" w:rsidRDefault="008C1183" w:rsidP="00E87485">
      <w:pPr>
        <w:spacing w:after="0" w:line="240" w:lineRule="auto"/>
        <w:jc w:val="both"/>
        <w:rPr>
          <w:rFonts w:ascii="Arial Narrow" w:hAnsi="Arial Narrow"/>
          <w:sz w:val="16"/>
          <w:szCs w:val="16"/>
        </w:rPr>
      </w:pPr>
      <w:r w:rsidRPr="008C118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036" w:type="dxa"/>
        <w:tblLook w:val="04A0" w:firstRow="1" w:lastRow="0" w:firstColumn="1" w:lastColumn="0" w:noHBand="0" w:noVBand="1"/>
      </w:tblPr>
      <w:tblGrid>
        <w:gridCol w:w="1383"/>
        <w:gridCol w:w="1287"/>
        <w:gridCol w:w="984"/>
        <w:gridCol w:w="931"/>
        <w:gridCol w:w="1155"/>
        <w:gridCol w:w="1164"/>
        <w:gridCol w:w="6132"/>
      </w:tblGrid>
      <w:tr w:rsidR="00411987" w:rsidRPr="008C1183" w14:paraId="265EFE6B" w14:textId="77777777" w:rsidTr="00411987">
        <w:trPr>
          <w:trHeight w:val="20"/>
        </w:trPr>
        <w:tc>
          <w:tcPr>
            <w:tcW w:w="1383" w:type="dxa"/>
            <w:vAlign w:val="center"/>
          </w:tcPr>
          <w:p w14:paraId="173DB40A"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Interesado</w:t>
            </w:r>
          </w:p>
        </w:tc>
        <w:tc>
          <w:tcPr>
            <w:tcW w:w="1287" w:type="dxa"/>
            <w:vAlign w:val="center"/>
          </w:tcPr>
          <w:p w14:paraId="3530B083"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Documento de Identificación</w:t>
            </w:r>
          </w:p>
        </w:tc>
        <w:tc>
          <w:tcPr>
            <w:tcW w:w="984" w:type="dxa"/>
            <w:vAlign w:val="center"/>
          </w:tcPr>
          <w:p w14:paraId="27F05301"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Condición</w:t>
            </w:r>
          </w:p>
        </w:tc>
        <w:tc>
          <w:tcPr>
            <w:tcW w:w="931" w:type="dxa"/>
            <w:vAlign w:val="center"/>
          </w:tcPr>
          <w:p w14:paraId="49AD16CB"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Fecha de Intervención</w:t>
            </w:r>
          </w:p>
        </w:tc>
        <w:tc>
          <w:tcPr>
            <w:tcW w:w="1155" w:type="dxa"/>
            <w:vAlign w:val="center"/>
          </w:tcPr>
          <w:p w14:paraId="105043E3"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Acta de Incautación</w:t>
            </w:r>
          </w:p>
        </w:tc>
        <w:tc>
          <w:tcPr>
            <w:tcW w:w="1164" w:type="dxa"/>
            <w:vAlign w:val="center"/>
          </w:tcPr>
          <w:p w14:paraId="724922A5"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Resolución de División</w:t>
            </w:r>
          </w:p>
        </w:tc>
        <w:tc>
          <w:tcPr>
            <w:tcW w:w="6132" w:type="dxa"/>
            <w:vAlign w:val="center"/>
          </w:tcPr>
          <w:p w14:paraId="7AC30335"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Determinación</w:t>
            </w:r>
          </w:p>
        </w:tc>
      </w:tr>
      <w:tr w:rsidR="00411987" w:rsidRPr="008C1183" w14:paraId="46416744" w14:textId="77777777" w:rsidTr="00411987">
        <w:trPr>
          <w:trHeight w:val="20"/>
        </w:trPr>
        <w:tc>
          <w:tcPr>
            <w:tcW w:w="1383" w:type="dxa"/>
            <w:vAlign w:val="center"/>
          </w:tcPr>
          <w:p w14:paraId="7F230441"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Gedeon Jonathan Contreras Salinas</w:t>
            </w:r>
          </w:p>
        </w:tc>
        <w:tc>
          <w:tcPr>
            <w:tcW w:w="1287" w:type="dxa"/>
            <w:vAlign w:val="center"/>
          </w:tcPr>
          <w:p w14:paraId="7D673C9A"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Cédula de Identidad N° 19659437K</w:t>
            </w:r>
          </w:p>
        </w:tc>
        <w:tc>
          <w:tcPr>
            <w:tcW w:w="984" w:type="dxa"/>
            <w:vAlign w:val="center"/>
          </w:tcPr>
          <w:p w14:paraId="7C8CDE0C"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Intervenido</w:t>
            </w:r>
          </w:p>
        </w:tc>
        <w:tc>
          <w:tcPr>
            <w:tcW w:w="931" w:type="dxa"/>
            <w:vMerge w:val="restart"/>
            <w:vAlign w:val="center"/>
          </w:tcPr>
          <w:p w14:paraId="432F672C"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23.04.2024</w:t>
            </w:r>
          </w:p>
        </w:tc>
        <w:tc>
          <w:tcPr>
            <w:tcW w:w="1155" w:type="dxa"/>
            <w:vMerge w:val="restart"/>
            <w:vAlign w:val="center"/>
          </w:tcPr>
          <w:p w14:paraId="0C95E3B8"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Acta de Incautación N° 172-0204-2024-000245</w:t>
            </w:r>
          </w:p>
        </w:tc>
        <w:tc>
          <w:tcPr>
            <w:tcW w:w="1164" w:type="dxa"/>
            <w:vMerge w:val="restart"/>
            <w:vAlign w:val="center"/>
          </w:tcPr>
          <w:p w14:paraId="6D4DD06C"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Resolución de División N° 000109-2024-SUNAT/3G0800</w:t>
            </w:r>
          </w:p>
        </w:tc>
        <w:tc>
          <w:tcPr>
            <w:tcW w:w="6132" w:type="dxa"/>
            <w:vMerge w:val="restart"/>
            <w:vAlign w:val="center"/>
          </w:tcPr>
          <w:p w14:paraId="5D41C37B" w14:textId="77777777" w:rsidR="008C1183" w:rsidRPr="008C1183" w:rsidRDefault="008C1183" w:rsidP="00B61065">
            <w:pPr>
              <w:jc w:val="both"/>
              <w:rPr>
                <w:rFonts w:ascii="Arial Narrow" w:hAnsi="Arial Narrow"/>
                <w:sz w:val="16"/>
                <w:szCs w:val="16"/>
              </w:rPr>
            </w:pPr>
            <w:r w:rsidRPr="008C1183">
              <w:rPr>
                <w:rFonts w:ascii="Arial Narrow" w:hAnsi="Arial Narrow"/>
                <w:sz w:val="16"/>
                <w:szCs w:val="16"/>
              </w:rPr>
              <w:t>ARTICULO PRIMERO: Declarar IMPROCEDENTE la solicitud de devolución de mercancías contenidas en el Acta de Incautación N° 172-0204-2024-000245 presentada por DARATEL PERU S.A.C. identificada con RUC N° 20611588756 en fecha 25.04.2024 mediante el Expediente N° 172-URD999-2024-384640, en mérito a los fundamentos expuestos en la parte considerativa.</w:t>
            </w:r>
          </w:p>
          <w:p w14:paraId="3EF53673" w14:textId="77777777" w:rsidR="008C1183" w:rsidRPr="008C1183" w:rsidRDefault="008C1183" w:rsidP="00B61065">
            <w:pPr>
              <w:jc w:val="both"/>
              <w:rPr>
                <w:rFonts w:ascii="Arial Narrow" w:hAnsi="Arial Narrow"/>
                <w:sz w:val="16"/>
                <w:szCs w:val="16"/>
              </w:rPr>
            </w:pPr>
            <w:r w:rsidRPr="008C1183">
              <w:rPr>
                <w:rFonts w:ascii="Arial Narrow" w:hAnsi="Arial Narrow"/>
                <w:sz w:val="16"/>
                <w:szCs w:val="16"/>
              </w:rPr>
              <w:t>ARTÍCULO SEGUNDO: Declarar el COMISO de la mercancía incautada a través del Acta de Incautación N° 172-0204-2024-000245 consistente en el vehículo de placa de rodaje LVFZ61, de conformidad con lo establecido en el antepenúltimo párrafo del artículo 200° de la Ley General de Aduanas y el Código CO13 de la Tabla de Sanciones.</w:t>
            </w:r>
          </w:p>
          <w:p w14:paraId="6036C1C7" w14:textId="77777777" w:rsidR="008C1183" w:rsidRPr="008C1183" w:rsidRDefault="008C1183" w:rsidP="00B61065">
            <w:pPr>
              <w:jc w:val="both"/>
              <w:rPr>
                <w:rFonts w:ascii="Arial Narrow" w:hAnsi="Arial Narrow"/>
                <w:sz w:val="16"/>
                <w:szCs w:val="16"/>
              </w:rPr>
            </w:pPr>
            <w:r w:rsidRPr="008C1183">
              <w:rPr>
                <w:rFonts w:ascii="Arial Narrow" w:hAnsi="Arial Narrow"/>
                <w:sz w:val="16"/>
                <w:szCs w:val="16"/>
              </w:rPr>
              <w:t>ARTÍCULO TERCERO: Notificar la presente resolución mediante publicación en el Diario Oficial El Peruano, de conformidad con el numeral 2) del inciso e) del artículo 104° del Texto Único Ordenado del Código Tributario, aprobado por Decreto Supremo N° 133-2013-EF.</w:t>
            </w:r>
          </w:p>
          <w:p w14:paraId="2FB4CDA1" w14:textId="77777777" w:rsidR="008C1183" w:rsidRPr="008C1183" w:rsidRDefault="008C1183" w:rsidP="00B61065">
            <w:pPr>
              <w:jc w:val="both"/>
              <w:rPr>
                <w:rFonts w:ascii="Arial Narrow" w:hAnsi="Arial Narrow"/>
                <w:sz w:val="16"/>
                <w:szCs w:val="16"/>
              </w:rPr>
            </w:pPr>
            <w:r w:rsidRPr="008C1183">
              <w:rPr>
                <w:rFonts w:ascii="Arial Narrow" w:hAnsi="Arial Narrow"/>
                <w:sz w:val="16"/>
                <w:szCs w:val="16"/>
              </w:rPr>
              <w:t>ARTÍCULO CUARTO: Proceder con la REGULARIZACIÓN EXCEPCIONAL del CIT N° 15-172-0204-2024-006330 de fecha 30.01.2024, conforme al literal d) del artículo 1 de la sección E.2 del Procedimiento General de Vehículos para Turismo DESPAPG. 16 (versión 3).</w:t>
            </w:r>
          </w:p>
        </w:tc>
      </w:tr>
      <w:tr w:rsidR="00411987" w:rsidRPr="008C1183" w14:paraId="72EDEC26" w14:textId="77777777" w:rsidTr="00411987">
        <w:trPr>
          <w:trHeight w:val="20"/>
        </w:trPr>
        <w:tc>
          <w:tcPr>
            <w:tcW w:w="1383" w:type="dxa"/>
            <w:vAlign w:val="center"/>
          </w:tcPr>
          <w:p w14:paraId="26C0856F"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Arturo Prestifilippo</w:t>
            </w:r>
          </w:p>
        </w:tc>
        <w:tc>
          <w:tcPr>
            <w:tcW w:w="1287" w:type="dxa"/>
            <w:vAlign w:val="center"/>
          </w:tcPr>
          <w:p w14:paraId="42CBAB98"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Cédula de Identificación N° 17958321</w:t>
            </w:r>
          </w:p>
        </w:tc>
        <w:tc>
          <w:tcPr>
            <w:tcW w:w="984" w:type="dxa"/>
            <w:vAlign w:val="center"/>
          </w:tcPr>
          <w:p w14:paraId="1A82CFDF"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Beneficiario</w:t>
            </w:r>
          </w:p>
        </w:tc>
        <w:tc>
          <w:tcPr>
            <w:tcW w:w="931" w:type="dxa"/>
            <w:vMerge/>
            <w:vAlign w:val="center"/>
          </w:tcPr>
          <w:p w14:paraId="276D55D6" w14:textId="77777777" w:rsidR="008C1183" w:rsidRPr="008C1183" w:rsidRDefault="008C1183" w:rsidP="00B61065">
            <w:pPr>
              <w:jc w:val="center"/>
              <w:rPr>
                <w:rFonts w:ascii="Arial Narrow" w:hAnsi="Arial Narrow"/>
                <w:sz w:val="16"/>
                <w:szCs w:val="16"/>
              </w:rPr>
            </w:pPr>
          </w:p>
        </w:tc>
        <w:tc>
          <w:tcPr>
            <w:tcW w:w="1155" w:type="dxa"/>
            <w:vMerge/>
            <w:vAlign w:val="center"/>
          </w:tcPr>
          <w:p w14:paraId="2882B295" w14:textId="77777777" w:rsidR="008C1183" w:rsidRPr="008C1183" w:rsidRDefault="008C1183" w:rsidP="00B61065">
            <w:pPr>
              <w:jc w:val="center"/>
              <w:rPr>
                <w:rFonts w:ascii="Arial Narrow" w:hAnsi="Arial Narrow"/>
                <w:sz w:val="16"/>
                <w:szCs w:val="16"/>
              </w:rPr>
            </w:pPr>
          </w:p>
        </w:tc>
        <w:tc>
          <w:tcPr>
            <w:tcW w:w="1164" w:type="dxa"/>
            <w:vMerge/>
            <w:vAlign w:val="center"/>
          </w:tcPr>
          <w:p w14:paraId="3909CEAD" w14:textId="77777777" w:rsidR="008C1183" w:rsidRPr="008C1183" w:rsidRDefault="008C1183" w:rsidP="00B61065">
            <w:pPr>
              <w:jc w:val="center"/>
              <w:rPr>
                <w:rFonts w:ascii="Arial Narrow" w:hAnsi="Arial Narrow"/>
                <w:sz w:val="16"/>
                <w:szCs w:val="16"/>
              </w:rPr>
            </w:pPr>
          </w:p>
        </w:tc>
        <w:tc>
          <w:tcPr>
            <w:tcW w:w="6132" w:type="dxa"/>
            <w:vMerge/>
            <w:vAlign w:val="center"/>
          </w:tcPr>
          <w:p w14:paraId="484AA6CD" w14:textId="77777777" w:rsidR="008C1183" w:rsidRPr="008C1183" w:rsidRDefault="008C1183" w:rsidP="00B61065">
            <w:pPr>
              <w:jc w:val="center"/>
              <w:rPr>
                <w:rFonts w:ascii="Arial Narrow" w:hAnsi="Arial Narrow"/>
                <w:sz w:val="16"/>
                <w:szCs w:val="16"/>
              </w:rPr>
            </w:pPr>
          </w:p>
        </w:tc>
      </w:tr>
      <w:tr w:rsidR="00411987" w:rsidRPr="008C1183" w14:paraId="5A924EAB" w14:textId="77777777" w:rsidTr="00411987">
        <w:trPr>
          <w:trHeight w:val="20"/>
        </w:trPr>
        <w:tc>
          <w:tcPr>
            <w:tcW w:w="1383" w:type="dxa"/>
            <w:vAlign w:val="center"/>
          </w:tcPr>
          <w:p w14:paraId="2C5A166A" w14:textId="77777777" w:rsidR="008C1183" w:rsidRPr="008C1183" w:rsidRDefault="008C1183" w:rsidP="00B61065">
            <w:pPr>
              <w:autoSpaceDE w:val="0"/>
              <w:autoSpaceDN w:val="0"/>
              <w:adjustRightInd w:val="0"/>
              <w:jc w:val="center"/>
              <w:rPr>
                <w:rFonts w:ascii="Arial Narrow" w:hAnsi="Arial Narrow"/>
                <w:sz w:val="16"/>
                <w:szCs w:val="16"/>
              </w:rPr>
            </w:pPr>
            <w:r w:rsidRPr="008C1183">
              <w:rPr>
                <w:rFonts w:ascii="Arial Narrow" w:hAnsi="Arial Narrow"/>
                <w:sz w:val="16"/>
                <w:szCs w:val="16"/>
              </w:rPr>
              <w:t>Wilson Antonio Rodriguez Herrera – Servicio de Telefonía EIRL representada por Wilson Antonio Rodríguez Herrera</w:t>
            </w:r>
          </w:p>
        </w:tc>
        <w:tc>
          <w:tcPr>
            <w:tcW w:w="1287" w:type="dxa"/>
            <w:vAlign w:val="center"/>
          </w:tcPr>
          <w:p w14:paraId="171A9D34"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RUT N° 76967042-4 y Cédula de Identificación N° 85253573, respectivamente.</w:t>
            </w:r>
          </w:p>
        </w:tc>
        <w:tc>
          <w:tcPr>
            <w:tcW w:w="984" w:type="dxa"/>
            <w:vAlign w:val="center"/>
          </w:tcPr>
          <w:p w14:paraId="730D8C4F" w14:textId="77777777" w:rsidR="008C1183" w:rsidRPr="008C1183" w:rsidRDefault="008C1183" w:rsidP="00B61065">
            <w:pPr>
              <w:jc w:val="center"/>
              <w:rPr>
                <w:rFonts w:ascii="Arial Narrow" w:hAnsi="Arial Narrow"/>
                <w:sz w:val="16"/>
                <w:szCs w:val="16"/>
              </w:rPr>
            </w:pPr>
            <w:r w:rsidRPr="008C1183">
              <w:rPr>
                <w:rFonts w:ascii="Arial Narrow" w:hAnsi="Arial Narrow"/>
                <w:sz w:val="16"/>
                <w:szCs w:val="16"/>
              </w:rPr>
              <w:t>Propietario del medio de transporte</w:t>
            </w:r>
          </w:p>
        </w:tc>
        <w:tc>
          <w:tcPr>
            <w:tcW w:w="931" w:type="dxa"/>
            <w:vMerge/>
            <w:vAlign w:val="center"/>
          </w:tcPr>
          <w:p w14:paraId="69CCAA48" w14:textId="77777777" w:rsidR="008C1183" w:rsidRPr="008C1183" w:rsidRDefault="008C1183" w:rsidP="00B61065">
            <w:pPr>
              <w:jc w:val="center"/>
              <w:rPr>
                <w:rFonts w:ascii="Arial Narrow" w:hAnsi="Arial Narrow"/>
                <w:sz w:val="16"/>
                <w:szCs w:val="16"/>
              </w:rPr>
            </w:pPr>
          </w:p>
        </w:tc>
        <w:tc>
          <w:tcPr>
            <w:tcW w:w="1155" w:type="dxa"/>
            <w:vMerge/>
            <w:vAlign w:val="center"/>
          </w:tcPr>
          <w:p w14:paraId="6BAD8876" w14:textId="77777777" w:rsidR="008C1183" w:rsidRPr="008C1183" w:rsidRDefault="008C1183" w:rsidP="00B61065">
            <w:pPr>
              <w:jc w:val="center"/>
              <w:rPr>
                <w:rFonts w:ascii="Arial Narrow" w:hAnsi="Arial Narrow"/>
                <w:sz w:val="16"/>
                <w:szCs w:val="16"/>
              </w:rPr>
            </w:pPr>
          </w:p>
        </w:tc>
        <w:tc>
          <w:tcPr>
            <w:tcW w:w="1164" w:type="dxa"/>
            <w:vMerge/>
            <w:vAlign w:val="center"/>
          </w:tcPr>
          <w:p w14:paraId="7B58FDD1" w14:textId="77777777" w:rsidR="008C1183" w:rsidRPr="008C1183" w:rsidRDefault="008C1183" w:rsidP="00B61065">
            <w:pPr>
              <w:jc w:val="center"/>
              <w:rPr>
                <w:rFonts w:ascii="Arial Narrow" w:hAnsi="Arial Narrow"/>
                <w:sz w:val="16"/>
                <w:szCs w:val="16"/>
              </w:rPr>
            </w:pPr>
          </w:p>
        </w:tc>
        <w:tc>
          <w:tcPr>
            <w:tcW w:w="6132" w:type="dxa"/>
            <w:vMerge/>
            <w:vAlign w:val="center"/>
          </w:tcPr>
          <w:p w14:paraId="200E2AF2" w14:textId="77777777" w:rsidR="008C1183" w:rsidRPr="008C1183" w:rsidRDefault="008C1183" w:rsidP="00B61065">
            <w:pPr>
              <w:jc w:val="center"/>
              <w:rPr>
                <w:rFonts w:ascii="Arial Narrow" w:hAnsi="Arial Narrow"/>
                <w:sz w:val="16"/>
                <w:szCs w:val="16"/>
              </w:rPr>
            </w:pPr>
          </w:p>
        </w:tc>
      </w:tr>
    </w:tbl>
    <w:p w14:paraId="39E0DE46" w14:textId="11B30256" w:rsidR="008C1183" w:rsidRPr="008C1183" w:rsidRDefault="008C1183" w:rsidP="008C1183">
      <w:pPr>
        <w:spacing w:after="0" w:line="240" w:lineRule="auto"/>
        <w:jc w:val="center"/>
        <w:rPr>
          <w:rFonts w:ascii="Arial Narrow" w:hAnsi="Arial Narrow"/>
          <w:sz w:val="16"/>
          <w:szCs w:val="16"/>
        </w:rPr>
      </w:pPr>
    </w:p>
    <w:p w14:paraId="02BBE958" w14:textId="704256DC" w:rsidR="008C1183" w:rsidRPr="008C1183" w:rsidRDefault="008C1183" w:rsidP="008C1183">
      <w:pPr>
        <w:spacing w:after="0" w:line="240" w:lineRule="auto"/>
        <w:jc w:val="both"/>
        <w:rPr>
          <w:rFonts w:ascii="Arial Narrow" w:hAnsi="Arial Narrow"/>
          <w:sz w:val="16"/>
          <w:szCs w:val="16"/>
        </w:rPr>
      </w:pPr>
    </w:p>
    <w:p w14:paraId="7DF37423" w14:textId="77777777" w:rsidR="008C1183" w:rsidRPr="008C1183" w:rsidRDefault="008C1183" w:rsidP="008C1183">
      <w:pPr>
        <w:spacing w:after="0" w:line="240" w:lineRule="auto"/>
        <w:jc w:val="both"/>
        <w:rPr>
          <w:rFonts w:ascii="Arial Narrow" w:hAnsi="Arial Narrow"/>
          <w:sz w:val="16"/>
          <w:szCs w:val="16"/>
        </w:rPr>
      </w:pPr>
    </w:p>
    <w:p w14:paraId="7A2967F3" w14:textId="5EB2EFE4" w:rsidR="006962CC" w:rsidRPr="008C1183" w:rsidRDefault="006962CC" w:rsidP="006962CC">
      <w:pPr>
        <w:tabs>
          <w:tab w:val="left" w:pos="8010"/>
        </w:tabs>
        <w:rPr>
          <w:rFonts w:ascii="Arial Narrow" w:hAnsi="Arial Narrow"/>
          <w:sz w:val="16"/>
          <w:szCs w:val="16"/>
        </w:rPr>
      </w:pPr>
      <w:r w:rsidRPr="008C1183">
        <w:rPr>
          <w:rFonts w:ascii="Arial Narrow" w:hAnsi="Arial Narrow"/>
          <w:sz w:val="16"/>
          <w:szCs w:val="16"/>
        </w:rPr>
        <w:tab/>
      </w:r>
    </w:p>
    <w:sectPr w:rsidR="006962CC" w:rsidRPr="008C1183" w:rsidSect="008F0D2A">
      <w:pgSz w:w="15840" w:h="12240" w:orient="landscape"/>
      <w:pgMar w:top="107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4FE5" w14:textId="77777777" w:rsidR="002E7F19" w:rsidRDefault="002E7F19" w:rsidP="005319CE">
      <w:pPr>
        <w:spacing w:after="0" w:line="240" w:lineRule="auto"/>
      </w:pPr>
      <w:r>
        <w:separator/>
      </w:r>
    </w:p>
  </w:endnote>
  <w:endnote w:type="continuationSeparator" w:id="0">
    <w:p w14:paraId="3672DD87" w14:textId="77777777" w:rsidR="002E7F19" w:rsidRDefault="002E7F19"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36D3" w14:textId="77777777" w:rsidR="002E7F19" w:rsidRDefault="002E7F19" w:rsidP="005319CE">
      <w:pPr>
        <w:spacing w:after="0" w:line="240" w:lineRule="auto"/>
      </w:pPr>
      <w:r>
        <w:separator/>
      </w:r>
    </w:p>
  </w:footnote>
  <w:footnote w:type="continuationSeparator" w:id="0">
    <w:p w14:paraId="01573935" w14:textId="77777777" w:rsidR="002E7F19" w:rsidRDefault="002E7F19"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75984"/>
    <w:rsid w:val="000A101D"/>
    <w:rsid w:val="000D08D4"/>
    <w:rsid w:val="000D0C0D"/>
    <w:rsid w:val="000D53DC"/>
    <w:rsid w:val="000D76D9"/>
    <w:rsid w:val="000E5629"/>
    <w:rsid w:val="000E7934"/>
    <w:rsid w:val="000F3EE5"/>
    <w:rsid w:val="00107F95"/>
    <w:rsid w:val="00122B93"/>
    <w:rsid w:val="00135C65"/>
    <w:rsid w:val="00141BC3"/>
    <w:rsid w:val="001435FD"/>
    <w:rsid w:val="0014639B"/>
    <w:rsid w:val="00150D83"/>
    <w:rsid w:val="001740A0"/>
    <w:rsid w:val="00186D96"/>
    <w:rsid w:val="001A7DF9"/>
    <w:rsid w:val="001C7EE6"/>
    <w:rsid w:val="001F3673"/>
    <w:rsid w:val="001F4857"/>
    <w:rsid w:val="001F785E"/>
    <w:rsid w:val="00207BD4"/>
    <w:rsid w:val="00235118"/>
    <w:rsid w:val="0024134F"/>
    <w:rsid w:val="002633C0"/>
    <w:rsid w:val="002765CA"/>
    <w:rsid w:val="00277A7F"/>
    <w:rsid w:val="00280B1A"/>
    <w:rsid w:val="002A34CA"/>
    <w:rsid w:val="002B08A0"/>
    <w:rsid w:val="002D350C"/>
    <w:rsid w:val="002D69AC"/>
    <w:rsid w:val="002E7F19"/>
    <w:rsid w:val="00301232"/>
    <w:rsid w:val="00310D76"/>
    <w:rsid w:val="00311135"/>
    <w:rsid w:val="00316AA1"/>
    <w:rsid w:val="00321BEC"/>
    <w:rsid w:val="003228FD"/>
    <w:rsid w:val="003233D0"/>
    <w:rsid w:val="00335B64"/>
    <w:rsid w:val="00337337"/>
    <w:rsid w:val="0037423B"/>
    <w:rsid w:val="0037573A"/>
    <w:rsid w:val="00375B00"/>
    <w:rsid w:val="0040068D"/>
    <w:rsid w:val="00407E6F"/>
    <w:rsid w:val="00411987"/>
    <w:rsid w:val="004305AA"/>
    <w:rsid w:val="004421C2"/>
    <w:rsid w:val="004500D5"/>
    <w:rsid w:val="004555A8"/>
    <w:rsid w:val="004722AD"/>
    <w:rsid w:val="00474554"/>
    <w:rsid w:val="004850F5"/>
    <w:rsid w:val="00493027"/>
    <w:rsid w:val="004A54D3"/>
    <w:rsid w:val="004B7F61"/>
    <w:rsid w:val="004C0B52"/>
    <w:rsid w:val="004D64C9"/>
    <w:rsid w:val="004D7099"/>
    <w:rsid w:val="004E21D2"/>
    <w:rsid w:val="004E2231"/>
    <w:rsid w:val="004F0A73"/>
    <w:rsid w:val="004F193F"/>
    <w:rsid w:val="004F3A5E"/>
    <w:rsid w:val="005002DF"/>
    <w:rsid w:val="00500902"/>
    <w:rsid w:val="0051098B"/>
    <w:rsid w:val="005319CE"/>
    <w:rsid w:val="00545571"/>
    <w:rsid w:val="00547367"/>
    <w:rsid w:val="005550B5"/>
    <w:rsid w:val="00575D6D"/>
    <w:rsid w:val="005937AE"/>
    <w:rsid w:val="005A5276"/>
    <w:rsid w:val="005B21D1"/>
    <w:rsid w:val="005B6463"/>
    <w:rsid w:val="005C13CB"/>
    <w:rsid w:val="005D0B5C"/>
    <w:rsid w:val="005E3435"/>
    <w:rsid w:val="005F5E64"/>
    <w:rsid w:val="00602D8E"/>
    <w:rsid w:val="00612EA5"/>
    <w:rsid w:val="00624B06"/>
    <w:rsid w:val="00632AFA"/>
    <w:rsid w:val="00642AD6"/>
    <w:rsid w:val="00654B20"/>
    <w:rsid w:val="00673016"/>
    <w:rsid w:val="00682FF5"/>
    <w:rsid w:val="00683F39"/>
    <w:rsid w:val="00690982"/>
    <w:rsid w:val="0069120F"/>
    <w:rsid w:val="006932DA"/>
    <w:rsid w:val="006947FC"/>
    <w:rsid w:val="006962CC"/>
    <w:rsid w:val="006A22F4"/>
    <w:rsid w:val="006A53CD"/>
    <w:rsid w:val="006B0B6C"/>
    <w:rsid w:val="006C5431"/>
    <w:rsid w:val="006D2D7C"/>
    <w:rsid w:val="006D75CC"/>
    <w:rsid w:val="00715187"/>
    <w:rsid w:val="00741332"/>
    <w:rsid w:val="007419E2"/>
    <w:rsid w:val="0075350E"/>
    <w:rsid w:val="00796BD9"/>
    <w:rsid w:val="007C0315"/>
    <w:rsid w:val="007D1533"/>
    <w:rsid w:val="007D7C47"/>
    <w:rsid w:val="00801EC2"/>
    <w:rsid w:val="00802FE8"/>
    <w:rsid w:val="00813866"/>
    <w:rsid w:val="00823836"/>
    <w:rsid w:val="00843AC9"/>
    <w:rsid w:val="008443C4"/>
    <w:rsid w:val="00873E5D"/>
    <w:rsid w:val="00882A6C"/>
    <w:rsid w:val="008A7FCD"/>
    <w:rsid w:val="008C1183"/>
    <w:rsid w:val="008C2CF4"/>
    <w:rsid w:val="008C7AFF"/>
    <w:rsid w:val="008D587B"/>
    <w:rsid w:val="008F0D2A"/>
    <w:rsid w:val="009006FB"/>
    <w:rsid w:val="00923EFA"/>
    <w:rsid w:val="009263D2"/>
    <w:rsid w:val="00936528"/>
    <w:rsid w:val="00991A03"/>
    <w:rsid w:val="009A1778"/>
    <w:rsid w:val="009B4CF7"/>
    <w:rsid w:val="009B5A6D"/>
    <w:rsid w:val="009D2812"/>
    <w:rsid w:val="009D4370"/>
    <w:rsid w:val="00A12EF5"/>
    <w:rsid w:val="00A2038C"/>
    <w:rsid w:val="00A220BD"/>
    <w:rsid w:val="00A224C2"/>
    <w:rsid w:val="00A2408B"/>
    <w:rsid w:val="00A300D6"/>
    <w:rsid w:val="00A30FBE"/>
    <w:rsid w:val="00A36837"/>
    <w:rsid w:val="00A42CDE"/>
    <w:rsid w:val="00A43C60"/>
    <w:rsid w:val="00A44E43"/>
    <w:rsid w:val="00A466E3"/>
    <w:rsid w:val="00A50480"/>
    <w:rsid w:val="00A57027"/>
    <w:rsid w:val="00A60D67"/>
    <w:rsid w:val="00A70522"/>
    <w:rsid w:val="00A751F1"/>
    <w:rsid w:val="00A9458F"/>
    <w:rsid w:val="00AA70E8"/>
    <w:rsid w:val="00AB2C18"/>
    <w:rsid w:val="00AB68CE"/>
    <w:rsid w:val="00B12B85"/>
    <w:rsid w:val="00B1614F"/>
    <w:rsid w:val="00B221DE"/>
    <w:rsid w:val="00B245CD"/>
    <w:rsid w:val="00B24E28"/>
    <w:rsid w:val="00B3560A"/>
    <w:rsid w:val="00B96A05"/>
    <w:rsid w:val="00B977AB"/>
    <w:rsid w:val="00BE5E5D"/>
    <w:rsid w:val="00BF660F"/>
    <w:rsid w:val="00C15927"/>
    <w:rsid w:val="00C43252"/>
    <w:rsid w:val="00C434DF"/>
    <w:rsid w:val="00C45ADF"/>
    <w:rsid w:val="00C70A2E"/>
    <w:rsid w:val="00C7519F"/>
    <w:rsid w:val="00C85E18"/>
    <w:rsid w:val="00C95C7C"/>
    <w:rsid w:val="00CA2171"/>
    <w:rsid w:val="00CC2E69"/>
    <w:rsid w:val="00CC43FF"/>
    <w:rsid w:val="00CC7E62"/>
    <w:rsid w:val="00CF4871"/>
    <w:rsid w:val="00CF6E37"/>
    <w:rsid w:val="00D17588"/>
    <w:rsid w:val="00D24CDB"/>
    <w:rsid w:val="00D42EC5"/>
    <w:rsid w:val="00D43C01"/>
    <w:rsid w:val="00D54741"/>
    <w:rsid w:val="00D54FF8"/>
    <w:rsid w:val="00D65E78"/>
    <w:rsid w:val="00D76FDB"/>
    <w:rsid w:val="00D96A95"/>
    <w:rsid w:val="00DA28CB"/>
    <w:rsid w:val="00DC6533"/>
    <w:rsid w:val="00DD5014"/>
    <w:rsid w:val="00DD5293"/>
    <w:rsid w:val="00DE1F79"/>
    <w:rsid w:val="00DE4FF7"/>
    <w:rsid w:val="00DF286E"/>
    <w:rsid w:val="00E0375F"/>
    <w:rsid w:val="00E05035"/>
    <w:rsid w:val="00E11BA7"/>
    <w:rsid w:val="00E175D3"/>
    <w:rsid w:val="00E37AD5"/>
    <w:rsid w:val="00E73426"/>
    <w:rsid w:val="00E740A2"/>
    <w:rsid w:val="00E74D8C"/>
    <w:rsid w:val="00E777A1"/>
    <w:rsid w:val="00E845EE"/>
    <w:rsid w:val="00E87485"/>
    <w:rsid w:val="00E96574"/>
    <w:rsid w:val="00EA1B83"/>
    <w:rsid w:val="00EE7E31"/>
    <w:rsid w:val="00EF1772"/>
    <w:rsid w:val="00F00B11"/>
    <w:rsid w:val="00F2196C"/>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0D53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2024-07-03T21:11:00Z</cp:lastPrinted>
  <dcterms:created xsi:type="dcterms:W3CDTF">2024-07-03T21:11:00Z</dcterms:created>
  <dcterms:modified xsi:type="dcterms:W3CDTF">2024-07-03T21:14:00Z</dcterms:modified>
</cp:coreProperties>
</file>