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12D1" w14:textId="77777777" w:rsidR="00A33E6A" w:rsidRPr="00A33E6A" w:rsidRDefault="00A33E6A" w:rsidP="00A33E6A">
      <w:pPr>
        <w:ind w:left="709" w:right="1105"/>
        <w:jc w:val="center"/>
        <w:rPr>
          <w:rFonts w:ascii="Arial" w:hAnsi="Arial" w:cs="Arial"/>
          <w:b/>
          <w:bCs/>
          <w:color w:val="000000"/>
          <w:sz w:val="16"/>
          <w:szCs w:val="16"/>
          <w:lang w:eastAsia="es-PE"/>
        </w:rPr>
      </w:pPr>
    </w:p>
    <w:p w14:paraId="7CDCA42A" w14:textId="77777777" w:rsidR="00A33E6A" w:rsidRPr="00A33E6A" w:rsidRDefault="00A33E6A" w:rsidP="00A33E6A">
      <w:pPr>
        <w:ind w:left="709" w:right="1105"/>
        <w:jc w:val="center"/>
        <w:rPr>
          <w:rFonts w:ascii="Arial" w:hAnsi="Arial" w:cs="Arial"/>
          <w:b/>
          <w:bCs/>
          <w:color w:val="000000"/>
          <w:sz w:val="16"/>
          <w:szCs w:val="16"/>
          <w:lang w:eastAsia="es-PE"/>
        </w:rPr>
      </w:pPr>
    </w:p>
    <w:p w14:paraId="1649298A" w14:textId="77777777" w:rsidR="00A33E6A" w:rsidRPr="00A33E6A" w:rsidRDefault="00A33E6A" w:rsidP="00A33E6A">
      <w:pPr>
        <w:ind w:left="709" w:right="1105"/>
        <w:jc w:val="center"/>
        <w:rPr>
          <w:rFonts w:ascii="Arial" w:hAnsi="Arial" w:cs="Arial"/>
          <w:b/>
          <w:bCs/>
          <w:color w:val="000000"/>
          <w:sz w:val="16"/>
          <w:szCs w:val="16"/>
          <w:lang w:eastAsia="es-PE"/>
        </w:rPr>
      </w:pPr>
    </w:p>
    <w:p w14:paraId="04B3FC99" w14:textId="77777777" w:rsidR="00A33E6A" w:rsidRPr="00A33E6A" w:rsidRDefault="00A33E6A" w:rsidP="00A33E6A">
      <w:pPr>
        <w:ind w:left="709" w:right="1105"/>
        <w:jc w:val="center"/>
        <w:rPr>
          <w:rFonts w:ascii="Arial" w:hAnsi="Arial" w:cs="Arial"/>
          <w:b/>
          <w:bCs/>
          <w:color w:val="000000"/>
          <w:sz w:val="16"/>
          <w:szCs w:val="16"/>
          <w:lang w:eastAsia="es-PE"/>
        </w:rPr>
      </w:pPr>
    </w:p>
    <w:p w14:paraId="093638ED" w14:textId="506A1DC2" w:rsidR="00176B56" w:rsidRPr="00A33E6A" w:rsidRDefault="00176B56" w:rsidP="00A33E6A">
      <w:pPr>
        <w:ind w:left="709" w:right="1105"/>
        <w:jc w:val="center"/>
        <w:rPr>
          <w:rFonts w:ascii="Arial" w:hAnsi="Arial" w:cs="Arial"/>
          <w:b/>
          <w:bCs/>
          <w:color w:val="000000"/>
          <w:sz w:val="16"/>
          <w:szCs w:val="16"/>
          <w:lang w:eastAsia="es-PE"/>
        </w:rPr>
      </w:pPr>
      <w:r w:rsidRPr="00A33E6A">
        <w:rPr>
          <w:rFonts w:ascii="Arial" w:hAnsi="Arial" w:cs="Arial"/>
          <w:b/>
          <w:bCs/>
          <w:color w:val="000000"/>
          <w:sz w:val="16"/>
          <w:szCs w:val="16"/>
          <w:lang w:eastAsia="es-PE"/>
        </w:rPr>
        <w:t xml:space="preserve">SUPERINTENDENCIA NACIONAL DE ADUANAS Y </w:t>
      </w:r>
      <w:r w:rsidR="00A33E6A" w:rsidRPr="00A33E6A">
        <w:rPr>
          <w:rFonts w:ascii="Arial" w:hAnsi="Arial" w:cs="Arial"/>
          <w:b/>
          <w:bCs/>
          <w:color w:val="000000"/>
          <w:sz w:val="16"/>
          <w:szCs w:val="16"/>
          <w:lang w:eastAsia="es-PE"/>
        </w:rPr>
        <w:t xml:space="preserve">DE </w:t>
      </w:r>
      <w:r w:rsidRPr="00A33E6A">
        <w:rPr>
          <w:rFonts w:ascii="Arial" w:hAnsi="Arial" w:cs="Arial"/>
          <w:b/>
          <w:bCs/>
          <w:color w:val="000000"/>
          <w:sz w:val="16"/>
          <w:szCs w:val="16"/>
          <w:lang w:eastAsia="es-PE"/>
        </w:rPr>
        <w:t>ADMINISTRACIÓN TRIBUTARIA</w:t>
      </w:r>
    </w:p>
    <w:p w14:paraId="0032A203" w14:textId="77777777" w:rsidR="00176B56" w:rsidRPr="00A33E6A" w:rsidRDefault="00176B56" w:rsidP="00A33E6A">
      <w:pPr>
        <w:ind w:left="709" w:right="1105"/>
        <w:jc w:val="center"/>
        <w:rPr>
          <w:rFonts w:ascii="Arial" w:hAnsi="Arial" w:cs="Arial"/>
          <w:b/>
          <w:bCs/>
          <w:color w:val="000000"/>
          <w:sz w:val="16"/>
          <w:szCs w:val="16"/>
          <w:lang w:eastAsia="es-PE"/>
        </w:rPr>
      </w:pPr>
      <w:r w:rsidRPr="00A33E6A">
        <w:rPr>
          <w:rFonts w:ascii="Arial" w:hAnsi="Arial" w:cs="Arial"/>
          <w:b/>
          <w:bCs/>
          <w:color w:val="000000"/>
          <w:sz w:val="16"/>
          <w:szCs w:val="16"/>
          <w:lang w:eastAsia="es-PE"/>
        </w:rPr>
        <w:t>INTENDENCIA DE ADUANA DE TACNA</w:t>
      </w:r>
    </w:p>
    <w:p w14:paraId="317DEC43" w14:textId="77777777" w:rsidR="00176B56" w:rsidRPr="00A33E6A" w:rsidRDefault="00176B56" w:rsidP="00A33E6A">
      <w:pPr>
        <w:ind w:left="709" w:right="1105"/>
        <w:jc w:val="center"/>
        <w:rPr>
          <w:rFonts w:ascii="Arial" w:hAnsi="Arial" w:cs="Arial"/>
          <w:b/>
          <w:bCs/>
          <w:color w:val="000000"/>
          <w:sz w:val="16"/>
          <w:szCs w:val="16"/>
          <w:lang w:eastAsia="es-PE"/>
        </w:rPr>
      </w:pPr>
    </w:p>
    <w:p w14:paraId="46DD8F65" w14:textId="77777777" w:rsidR="00176B56" w:rsidRPr="00A33E6A" w:rsidRDefault="00176B56" w:rsidP="00A33E6A">
      <w:pPr>
        <w:ind w:left="709" w:right="1105"/>
        <w:jc w:val="center"/>
        <w:rPr>
          <w:rFonts w:ascii="Arial" w:hAnsi="Arial" w:cs="Arial"/>
          <w:b/>
          <w:bCs/>
          <w:color w:val="000000"/>
          <w:sz w:val="16"/>
          <w:szCs w:val="16"/>
        </w:rPr>
      </w:pPr>
      <w:r w:rsidRPr="00A33E6A">
        <w:rPr>
          <w:rFonts w:ascii="Arial" w:hAnsi="Arial" w:cs="Arial"/>
          <w:b/>
          <w:bCs/>
          <w:color w:val="000000"/>
          <w:sz w:val="16"/>
          <w:szCs w:val="16"/>
        </w:rPr>
        <w:t xml:space="preserve">NOTIFICACIÓN ADMINISTRATIVA </w:t>
      </w:r>
    </w:p>
    <w:p w14:paraId="3CD301BD" w14:textId="32D811BF" w:rsidR="00176B56" w:rsidRDefault="00965257" w:rsidP="00A33E6A">
      <w:pPr>
        <w:ind w:left="709" w:right="1105"/>
        <w:jc w:val="center"/>
        <w:rPr>
          <w:rFonts w:ascii="Arial" w:hAnsi="Arial" w:cs="Arial"/>
          <w:sz w:val="16"/>
          <w:szCs w:val="16"/>
        </w:rPr>
      </w:pPr>
      <w:r w:rsidRPr="00965257">
        <w:rPr>
          <w:rFonts w:ascii="Arial" w:hAnsi="Arial" w:cs="Arial"/>
          <w:sz w:val="16"/>
          <w:szCs w:val="16"/>
        </w:rPr>
        <w:t>(Publicado en el Boletín del Diario Oficial El Peruano el 18.07.2024)</w:t>
      </w:r>
    </w:p>
    <w:p w14:paraId="262D93DF" w14:textId="77777777" w:rsidR="00965257" w:rsidRPr="00A33E6A" w:rsidRDefault="00965257" w:rsidP="00A33E6A">
      <w:pPr>
        <w:ind w:left="709" w:right="1105"/>
        <w:jc w:val="center"/>
        <w:rPr>
          <w:rFonts w:ascii="Arial" w:hAnsi="Arial" w:cs="Arial"/>
          <w:sz w:val="16"/>
          <w:szCs w:val="16"/>
        </w:rPr>
      </w:pPr>
    </w:p>
    <w:p w14:paraId="05F686A8" w14:textId="5C7F427C" w:rsidR="00176B56" w:rsidRPr="00A33E6A" w:rsidRDefault="00176B56" w:rsidP="00A33E6A">
      <w:pPr>
        <w:ind w:right="62"/>
        <w:jc w:val="both"/>
        <w:rPr>
          <w:rFonts w:ascii="Arial" w:hAnsi="Arial" w:cs="Arial"/>
          <w:sz w:val="16"/>
          <w:szCs w:val="16"/>
        </w:rPr>
      </w:pPr>
      <w:r w:rsidRPr="00A33E6A">
        <w:rPr>
          <w:rFonts w:ascii="Arial" w:hAnsi="Arial" w:cs="Arial"/>
          <w:sz w:val="16"/>
          <w:szCs w:val="16"/>
        </w:rPr>
        <w:t xml:space="preserve">De conformidad con lo dispuesto en el artículo 104° inciso e) del Texto Único Ordenado del Código Tributario, aprobado por DS </w:t>
      </w:r>
      <w:proofErr w:type="spellStart"/>
      <w:r w:rsidRPr="00A33E6A">
        <w:rPr>
          <w:rFonts w:ascii="Arial" w:hAnsi="Arial" w:cs="Arial"/>
          <w:sz w:val="16"/>
          <w:szCs w:val="16"/>
        </w:rPr>
        <w:t>N°</w:t>
      </w:r>
      <w:proofErr w:type="spellEnd"/>
      <w:r w:rsidRPr="00A33E6A">
        <w:rPr>
          <w:rFonts w:ascii="Arial" w:hAnsi="Arial" w:cs="Arial"/>
          <w:sz w:val="16"/>
          <w:szCs w:val="16"/>
        </w:rPr>
        <w:t xml:space="preserve"> 133-2013-EF y sus modificatorias, Ley del Procedimiento Administrativo General-Ley </w:t>
      </w:r>
      <w:proofErr w:type="spellStart"/>
      <w:r w:rsidRPr="00A33E6A">
        <w:rPr>
          <w:rFonts w:ascii="Arial" w:hAnsi="Arial" w:cs="Arial"/>
          <w:sz w:val="16"/>
          <w:szCs w:val="16"/>
        </w:rPr>
        <w:t>N°</w:t>
      </w:r>
      <w:proofErr w:type="spellEnd"/>
      <w:r w:rsidRPr="00A33E6A">
        <w:rPr>
          <w:rFonts w:ascii="Arial" w:hAnsi="Arial" w:cs="Arial"/>
          <w:sz w:val="16"/>
          <w:szCs w:val="16"/>
        </w:rPr>
        <w:t xml:space="preserve"> 27444, cumple con NOTIFICAR a las personas naturales y/o jurídicas, que la Intendencia de Aduana de Tacna,</w:t>
      </w:r>
      <w:r w:rsidR="00A33E6A" w:rsidRPr="00A33E6A">
        <w:rPr>
          <w:rFonts w:ascii="Arial" w:hAnsi="Arial" w:cs="Arial"/>
          <w:sz w:val="16"/>
          <w:szCs w:val="16"/>
        </w:rPr>
        <w:t xml:space="preserve"> </w:t>
      </w:r>
      <w:r w:rsidR="00A33E6A">
        <w:rPr>
          <w:rFonts w:ascii="Arial" w:hAnsi="Arial" w:cs="Arial"/>
          <w:sz w:val="16"/>
          <w:szCs w:val="16"/>
        </w:rPr>
        <w:t xml:space="preserve">ha emitido la </w:t>
      </w:r>
      <w:r w:rsidRPr="00A33E6A">
        <w:rPr>
          <w:rFonts w:ascii="Arial" w:hAnsi="Arial" w:cs="Arial"/>
          <w:sz w:val="16"/>
          <w:szCs w:val="16"/>
        </w:rPr>
        <w:t>Resolución de División N.º 000</w:t>
      </w:r>
      <w:r w:rsidR="00C80A4D" w:rsidRPr="00A33E6A">
        <w:rPr>
          <w:rFonts w:ascii="Arial" w:hAnsi="Arial" w:cs="Arial"/>
          <w:sz w:val="16"/>
          <w:szCs w:val="16"/>
        </w:rPr>
        <w:t>378</w:t>
      </w:r>
      <w:r w:rsidRPr="00A33E6A">
        <w:rPr>
          <w:rFonts w:ascii="Arial" w:hAnsi="Arial" w:cs="Arial"/>
          <w:sz w:val="16"/>
          <w:szCs w:val="16"/>
        </w:rPr>
        <w:t>-</w:t>
      </w:r>
      <w:r w:rsidR="005E41BA" w:rsidRPr="00A33E6A">
        <w:rPr>
          <w:rFonts w:ascii="Arial" w:hAnsi="Arial" w:cs="Arial"/>
          <w:sz w:val="16"/>
          <w:szCs w:val="16"/>
        </w:rPr>
        <w:t>202</w:t>
      </w:r>
      <w:r w:rsidR="00C80A4D" w:rsidRPr="00A33E6A">
        <w:rPr>
          <w:rFonts w:ascii="Arial" w:hAnsi="Arial" w:cs="Arial"/>
          <w:sz w:val="16"/>
          <w:szCs w:val="16"/>
        </w:rPr>
        <w:t>4</w:t>
      </w:r>
      <w:r w:rsidRPr="00A33E6A">
        <w:rPr>
          <w:rFonts w:ascii="Arial" w:hAnsi="Arial" w:cs="Arial"/>
          <w:sz w:val="16"/>
          <w:szCs w:val="16"/>
        </w:rPr>
        <w:t xml:space="preserve">-SUNAT/3G0500 del </w:t>
      </w:r>
      <w:r w:rsidR="00C80A4D" w:rsidRPr="00A33E6A">
        <w:rPr>
          <w:rFonts w:ascii="Arial" w:hAnsi="Arial" w:cs="Arial"/>
          <w:sz w:val="16"/>
          <w:szCs w:val="16"/>
        </w:rPr>
        <w:t>24</w:t>
      </w:r>
      <w:r w:rsidRPr="00A33E6A">
        <w:rPr>
          <w:rFonts w:ascii="Arial" w:hAnsi="Arial" w:cs="Arial"/>
          <w:sz w:val="16"/>
          <w:szCs w:val="16"/>
        </w:rPr>
        <w:t>.</w:t>
      </w:r>
      <w:r w:rsidR="00C80A4D" w:rsidRPr="00A33E6A">
        <w:rPr>
          <w:rFonts w:ascii="Arial" w:hAnsi="Arial" w:cs="Arial"/>
          <w:sz w:val="16"/>
          <w:szCs w:val="16"/>
        </w:rPr>
        <w:t>06</w:t>
      </w:r>
      <w:r w:rsidRPr="00A33E6A">
        <w:rPr>
          <w:rFonts w:ascii="Arial" w:hAnsi="Arial" w:cs="Arial"/>
          <w:sz w:val="16"/>
          <w:szCs w:val="16"/>
        </w:rPr>
        <w:t>.202</w:t>
      </w:r>
      <w:r w:rsidR="00C80A4D" w:rsidRPr="00A33E6A">
        <w:rPr>
          <w:rFonts w:ascii="Arial" w:hAnsi="Arial" w:cs="Arial"/>
          <w:sz w:val="16"/>
          <w:szCs w:val="16"/>
        </w:rPr>
        <w:t>4</w:t>
      </w:r>
      <w:r w:rsidRPr="00A33E6A">
        <w:rPr>
          <w:rFonts w:ascii="Arial" w:hAnsi="Arial" w:cs="Arial"/>
          <w:sz w:val="16"/>
          <w:szCs w:val="16"/>
        </w:rPr>
        <w:t>, en relación a la mercancía descrita</w:t>
      </w:r>
      <w:r w:rsidR="003925F5" w:rsidRPr="00A33E6A">
        <w:rPr>
          <w:rFonts w:ascii="Arial" w:hAnsi="Arial" w:cs="Arial"/>
          <w:sz w:val="16"/>
          <w:szCs w:val="16"/>
        </w:rPr>
        <w:t xml:space="preserve"> en la </w:t>
      </w:r>
      <w:r w:rsidRPr="00A33E6A">
        <w:rPr>
          <w:rFonts w:ascii="Arial" w:hAnsi="Arial" w:cs="Arial"/>
          <w:sz w:val="16"/>
          <w:szCs w:val="16"/>
        </w:rPr>
        <w:t>acta de incautación indicada en la presente notificación.</w:t>
      </w:r>
    </w:p>
    <w:p w14:paraId="5D988A16" w14:textId="77777777" w:rsidR="00176B56" w:rsidRPr="00A33E6A" w:rsidRDefault="00176B56" w:rsidP="00A33E6A">
      <w:pPr>
        <w:ind w:left="709" w:right="1105"/>
        <w:jc w:val="both"/>
        <w:rPr>
          <w:rFonts w:ascii="Arial" w:hAnsi="Arial" w:cs="Arial"/>
          <w:sz w:val="16"/>
          <w:szCs w:val="16"/>
        </w:rPr>
      </w:pPr>
    </w:p>
    <w:p w14:paraId="3FF64A87" w14:textId="77777777" w:rsidR="00176B56" w:rsidRPr="00A33E6A" w:rsidRDefault="00176B56" w:rsidP="00A33E6A">
      <w:pPr>
        <w:ind w:right="62"/>
        <w:jc w:val="both"/>
        <w:rPr>
          <w:rFonts w:ascii="Arial" w:hAnsi="Arial" w:cs="Arial"/>
          <w:sz w:val="16"/>
          <w:szCs w:val="16"/>
        </w:rPr>
      </w:pPr>
      <w:r w:rsidRPr="00A33E6A">
        <w:rPr>
          <w:rFonts w:ascii="Arial" w:hAnsi="Arial" w:cs="Arial"/>
          <w:sz w:val="16"/>
          <w:szCs w:val="16"/>
        </w:rPr>
        <w:t xml:space="preserve">La persona natural y/o jurídica con legítimo interés, puede acercarse a la Intendencia de Aduana de Tacna ubicada en el Parque Industrial, </w:t>
      </w:r>
      <w:proofErr w:type="spellStart"/>
      <w:r w:rsidRPr="00A33E6A">
        <w:rPr>
          <w:rFonts w:ascii="Arial" w:hAnsi="Arial" w:cs="Arial"/>
          <w:sz w:val="16"/>
          <w:szCs w:val="16"/>
        </w:rPr>
        <w:t>Mz</w:t>
      </w:r>
      <w:proofErr w:type="spellEnd"/>
      <w:r w:rsidRPr="00A33E6A">
        <w:rPr>
          <w:rFonts w:ascii="Arial" w:hAnsi="Arial" w:cs="Arial"/>
          <w:sz w:val="16"/>
          <w:szCs w:val="16"/>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A33E6A">
        <w:rPr>
          <w:rFonts w:ascii="Arial" w:hAnsi="Arial" w:cs="Arial"/>
          <w:sz w:val="16"/>
          <w:szCs w:val="16"/>
        </w:rPr>
        <w:t>N°</w:t>
      </w:r>
      <w:proofErr w:type="spellEnd"/>
      <w:r w:rsidRPr="00A33E6A">
        <w:rPr>
          <w:rFonts w:ascii="Arial" w:hAnsi="Arial" w:cs="Arial"/>
          <w:sz w:val="16"/>
          <w:szCs w:val="16"/>
        </w:rPr>
        <w:t xml:space="preserve"> 1053, concordante con los artículos 235° , 242° y 243° de su Reglamento aprobado por Decreto Supremo </w:t>
      </w:r>
      <w:proofErr w:type="spellStart"/>
      <w:r w:rsidRPr="00A33E6A">
        <w:rPr>
          <w:rFonts w:ascii="Arial" w:hAnsi="Arial" w:cs="Arial"/>
          <w:sz w:val="16"/>
          <w:szCs w:val="16"/>
        </w:rPr>
        <w:t>N°</w:t>
      </w:r>
      <w:proofErr w:type="spellEnd"/>
      <w:r w:rsidRPr="00A33E6A">
        <w:rPr>
          <w:rFonts w:ascii="Arial" w:hAnsi="Arial" w:cs="Arial"/>
          <w:sz w:val="16"/>
          <w:szCs w:val="16"/>
        </w:rPr>
        <w:t xml:space="preserve"> 010-2009-EF.</w:t>
      </w:r>
    </w:p>
    <w:p w14:paraId="66960365" w14:textId="1F2C5FE4" w:rsidR="00176B56" w:rsidRDefault="00176B56" w:rsidP="00A33E6A">
      <w:pPr>
        <w:ind w:left="709" w:right="1105"/>
        <w:jc w:val="both"/>
        <w:rPr>
          <w:rFonts w:ascii="Arial" w:hAnsi="Arial" w:cs="Arial"/>
          <w:sz w:val="16"/>
          <w:szCs w:val="16"/>
        </w:rPr>
      </w:pPr>
    </w:p>
    <w:p w14:paraId="240D182E" w14:textId="77777777" w:rsidR="00176B56" w:rsidRPr="00A33E6A" w:rsidRDefault="00176B56" w:rsidP="00A33E6A">
      <w:pPr>
        <w:ind w:left="709" w:right="1105"/>
        <w:jc w:val="both"/>
        <w:rPr>
          <w:rFonts w:ascii="Arial" w:hAnsi="Arial" w:cs="Arial"/>
          <w:sz w:val="16"/>
          <w:szCs w:val="16"/>
        </w:rPr>
      </w:pPr>
    </w:p>
    <w:tbl>
      <w:tblPr>
        <w:tblW w:w="882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45"/>
        <w:gridCol w:w="1876"/>
        <w:gridCol w:w="5308"/>
      </w:tblGrid>
      <w:tr w:rsidR="00C80A4D" w:rsidRPr="00A33E6A" w14:paraId="4B86746C" w14:textId="77777777" w:rsidTr="0012569A">
        <w:trPr>
          <w:trHeight w:val="395"/>
          <w:jc w:val="center"/>
        </w:trPr>
        <w:tc>
          <w:tcPr>
            <w:tcW w:w="0" w:type="auto"/>
            <w:shd w:val="clear" w:color="auto" w:fill="auto"/>
          </w:tcPr>
          <w:p w14:paraId="25655210" w14:textId="1781B9A3" w:rsidR="00C80A4D" w:rsidRPr="00A33E6A" w:rsidRDefault="00C80A4D" w:rsidP="00A33E6A">
            <w:pPr>
              <w:jc w:val="center"/>
              <w:rPr>
                <w:rFonts w:ascii="Arial" w:hAnsi="Arial" w:cs="Arial"/>
                <w:sz w:val="16"/>
                <w:szCs w:val="16"/>
              </w:rPr>
            </w:pPr>
            <w:r w:rsidRPr="00A33E6A">
              <w:rPr>
                <w:rFonts w:ascii="Arial" w:hAnsi="Arial" w:cs="Arial"/>
                <w:sz w:val="16"/>
                <w:szCs w:val="16"/>
              </w:rPr>
              <w:t>Administrado</w:t>
            </w:r>
          </w:p>
        </w:tc>
        <w:tc>
          <w:tcPr>
            <w:tcW w:w="0" w:type="auto"/>
            <w:shd w:val="clear" w:color="auto" w:fill="auto"/>
          </w:tcPr>
          <w:p w14:paraId="61D1219B" w14:textId="77777777" w:rsidR="00C80A4D" w:rsidRPr="00A33E6A" w:rsidRDefault="00C80A4D" w:rsidP="00A33E6A">
            <w:pPr>
              <w:jc w:val="center"/>
              <w:rPr>
                <w:rFonts w:ascii="Arial" w:hAnsi="Arial" w:cs="Arial"/>
                <w:sz w:val="16"/>
                <w:szCs w:val="16"/>
              </w:rPr>
            </w:pPr>
            <w:r w:rsidRPr="00A33E6A">
              <w:rPr>
                <w:rFonts w:ascii="Arial" w:hAnsi="Arial" w:cs="Arial"/>
                <w:sz w:val="16"/>
                <w:szCs w:val="16"/>
              </w:rPr>
              <w:t>Resolución de División</w:t>
            </w:r>
          </w:p>
        </w:tc>
        <w:tc>
          <w:tcPr>
            <w:tcW w:w="0" w:type="auto"/>
            <w:shd w:val="clear" w:color="auto" w:fill="auto"/>
          </w:tcPr>
          <w:p w14:paraId="2F031E1D" w14:textId="77777777" w:rsidR="00C80A4D" w:rsidRPr="00A33E6A" w:rsidRDefault="00C80A4D" w:rsidP="00A33E6A">
            <w:pPr>
              <w:jc w:val="center"/>
              <w:rPr>
                <w:rFonts w:ascii="Arial" w:hAnsi="Arial" w:cs="Arial"/>
                <w:sz w:val="16"/>
                <w:szCs w:val="16"/>
              </w:rPr>
            </w:pPr>
            <w:r w:rsidRPr="00A33E6A">
              <w:rPr>
                <w:rFonts w:ascii="Arial" w:hAnsi="Arial" w:cs="Arial"/>
                <w:sz w:val="16"/>
                <w:szCs w:val="16"/>
              </w:rPr>
              <w:t>Determinación</w:t>
            </w:r>
          </w:p>
        </w:tc>
      </w:tr>
      <w:tr w:rsidR="00C80A4D" w:rsidRPr="00A33E6A" w14:paraId="61F680F3" w14:textId="77777777" w:rsidTr="0012569A">
        <w:trPr>
          <w:trHeight w:val="122"/>
          <w:jc w:val="center"/>
        </w:trPr>
        <w:tc>
          <w:tcPr>
            <w:tcW w:w="0" w:type="auto"/>
            <w:shd w:val="clear" w:color="auto" w:fill="auto"/>
            <w:vAlign w:val="center"/>
          </w:tcPr>
          <w:p w14:paraId="002D2390" w14:textId="15DBFB98" w:rsidR="00C80A4D" w:rsidRPr="00A33E6A" w:rsidRDefault="00C80A4D" w:rsidP="00A33E6A">
            <w:pPr>
              <w:jc w:val="both"/>
              <w:rPr>
                <w:rFonts w:ascii="Arial" w:hAnsi="Arial" w:cs="Arial"/>
                <w:sz w:val="16"/>
                <w:szCs w:val="16"/>
              </w:rPr>
            </w:pPr>
            <w:bookmarkStart w:id="0" w:name="_Hlk112840682"/>
            <w:r w:rsidRPr="00A33E6A">
              <w:rPr>
                <w:rFonts w:ascii="Arial" w:hAnsi="Arial" w:cs="Arial"/>
                <w:sz w:val="16"/>
                <w:szCs w:val="16"/>
              </w:rPr>
              <w:t xml:space="preserve">JUAN MANUEL ACEVEDO PEÑA identificado con DNI </w:t>
            </w:r>
            <w:proofErr w:type="spellStart"/>
            <w:r w:rsidRPr="00A33E6A">
              <w:rPr>
                <w:rFonts w:ascii="Arial" w:hAnsi="Arial" w:cs="Arial"/>
                <w:sz w:val="16"/>
                <w:szCs w:val="16"/>
              </w:rPr>
              <w:t>N°</w:t>
            </w:r>
            <w:proofErr w:type="spellEnd"/>
            <w:r w:rsidRPr="00A33E6A">
              <w:rPr>
                <w:rFonts w:ascii="Arial" w:hAnsi="Arial" w:cs="Arial"/>
                <w:sz w:val="16"/>
                <w:szCs w:val="16"/>
              </w:rPr>
              <w:t xml:space="preserve"> 21536847</w:t>
            </w:r>
          </w:p>
        </w:tc>
        <w:tc>
          <w:tcPr>
            <w:tcW w:w="0" w:type="auto"/>
            <w:shd w:val="clear" w:color="auto" w:fill="auto"/>
            <w:vAlign w:val="center"/>
          </w:tcPr>
          <w:p w14:paraId="0A13399C" w14:textId="3396B8CF" w:rsidR="00C80A4D" w:rsidRPr="00A33E6A" w:rsidRDefault="00C80A4D" w:rsidP="00A33E6A">
            <w:pPr>
              <w:jc w:val="both"/>
              <w:rPr>
                <w:rFonts w:ascii="Arial" w:hAnsi="Arial" w:cs="Arial"/>
                <w:sz w:val="16"/>
                <w:szCs w:val="16"/>
              </w:rPr>
            </w:pPr>
            <w:r w:rsidRPr="00A33E6A">
              <w:rPr>
                <w:rFonts w:ascii="Arial" w:hAnsi="Arial" w:cs="Arial"/>
                <w:sz w:val="16"/>
                <w:szCs w:val="16"/>
              </w:rPr>
              <w:t>Resolución de División N.º 000378-2024-SUNAT/3G0500 del 24.06.2024</w:t>
            </w:r>
          </w:p>
        </w:tc>
        <w:tc>
          <w:tcPr>
            <w:tcW w:w="0" w:type="auto"/>
            <w:shd w:val="clear" w:color="auto" w:fill="auto"/>
            <w:vAlign w:val="center"/>
          </w:tcPr>
          <w:p w14:paraId="53CD578C" w14:textId="5ED6CB9B" w:rsidR="00C80A4D" w:rsidRPr="00A33E6A" w:rsidRDefault="00C80A4D" w:rsidP="00A33E6A">
            <w:pPr>
              <w:jc w:val="both"/>
              <w:rPr>
                <w:rFonts w:ascii="Arial" w:hAnsi="Arial" w:cs="Arial"/>
                <w:sz w:val="16"/>
                <w:szCs w:val="16"/>
              </w:rPr>
            </w:pPr>
            <w:r w:rsidRPr="00A33E6A">
              <w:rPr>
                <w:rFonts w:ascii="Arial" w:hAnsi="Arial" w:cs="Arial"/>
                <w:sz w:val="16"/>
                <w:szCs w:val="16"/>
              </w:rPr>
              <w:t xml:space="preserve">ARTÍCULO PRIMERO. - ACUMULAR el Expediente </w:t>
            </w:r>
            <w:proofErr w:type="spellStart"/>
            <w:r w:rsidRPr="00A33E6A">
              <w:rPr>
                <w:rFonts w:ascii="Arial" w:hAnsi="Arial" w:cs="Arial"/>
                <w:sz w:val="16"/>
                <w:szCs w:val="16"/>
              </w:rPr>
              <w:t>N°</w:t>
            </w:r>
            <w:proofErr w:type="spellEnd"/>
            <w:r w:rsidRPr="00A33E6A">
              <w:rPr>
                <w:rFonts w:ascii="Arial" w:hAnsi="Arial" w:cs="Arial"/>
                <w:sz w:val="16"/>
                <w:szCs w:val="16"/>
              </w:rPr>
              <w:t xml:space="preserve"> 172 - URD119 -2024 -385518 de fecha 25.4.2024; al Expediente </w:t>
            </w:r>
            <w:proofErr w:type="spellStart"/>
            <w:r w:rsidRPr="00A33E6A">
              <w:rPr>
                <w:rFonts w:ascii="Arial" w:hAnsi="Arial" w:cs="Arial"/>
                <w:sz w:val="16"/>
                <w:szCs w:val="16"/>
              </w:rPr>
              <w:t>N°</w:t>
            </w:r>
            <w:proofErr w:type="spellEnd"/>
            <w:r w:rsidRPr="00A33E6A">
              <w:rPr>
                <w:rFonts w:ascii="Arial" w:hAnsi="Arial" w:cs="Arial"/>
                <w:sz w:val="16"/>
                <w:szCs w:val="16"/>
              </w:rPr>
              <w:t xml:space="preserve"> 000 -URD999 -2024 - 281188 de fecha 26.3.2024; al guardar conexión entre sí, debiendo tramitarse en un único expediente básico, en el último de los mencionados.</w:t>
            </w:r>
          </w:p>
          <w:p w14:paraId="61E298DD" w14:textId="07A467C2" w:rsidR="00C80A4D" w:rsidRPr="00A33E6A" w:rsidRDefault="00C80A4D" w:rsidP="00A33E6A">
            <w:pPr>
              <w:jc w:val="both"/>
              <w:rPr>
                <w:rFonts w:ascii="Arial" w:hAnsi="Arial" w:cs="Arial"/>
                <w:sz w:val="16"/>
                <w:szCs w:val="16"/>
              </w:rPr>
            </w:pPr>
            <w:r w:rsidRPr="00A33E6A">
              <w:rPr>
                <w:rFonts w:ascii="Arial" w:hAnsi="Arial" w:cs="Arial"/>
                <w:sz w:val="16"/>
                <w:szCs w:val="16"/>
              </w:rPr>
              <w:t xml:space="preserve">ARTÍCULO SEGUNDO. - Declarar IMPROCEDENTE la solicitud de devolución presentada por la de EMP. DE TRANS. FLORES HNOS. SRL. identificado con RUC </w:t>
            </w:r>
            <w:proofErr w:type="spellStart"/>
            <w:r w:rsidRPr="00A33E6A">
              <w:rPr>
                <w:rFonts w:ascii="Arial" w:hAnsi="Arial" w:cs="Arial"/>
                <w:sz w:val="16"/>
                <w:szCs w:val="16"/>
              </w:rPr>
              <w:t>N°</w:t>
            </w:r>
            <w:proofErr w:type="spellEnd"/>
            <w:r w:rsidRPr="00A33E6A">
              <w:rPr>
                <w:rFonts w:ascii="Arial" w:hAnsi="Arial" w:cs="Arial"/>
                <w:sz w:val="16"/>
                <w:szCs w:val="16"/>
              </w:rPr>
              <w:t xml:space="preserve"> 20119407738, mediante Expediente </w:t>
            </w:r>
            <w:proofErr w:type="spellStart"/>
            <w:r w:rsidRPr="00A33E6A">
              <w:rPr>
                <w:rFonts w:ascii="Arial" w:hAnsi="Arial" w:cs="Arial"/>
                <w:sz w:val="16"/>
                <w:szCs w:val="16"/>
              </w:rPr>
              <w:t>N°</w:t>
            </w:r>
            <w:proofErr w:type="spellEnd"/>
            <w:r w:rsidRPr="00A33E6A">
              <w:rPr>
                <w:rFonts w:ascii="Arial" w:hAnsi="Arial" w:cs="Arial"/>
                <w:sz w:val="16"/>
                <w:szCs w:val="16"/>
              </w:rPr>
              <w:t xml:space="preserve"> 000 -URD999 -2024 - 281188 de fecha 26.3.2024.</w:t>
            </w:r>
          </w:p>
          <w:p w14:paraId="492D4568" w14:textId="20A97CB0" w:rsidR="00C80A4D" w:rsidRPr="00A33E6A" w:rsidRDefault="00C80A4D" w:rsidP="00A33E6A">
            <w:pPr>
              <w:jc w:val="both"/>
              <w:rPr>
                <w:rFonts w:ascii="Arial" w:hAnsi="Arial" w:cs="Arial"/>
                <w:sz w:val="16"/>
                <w:szCs w:val="16"/>
              </w:rPr>
            </w:pPr>
            <w:r w:rsidRPr="00A33E6A">
              <w:rPr>
                <w:rFonts w:ascii="Arial" w:hAnsi="Arial" w:cs="Arial"/>
                <w:sz w:val="16"/>
                <w:szCs w:val="16"/>
              </w:rPr>
              <w:t xml:space="preserve">ARTÍCULO TERCERO. - Declarar el COMISO de la mercancía descrita en el Acta de Incautación </w:t>
            </w:r>
            <w:proofErr w:type="spellStart"/>
            <w:r w:rsidRPr="00A33E6A">
              <w:rPr>
                <w:rFonts w:ascii="Arial" w:hAnsi="Arial" w:cs="Arial"/>
                <w:sz w:val="16"/>
                <w:szCs w:val="16"/>
              </w:rPr>
              <w:t>N°</w:t>
            </w:r>
            <w:proofErr w:type="spellEnd"/>
            <w:r w:rsidRPr="00A33E6A">
              <w:rPr>
                <w:rFonts w:ascii="Arial" w:hAnsi="Arial" w:cs="Arial"/>
                <w:sz w:val="16"/>
                <w:szCs w:val="16"/>
              </w:rPr>
              <w:t xml:space="preserve"> 172 -0201 -2024 -000060, de fecha 21.2.2024; de conformidad con los fundamentos de hecho y de derecho expuestos en la presente resolución.</w:t>
            </w:r>
          </w:p>
          <w:p w14:paraId="2121299B" w14:textId="490BD7CA" w:rsidR="00C80A4D" w:rsidRPr="00A33E6A" w:rsidRDefault="00C80A4D" w:rsidP="00A33E6A">
            <w:pPr>
              <w:jc w:val="both"/>
              <w:rPr>
                <w:rFonts w:ascii="Arial" w:hAnsi="Arial" w:cs="Arial"/>
                <w:sz w:val="16"/>
                <w:szCs w:val="16"/>
              </w:rPr>
            </w:pPr>
            <w:r w:rsidRPr="00A33E6A">
              <w:rPr>
                <w:rFonts w:ascii="Arial" w:hAnsi="Arial" w:cs="Arial"/>
                <w:sz w:val="16"/>
                <w:szCs w:val="16"/>
              </w:rPr>
              <w:t xml:space="preserve">ARTÍCULO CUARTO. - Sancionar con el INTERNAMIENTO TEMPORAL al vehículo con placa de rodaje BPW783, período de 1380 (mil trescientos ochenta) días calendario, en aplicación del inciso b) del artículo 41° de la Ley </w:t>
            </w:r>
            <w:proofErr w:type="spellStart"/>
            <w:r w:rsidRPr="00A33E6A">
              <w:rPr>
                <w:rFonts w:ascii="Arial" w:hAnsi="Arial" w:cs="Arial"/>
                <w:sz w:val="16"/>
                <w:szCs w:val="16"/>
              </w:rPr>
              <w:t>N°</w:t>
            </w:r>
            <w:proofErr w:type="spellEnd"/>
            <w:r w:rsidRPr="00A33E6A">
              <w:rPr>
                <w:rFonts w:ascii="Arial" w:hAnsi="Arial" w:cs="Arial"/>
                <w:sz w:val="16"/>
                <w:szCs w:val="16"/>
              </w:rPr>
              <w:t xml:space="preserve"> 28008; sanción que se computará desde el 21.2.2024 al 01.12.2027, precisándose que una vez cumplido el plazo de internamiento , el propietario o su representante podrá a apersonarse ante la Dirección de Transportes y Comunicaciones de Tacna, con la resolución de sanción de internamiento, a fin de solicitar la liberación del vehículo.</w:t>
            </w:r>
          </w:p>
          <w:p w14:paraId="1C67F355" w14:textId="38F5D212" w:rsidR="00C80A4D" w:rsidRPr="00A33E6A" w:rsidRDefault="00C80A4D" w:rsidP="00A33E6A">
            <w:pPr>
              <w:jc w:val="both"/>
              <w:rPr>
                <w:rFonts w:ascii="Arial" w:hAnsi="Arial" w:cs="Arial"/>
                <w:sz w:val="16"/>
                <w:szCs w:val="16"/>
              </w:rPr>
            </w:pPr>
            <w:r w:rsidRPr="00A33E6A">
              <w:rPr>
                <w:rFonts w:ascii="Arial" w:hAnsi="Arial" w:cs="Arial"/>
                <w:sz w:val="16"/>
                <w:szCs w:val="16"/>
              </w:rPr>
              <w:t xml:space="preserve">ARTÍCULO QUINTO. - Oficiar a la Dirección Regional de Transportes y Comunicaciones de Tacna, una vez consentida o firme la presente resolución, a efectos de que se aplique la sanción de SUSPENSIÓN de licencia de conducir de JUAN MANUEL ACEVEDO PEÑA identificado con DNI </w:t>
            </w:r>
            <w:proofErr w:type="spellStart"/>
            <w:r w:rsidRPr="00A33E6A">
              <w:rPr>
                <w:rFonts w:ascii="Arial" w:hAnsi="Arial" w:cs="Arial"/>
                <w:sz w:val="16"/>
                <w:szCs w:val="16"/>
              </w:rPr>
              <w:t>N°</w:t>
            </w:r>
            <w:proofErr w:type="spellEnd"/>
            <w:r w:rsidRPr="00A33E6A">
              <w:rPr>
                <w:rFonts w:ascii="Arial" w:hAnsi="Arial" w:cs="Arial"/>
                <w:sz w:val="16"/>
                <w:szCs w:val="16"/>
              </w:rPr>
              <w:t xml:space="preserve"> 21536847 por el término de cinco (05) año s; así como considerar la sanción como antecedentes en el registro de conductores, conforme a los considerandos expuestos en la presente resolución, debiéndose proceder con levantar la sanción impuesta una vez cumplido el período descrito.</w:t>
            </w:r>
          </w:p>
          <w:p w14:paraId="091CFA7F" w14:textId="4318C77D" w:rsidR="00C80A4D" w:rsidRPr="00A33E6A" w:rsidRDefault="00C80A4D" w:rsidP="00A33E6A">
            <w:pPr>
              <w:jc w:val="both"/>
              <w:rPr>
                <w:rFonts w:ascii="Arial" w:hAnsi="Arial" w:cs="Arial"/>
                <w:sz w:val="16"/>
                <w:szCs w:val="16"/>
              </w:rPr>
            </w:pPr>
          </w:p>
        </w:tc>
      </w:tr>
      <w:bookmarkEnd w:id="0"/>
    </w:tbl>
    <w:p w14:paraId="48BDC4CA" w14:textId="77777777" w:rsidR="00176B56" w:rsidRPr="00A33E6A" w:rsidRDefault="00176B56" w:rsidP="00A33E6A">
      <w:pPr>
        <w:rPr>
          <w:rFonts w:ascii="Arial" w:hAnsi="Arial" w:cs="Arial"/>
          <w:sz w:val="16"/>
          <w:szCs w:val="16"/>
        </w:rPr>
      </w:pPr>
    </w:p>
    <w:sectPr w:rsidR="00176B56" w:rsidRPr="00A33E6A" w:rsidSect="0012569A">
      <w:pgSz w:w="11900" w:h="16840" w:code="1"/>
      <w:pgMar w:top="284" w:right="1694" w:bottom="567"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56"/>
    <w:rsid w:val="000C11C6"/>
    <w:rsid w:val="0012569A"/>
    <w:rsid w:val="00176B56"/>
    <w:rsid w:val="001867EF"/>
    <w:rsid w:val="00367260"/>
    <w:rsid w:val="003925F5"/>
    <w:rsid w:val="0041680C"/>
    <w:rsid w:val="005611BA"/>
    <w:rsid w:val="005E07AB"/>
    <w:rsid w:val="005E41BA"/>
    <w:rsid w:val="006368E3"/>
    <w:rsid w:val="006B42B5"/>
    <w:rsid w:val="00774E50"/>
    <w:rsid w:val="00783A17"/>
    <w:rsid w:val="007C389A"/>
    <w:rsid w:val="008E76C5"/>
    <w:rsid w:val="00965257"/>
    <w:rsid w:val="00A33E6A"/>
    <w:rsid w:val="00A94037"/>
    <w:rsid w:val="00C80A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6772"/>
  <w15:chartTrackingRefBased/>
  <w15:docId w15:val="{AA772A31-2277-4FC4-A28E-74F6ED10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5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76B56"/>
    <w:pPr>
      <w:keepNext/>
      <w:keepLines/>
      <w:spacing w:before="240" w:line="276" w:lineRule="auto"/>
      <w:outlineLvl w:val="0"/>
    </w:pPr>
    <w:rPr>
      <w:rFonts w:ascii="Cambria" w:hAnsi="Cambria"/>
      <w:color w:val="365F91"/>
      <w:sz w:val="32"/>
      <w:szCs w:val="3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B56"/>
    <w:rPr>
      <w:rFonts w:ascii="Cambria" w:eastAsia="Times New Roma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3013</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Vasquez Andia Grizely</cp:lastModifiedBy>
  <cp:revision>2</cp:revision>
  <dcterms:created xsi:type="dcterms:W3CDTF">2024-07-16T20:09:00Z</dcterms:created>
  <dcterms:modified xsi:type="dcterms:W3CDTF">2024-07-16T20:09:00Z</dcterms:modified>
</cp:coreProperties>
</file>