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371ACAB7" w:rsidR="00107F95" w:rsidRPr="005C5AC5" w:rsidRDefault="00107F95" w:rsidP="005C5AC5">
      <w:pPr>
        <w:spacing w:after="0" w:line="240" w:lineRule="auto"/>
        <w:ind w:left="709" w:right="107"/>
        <w:jc w:val="center"/>
        <w:rPr>
          <w:rFonts w:ascii="Arial Narrow" w:hAnsi="Arial Narrow" w:cstheme="minorHAnsi"/>
          <w:b/>
          <w:bCs/>
          <w:sz w:val="16"/>
          <w:szCs w:val="16"/>
        </w:rPr>
      </w:pPr>
      <w:r w:rsidRPr="005C5AC5">
        <w:rPr>
          <w:rFonts w:ascii="Arial Narrow" w:hAnsi="Arial Narrow" w:cstheme="minorHAnsi"/>
          <w:b/>
          <w:bCs/>
          <w:sz w:val="16"/>
          <w:szCs w:val="16"/>
        </w:rPr>
        <w:t xml:space="preserve">SUPERINTENDENCIA NACIONAL DE ADUANAS Y </w:t>
      </w:r>
      <w:r w:rsidR="005C5AC5">
        <w:rPr>
          <w:rFonts w:ascii="Arial Narrow" w:hAnsi="Arial Narrow" w:cstheme="minorHAnsi"/>
          <w:b/>
          <w:bCs/>
          <w:sz w:val="16"/>
          <w:szCs w:val="16"/>
        </w:rPr>
        <w:t xml:space="preserve">DE </w:t>
      </w:r>
      <w:r w:rsidRPr="005C5AC5">
        <w:rPr>
          <w:rFonts w:ascii="Arial Narrow" w:hAnsi="Arial Narrow" w:cstheme="minorHAnsi"/>
          <w:b/>
          <w:bCs/>
          <w:sz w:val="16"/>
          <w:szCs w:val="16"/>
        </w:rPr>
        <w:t>ADMINISTRACI</w:t>
      </w:r>
      <w:r w:rsidR="005C5AC5">
        <w:rPr>
          <w:rFonts w:ascii="Arial Narrow" w:hAnsi="Arial Narrow" w:cstheme="minorHAnsi"/>
          <w:b/>
          <w:bCs/>
          <w:sz w:val="16"/>
          <w:szCs w:val="16"/>
        </w:rPr>
        <w:t>Ó</w:t>
      </w:r>
      <w:r w:rsidRPr="005C5AC5">
        <w:rPr>
          <w:rFonts w:ascii="Arial Narrow" w:hAnsi="Arial Narrow" w:cstheme="minorHAnsi"/>
          <w:b/>
          <w:bCs/>
          <w:sz w:val="16"/>
          <w:szCs w:val="16"/>
        </w:rPr>
        <w:t>N TRIBUTARIA</w:t>
      </w:r>
    </w:p>
    <w:p w14:paraId="5600198A" w14:textId="77777777" w:rsidR="00107F95" w:rsidRPr="005C5AC5" w:rsidRDefault="00107F95" w:rsidP="005C5AC5">
      <w:pPr>
        <w:spacing w:after="0" w:line="240" w:lineRule="auto"/>
        <w:ind w:left="709" w:right="107"/>
        <w:jc w:val="center"/>
        <w:rPr>
          <w:rFonts w:ascii="Arial Narrow" w:hAnsi="Arial Narrow" w:cstheme="minorHAnsi"/>
          <w:b/>
          <w:bCs/>
          <w:sz w:val="16"/>
          <w:szCs w:val="16"/>
        </w:rPr>
      </w:pPr>
      <w:r w:rsidRPr="005C5AC5">
        <w:rPr>
          <w:rFonts w:ascii="Arial Narrow" w:hAnsi="Arial Narrow" w:cstheme="minorHAnsi"/>
          <w:b/>
          <w:bCs/>
          <w:sz w:val="16"/>
          <w:szCs w:val="16"/>
        </w:rPr>
        <w:t>INTENDENCIA DE ADUANA</w:t>
      </w:r>
      <w:r w:rsidR="009263D2" w:rsidRPr="005C5AC5">
        <w:rPr>
          <w:rFonts w:ascii="Arial Narrow" w:hAnsi="Arial Narrow" w:cstheme="minorHAnsi"/>
          <w:b/>
          <w:bCs/>
          <w:sz w:val="16"/>
          <w:szCs w:val="16"/>
        </w:rPr>
        <w:t xml:space="preserve"> </w:t>
      </w:r>
      <w:r w:rsidRPr="005C5AC5">
        <w:rPr>
          <w:rFonts w:ascii="Arial Narrow" w:hAnsi="Arial Narrow" w:cstheme="minorHAnsi"/>
          <w:b/>
          <w:bCs/>
          <w:sz w:val="16"/>
          <w:szCs w:val="16"/>
        </w:rPr>
        <w:t>DE TACNA</w:t>
      </w:r>
    </w:p>
    <w:p w14:paraId="124C517A" w14:textId="77777777" w:rsidR="0055690F" w:rsidRPr="005C5AC5" w:rsidRDefault="0055690F" w:rsidP="005C5AC5">
      <w:pPr>
        <w:spacing w:before="240" w:after="0" w:line="240" w:lineRule="auto"/>
        <w:ind w:left="709" w:right="107"/>
        <w:jc w:val="center"/>
        <w:rPr>
          <w:rFonts w:ascii="Arial Narrow" w:hAnsi="Arial Narrow" w:cstheme="minorHAnsi"/>
          <w:b/>
          <w:bCs/>
          <w:sz w:val="16"/>
          <w:szCs w:val="16"/>
        </w:rPr>
      </w:pPr>
      <w:r w:rsidRPr="005C5AC5">
        <w:rPr>
          <w:rFonts w:ascii="Arial Narrow" w:hAnsi="Arial Narrow" w:cstheme="minorHAnsi"/>
          <w:b/>
          <w:bCs/>
          <w:sz w:val="16"/>
          <w:szCs w:val="16"/>
        </w:rPr>
        <w:t xml:space="preserve">NOTIFICACIÓN ADMINISTRATIVA </w:t>
      </w:r>
    </w:p>
    <w:p w14:paraId="14DE7E14" w14:textId="7C9187F2" w:rsidR="0055690F" w:rsidRPr="00735DE0" w:rsidRDefault="00735DE0" w:rsidP="00735DE0">
      <w:pPr>
        <w:ind w:left="709" w:right="191"/>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18.</w:t>
      </w:r>
      <w:r w:rsidRPr="006053C9">
        <w:rPr>
          <w:rFonts w:ascii="Arial Narrow" w:hAnsi="Arial Narrow"/>
          <w:color w:val="000000"/>
          <w:sz w:val="16"/>
          <w:szCs w:val="16"/>
        </w:rPr>
        <w:t>0</w:t>
      </w:r>
      <w:r>
        <w:rPr>
          <w:rFonts w:ascii="Arial Narrow" w:hAnsi="Arial Narrow"/>
          <w:color w:val="000000"/>
          <w:sz w:val="16"/>
          <w:szCs w:val="16"/>
        </w:rPr>
        <w:t>6</w:t>
      </w:r>
      <w:r w:rsidRPr="006053C9">
        <w:rPr>
          <w:rFonts w:ascii="Arial Narrow" w:hAnsi="Arial Narrow"/>
          <w:color w:val="000000"/>
          <w:sz w:val="16"/>
          <w:szCs w:val="16"/>
        </w:rPr>
        <w:t>.2024)</w:t>
      </w:r>
    </w:p>
    <w:p w14:paraId="3697870E" w14:textId="77777777" w:rsidR="0055690F" w:rsidRPr="006B203A" w:rsidRDefault="0055690F" w:rsidP="005C5AC5">
      <w:pPr>
        <w:spacing w:after="0" w:line="240" w:lineRule="auto"/>
        <w:ind w:left="709" w:right="107"/>
        <w:jc w:val="both"/>
        <w:rPr>
          <w:rFonts w:ascii="Arial Narrow" w:hAnsi="Arial Narrow" w:cstheme="minorHAnsi"/>
          <w:sz w:val="16"/>
          <w:szCs w:val="16"/>
        </w:rPr>
      </w:pPr>
      <w:r w:rsidRPr="006B203A">
        <w:rPr>
          <w:rFonts w:ascii="Arial Narrow" w:hAnsi="Arial Narrow" w:cstheme="minorHAnsi"/>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  mercancías descritas en el Actas de Incautación indicada en la presente notificación.</w:t>
      </w:r>
    </w:p>
    <w:p w14:paraId="6E24E9FE" w14:textId="77777777" w:rsidR="0055690F" w:rsidRPr="006B203A" w:rsidRDefault="0055690F" w:rsidP="005C5AC5">
      <w:pPr>
        <w:spacing w:after="0" w:line="240" w:lineRule="auto"/>
        <w:ind w:left="709" w:right="107"/>
        <w:jc w:val="both"/>
        <w:rPr>
          <w:rFonts w:ascii="Arial Narrow" w:hAnsi="Arial Narrow" w:cstheme="minorHAnsi"/>
          <w:sz w:val="16"/>
          <w:szCs w:val="16"/>
        </w:rPr>
      </w:pPr>
      <w:r w:rsidRPr="006B203A">
        <w:rPr>
          <w:rFonts w:ascii="Arial Narrow" w:hAnsi="Arial Narrow" w:cstheme="minorHAnsi"/>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p w14:paraId="1931A12C" w14:textId="77777777" w:rsidR="0055690F" w:rsidRPr="006B203A" w:rsidRDefault="0055690F" w:rsidP="005C5AC5">
      <w:pPr>
        <w:spacing w:after="0" w:line="240" w:lineRule="auto"/>
        <w:ind w:left="709" w:right="107"/>
        <w:jc w:val="both"/>
        <w:rPr>
          <w:rFonts w:ascii="Arial Narrow" w:hAnsi="Arial Narrow" w:cstheme="minorHAnsi"/>
          <w:sz w:val="16"/>
          <w:szCs w:val="16"/>
        </w:rPr>
      </w:pPr>
    </w:p>
    <w:p w14:paraId="5C53034B" w14:textId="1FF6E82B" w:rsidR="0055690F" w:rsidRPr="006B203A" w:rsidRDefault="0055690F" w:rsidP="005C5AC5">
      <w:pPr>
        <w:spacing w:after="0" w:line="240" w:lineRule="auto"/>
        <w:ind w:left="709" w:right="107"/>
        <w:jc w:val="both"/>
        <w:rPr>
          <w:rFonts w:ascii="Arial Narrow" w:hAnsi="Arial Narrow" w:cstheme="minorHAnsi"/>
          <w:sz w:val="16"/>
          <w:szCs w:val="16"/>
        </w:rPr>
      </w:pPr>
      <w:r w:rsidRPr="006B203A">
        <w:rPr>
          <w:rFonts w:ascii="Arial Narrow" w:hAnsi="Arial Narrow" w:cstheme="minorHAnsi"/>
          <w:sz w:val="16"/>
          <w:szCs w:val="16"/>
        </w:rPr>
        <w:t>Resolución Jefatural de División Nº 000100-2023-SUNAT/3G0800 de fecha 27.12.2023</w:t>
      </w:r>
    </w:p>
    <w:tbl>
      <w:tblPr>
        <w:tblStyle w:val="Tablaconcuadrculaclara"/>
        <w:tblW w:w="0" w:type="auto"/>
        <w:tblInd w:w="704" w:type="dxa"/>
        <w:tblLook w:val="04A0" w:firstRow="1" w:lastRow="0" w:firstColumn="1" w:lastColumn="0" w:noHBand="0" w:noVBand="1"/>
      </w:tblPr>
      <w:tblGrid>
        <w:gridCol w:w="1275"/>
        <w:gridCol w:w="800"/>
        <w:gridCol w:w="977"/>
        <w:gridCol w:w="1438"/>
        <w:gridCol w:w="4962"/>
      </w:tblGrid>
      <w:tr w:rsidR="005C5AC5" w:rsidRPr="006B203A" w14:paraId="4A7F92F0" w14:textId="77777777" w:rsidTr="005C5AC5">
        <w:trPr>
          <w:trHeight w:val="20"/>
        </w:trPr>
        <w:tc>
          <w:tcPr>
            <w:tcW w:w="1275" w:type="dxa"/>
            <w:vAlign w:val="center"/>
            <w:hideMark/>
          </w:tcPr>
          <w:p w14:paraId="77B23008" w14:textId="77777777" w:rsidR="0055690F" w:rsidRPr="006B203A" w:rsidRDefault="0055690F" w:rsidP="00F41A58">
            <w:pPr>
              <w:jc w:val="center"/>
              <w:rPr>
                <w:rFonts w:ascii="Arial Narrow" w:eastAsia="Times New Roman" w:hAnsi="Arial Narrow" w:cstheme="minorHAnsi"/>
                <w:color w:val="000000"/>
                <w:sz w:val="16"/>
                <w:szCs w:val="16"/>
                <w:lang w:eastAsia="es-PE"/>
              </w:rPr>
            </w:pPr>
            <w:r w:rsidRPr="006B203A">
              <w:rPr>
                <w:rFonts w:ascii="Arial Narrow" w:eastAsia="Times New Roman" w:hAnsi="Arial Narrow" w:cstheme="minorHAnsi"/>
                <w:color w:val="000000"/>
                <w:sz w:val="16"/>
                <w:szCs w:val="16"/>
                <w:lang w:eastAsia="es-PE"/>
              </w:rPr>
              <w:t>Infractor</w:t>
            </w:r>
          </w:p>
        </w:tc>
        <w:tc>
          <w:tcPr>
            <w:tcW w:w="800" w:type="dxa"/>
            <w:vAlign w:val="center"/>
            <w:hideMark/>
          </w:tcPr>
          <w:p w14:paraId="09E9904E" w14:textId="77777777" w:rsidR="0055690F" w:rsidRPr="006B203A" w:rsidRDefault="0055690F" w:rsidP="00F41A58">
            <w:pPr>
              <w:jc w:val="center"/>
              <w:rPr>
                <w:rFonts w:ascii="Arial Narrow" w:eastAsia="Times New Roman" w:hAnsi="Arial Narrow" w:cstheme="minorHAnsi"/>
                <w:color w:val="000000"/>
                <w:sz w:val="16"/>
                <w:szCs w:val="16"/>
                <w:lang w:eastAsia="es-PE"/>
              </w:rPr>
            </w:pPr>
            <w:r w:rsidRPr="006B203A">
              <w:rPr>
                <w:rFonts w:ascii="Arial Narrow" w:eastAsia="Times New Roman" w:hAnsi="Arial Narrow" w:cstheme="minorHAnsi"/>
                <w:color w:val="000000"/>
                <w:sz w:val="16"/>
                <w:szCs w:val="16"/>
                <w:lang w:eastAsia="es-PE"/>
              </w:rPr>
              <w:t>DNI</w:t>
            </w:r>
          </w:p>
        </w:tc>
        <w:tc>
          <w:tcPr>
            <w:tcW w:w="977" w:type="dxa"/>
            <w:vAlign w:val="center"/>
            <w:hideMark/>
          </w:tcPr>
          <w:p w14:paraId="6051BB4E" w14:textId="77777777" w:rsidR="0055690F" w:rsidRPr="006B203A" w:rsidRDefault="0055690F" w:rsidP="00F41A58">
            <w:pPr>
              <w:jc w:val="center"/>
              <w:rPr>
                <w:rFonts w:ascii="Arial Narrow" w:eastAsia="Times New Roman" w:hAnsi="Arial Narrow" w:cstheme="minorHAnsi"/>
                <w:color w:val="000000"/>
                <w:sz w:val="16"/>
                <w:szCs w:val="16"/>
                <w:lang w:eastAsia="es-PE"/>
              </w:rPr>
            </w:pPr>
            <w:r w:rsidRPr="006B203A">
              <w:rPr>
                <w:rFonts w:ascii="Arial Narrow" w:eastAsia="Times New Roman" w:hAnsi="Arial Narrow" w:cstheme="minorHAnsi"/>
                <w:color w:val="000000"/>
                <w:sz w:val="16"/>
                <w:szCs w:val="16"/>
                <w:lang w:eastAsia="es-PE"/>
              </w:rPr>
              <w:t>Acta de Incautación</w:t>
            </w:r>
          </w:p>
        </w:tc>
        <w:tc>
          <w:tcPr>
            <w:tcW w:w="1438" w:type="dxa"/>
            <w:vAlign w:val="center"/>
            <w:hideMark/>
          </w:tcPr>
          <w:p w14:paraId="3A8B774D" w14:textId="77777777" w:rsidR="0055690F" w:rsidRPr="006B203A" w:rsidRDefault="0055690F" w:rsidP="00F41A58">
            <w:pPr>
              <w:jc w:val="center"/>
              <w:rPr>
                <w:rFonts w:ascii="Arial Narrow" w:eastAsia="Times New Roman" w:hAnsi="Arial Narrow" w:cstheme="minorHAnsi"/>
                <w:color w:val="000000"/>
                <w:sz w:val="16"/>
                <w:szCs w:val="16"/>
                <w:lang w:eastAsia="es-PE"/>
              </w:rPr>
            </w:pPr>
            <w:r w:rsidRPr="006B203A">
              <w:rPr>
                <w:rFonts w:ascii="Arial Narrow" w:eastAsia="Times New Roman" w:hAnsi="Arial Narrow" w:cstheme="minorHAnsi"/>
                <w:color w:val="000000"/>
                <w:sz w:val="16"/>
                <w:szCs w:val="16"/>
                <w:lang w:eastAsia="es-PE"/>
              </w:rPr>
              <w:t>Resolución Jefatural de División</w:t>
            </w:r>
          </w:p>
        </w:tc>
        <w:tc>
          <w:tcPr>
            <w:tcW w:w="4962" w:type="dxa"/>
            <w:noWrap/>
            <w:vAlign w:val="center"/>
            <w:hideMark/>
          </w:tcPr>
          <w:p w14:paraId="136CA841" w14:textId="77777777" w:rsidR="0055690F" w:rsidRPr="006B203A" w:rsidRDefault="0055690F" w:rsidP="00F41A58">
            <w:pPr>
              <w:jc w:val="center"/>
              <w:rPr>
                <w:rFonts w:ascii="Arial Narrow" w:eastAsia="Times New Roman" w:hAnsi="Arial Narrow" w:cstheme="minorHAnsi"/>
                <w:color w:val="000000"/>
                <w:sz w:val="16"/>
                <w:szCs w:val="16"/>
                <w:lang w:eastAsia="es-PE"/>
              </w:rPr>
            </w:pPr>
            <w:r w:rsidRPr="006B203A">
              <w:rPr>
                <w:rFonts w:ascii="Arial Narrow" w:eastAsia="Times New Roman" w:hAnsi="Arial Narrow" w:cstheme="minorHAnsi"/>
                <w:color w:val="000000"/>
                <w:sz w:val="16"/>
                <w:szCs w:val="16"/>
                <w:lang w:eastAsia="es-PE"/>
              </w:rPr>
              <w:t>Determinación</w:t>
            </w:r>
          </w:p>
        </w:tc>
      </w:tr>
      <w:tr w:rsidR="005C5AC5" w:rsidRPr="006B203A" w14:paraId="209280C8" w14:textId="77777777" w:rsidTr="005C5AC5">
        <w:trPr>
          <w:trHeight w:val="20"/>
        </w:trPr>
        <w:tc>
          <w:tcPr>
            <w:tcW w:w="1275" w:type="dxa"/>
            <w:vAlign w:val="center"/>
            <w:hideMark/>
          </w:tcPr>
          <w:p w14:paraId="1B34EC6A" w14:textId="77777777" w:rsidR="00526D61" w:rsidRPr="006B203A" w:rsidRDefault="00526D61" w:rsidP="00F41A58">
            <w:pPr>
              <w:jc w:val="center"/>
              <w:rPr>
                <w:rFonts w:ascii="Arial Narrow" w:eastAsia="Times New Roman" w:hAnsi="Arial Narrow" w:cstheme="minorHAnsi"/>
                <w:color w:val="000000"/>
                <w:sz w:val="16"/>
                <w:szCs w:val="16"/>
                <w:lang w:eastAsia="es-PE"/>
              </w:rPr>
            </w:pPr>
            <w:r w:rsidRPr="006B203A">
              <w:rPr>
                <w:rFonts w:ascii="Arial Narrow" w:hAnsi="Arial Narrow" w:cstheme="minorHAnsi"/>
                <w:sz w:val="16"/>
                <w:szCs w:val="16"/>
              </w:rPr>
              <w:t>FUENTES CALLOAPAZA RENE RICHART</w:t>
            </w:r>
          </w:p>
        </w:tc>
        <w:tc>
          <w:tcPr>
            <w:tcW w:w="800" w:type="dxa"/>
            <w:vAlign w:val="center"/>
            <w:hideMark/>
          </w:tcPr>
          <w:p w14:paraId="585E4F36" w14:textId="77777777" w:rsidR="00526D61" w:rsidRPr="006B203A" w:rsidRDefault="00526D61" w:rsidP="00F41A58">
            <w:pPr>
              <w:jc w:val="center"/>
              <w:rPr>
                <w:rFonts w:ascii="Arial Narrow" w:eastAsia="Times New Roman" w:hAnsi="Arial Narrow" w:cstheme="minorHAnsi"/>
                <w:color w:val="000000"/>
                <w:sz w:val="16"/>
                <w:szCs w:val="16"/>
                <w:lang w:eastAsia="es-PE"/>
              </w:rPr>
            </w:pPr>
            <w:r w:rsidRPr="006B203A">
              <w:rPr>
                <w:rFonts w:ascii="Arial Narrow" w:hAnsi="Arial Narrow" w:cstheme="minorHAnsi"/>
                <w:sz w:val="16"/>
                <w:szCs w:val="16"/>
              </w:rPr>
              <w:t>46708638</w:t>
            </w:r>
          </w:p>
        </w:tc>
        <w:tc>
          <w:tcPr>
            <w:tcW w:w="977" w:type="dxa"/>
            <w:vAlign w:val="center"/>
            <w:hideMark/>
          </w:tcPr>
          <w:p w14:paraId="3511A701" w14:textId="77777777" w:rsidR="00526D61" w:rsidRPr="006B203A" w:rsidRDefault="00526D61" w:rsidP="00F41A58">
            <w:pPr>
              <w:jc w:val="center"/>
              <w:rPr>
                <w:rFonts w:ascii="Arial Narrow" w:eastAsia="Times New Roman" w:hAnsi="Arial Narrow" w:cstheme="minorHAnsi"/>
                <w:color w:val="000000"/>
                <w:sz w:val="16"/>
                <w:szCs w:val="16"/>
                <w:highlight w:val="yellow"/>
                <w:lang w:eastAsia="es-PE"/>
              </w:rPr>
            </w:pPr>
            <w:r w:rsidRPr="006B203A">
              <w:rPr>
                <w:rFonts w:ascii="Arial Narrow" w:eastAsia="Times New Roman" w:hAnsi="Arial Narrow" w:cstheme="minorHAnsi"/>
                <w:color w:val="000000"/>
                <w:sz w:val="16"/>
                <w:szCs w:val="16"/>
                <w:lang w:eastAsia="es-PE"/>
              </w:rPr>
              <w:t>172-0204-2023-000776</w:t>
            </w:r>
          </w:p>
        </w:tc>
        <w:tc>
          <w:tcPr>
            <w:tcW w:w="1438" w:type="dxa"/>
            <w:vMerge w:val="restart"/>
            <w:vAlign w:val="center"/>
            <w:hideMark/>
          </w:tcPr>
          <w:p w14:paraId="0140A9C8" w14:textId="77777777" w:rsidR="00526D61" w:rsidRPr="006B203A" w:rsidRDefault="00526D61" w:rsidP="00F41A58">
            <w:pPr>
              <w:jc w:val="center"/>
              <w:rPr>
                <w:rFonts w:ascii="Arial Narrow" w:eastAsia="Times New Roman" w:hAnsi="Arial Narrow" w:cstheme="minorHAnsi"/>
                <w:color w:val="000000"/>
                <w:sz w:val="16"/>
                <w:szCs w:val="16"/>
                <w:lang w:eastAsia="es-PE"/>
              </w:rPr>
            </w:pPr>
            <w:r w:rsidRPr="006B203A">
              <w:rPr>
                <w:rFonts w:ascii="Arial Narrow" w:eastAsia="Times New Roman" w:hAnsi="Arial Narrow" w:cstheme="minorHAnsi"/>
                <w:color w:val="000000"/>
                <w:sz w:val="16"/>
                <w:szCs w:val="16"/>
                <w:lang w:eastAsia="es-PE"/>
              </w:rPr>
              <w:t>0100-2023-SUNAT/3G0800 del 27.12.2023</w:t>
            </w:r>
          </w:p>
        </w:tc>
        <w:tc>
          <w:tcPr>
            <w:tcW w:w="4962" w:type="dxa"/>
            <w:vMerge w:val="restart"/>
            <w:vAlign w:val="center"/>
          </w:tcPr>
          <w:p w14:paraId="28BE1E05" w14:textId="77777777" w:rsidR="00526D61" w:rsidRPr="006B203A" w:rsidRDefault="00526D61" w:rsidP="00F41A58">
            <w:pPr>
              <w:autoSpaceDE w:val="0"/>
              <w:autoSpaceDN w:val="0"/>
              <w:adjustRightInd w:val="0"/>
              <w:jc w:val="both"/>
              <w:rPr>
                <w:rFonts w:ascii="Arial Narrow" w:hAnsi="Arial Narrow" w:cstheme="minorHAnsi"/>
                <w:color w:val="000000"/>
                <w:sz w:val="16"/>
                <w:szCs w:val="16"/>
              </w:rPr>
            </w:pPr>
            <w:r w:rsidRPr="006B203A">
              <w:rPr>
                <w:rFonts w:ascii="Arial Narrow" w:hAnsi="Arial Narrow" w:cstheme="minorHAnsi"/>
                <w:sz w:val="16"/>
                <w:szCs w:val="16"/>
              </w:rPr>
              <w:t xml:space="preserve">ARTICULO ÚNICO: </w:t>
            </w:r>
            <w:r w:rsidRPr="006B203A">
              <w:rPr>
                <w:rFonts w:ascii="Arial Narrow" w:hAnsi="Arial Narrow" w:cstheme="minorHAnsi"/>
                <w:color w:val="000000"/>
                <w:sz w:val="16"/>
                <w:szCs w:val="16"/>
              </w:rPr>
              <w:t>Declarar el COMISO ADMINISTRATIVO de las mercancías descritas en las actas de incautación detalladas en el Anexo – Actas De Incautación de Mercancía No Declarada en Control de Equipaje – desde el 26 de septiembre de 2023 al 10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5C5AC5" w:rsidRPr="006B203A" w14:paraId="324BC238" w14:textId="77777777" w:rsidTr="005C5AC5">
        <w:trPr>
          <w:trHeight w:val="20"/>
        </w:trPr>
        <w:tc>
          <w:tcPr>
            <w:tcW w:w="1275" w:type="dxa"/>
            <w:vAlign w:val="center"/>
          </w:tcPr>
          <w:p w14:paraId="473AF216" w14:textId="56108E3A" w:rsidR="00526D61" w:rsidRPr="006B203A" w:rsidRDefault="00526D61" w:rsidP="00526D61">
            <w:pPr>
              <w:jc w:val="center"/>
              <w:rPr>
                <w:rFonts w:ascii="Arial Narrow" w:hAnsi="Arial Narrow" w:cstheme="minorHAnsi"/>
                <w:sz w:val="16"/>
                <w:szCs w:val="16"/>
              </w:rPr>
            </w:pPr>
            <w:r w:rsidRPr="006B203A">
              <w:rPr>
                <w:rFonts w:ascii="Arial Narrow" w:hAnsi="Arial Narrow" w:cstheme="minorHAnsi"/>
                <w:sz w:val="16"/>
                <w:szCs w:val="16"/>
              </w:rPr>
              <w:t>MAYTA CAISINA ANGELICA SEBASTIANA</w:t>
            </w:r>
          </w:p>
        </w:tc>
        <w:tc>
          <w:tcPr>
            <w:tcW w:w="800" w:type="dxa"/>
            <w:vAlign w:val="center"/>
          </w:tcPr>
          <w:p w14:paraId="3B66160D" w14:textId="542D22B5" w:rsidR="00526D61" w:rsidRPr="006B203A" w:rsidRDefault="00526D61" w:rsidP="00526D61">
            <w:pPr>
              <w:jc w:val="center"/>
              <w:rPr>
                <w:rFonts w:ascii="Arial Narrow" w:hAnsi="Arial Narrow" w:cstheme="minorHAnsi"/>
                <w:sz w:val="16"/>
                <w:szCs w:val="16"/>
              </w:rPr>
            </w:pPr>
            <w:r w:rsidRPr="006B203A">
              <w:rPr>
                <w:rFonts w:ascii="Arial Narrow" w:hAnsi="Arial Narrow" w:cstheme="minorHAnsi"/>
                <w:sz w:val="16"/>
                <w:szCs w:val="16"/>
              </w:rPr>
              <w:t>45369024</w:t>
            </w:r>
          </w:p>
        </w:tc>
        <w:tc>
          <w:tcPr>
            <w:tcW w:w="977" w:type="dxa"/>
            <w:vAlign w:val="center"/>
          </w:tcPr>
          <w:p w14:paraId="5668C551" w14:textId="62995936" w:rsidR="00526D61" w:rsidRPr="006B203A" w:rsidRDefault="00526D61" w:rsidP="00526D61">
            <w:pPr>
              <w:jc w:val="center"/>
              <w:rPr>
                <w:rFonts w:ascii="Arial Narrow" w:eastAsia="Times New Roman" w:hAnsi="Arial Narrow" w:cstheme="minorHAnsi"/>
                <w:color w:val="000000"/>
                <w:sz w:val="16"/>
                <w:szCs w:val="16"/>
                <w:lang w:eastAsia="es-PE"/>
              </w:rPr>
            </w:pPr>
            <w:r w:rsidRPr="006B203A">
              <w:rPr>
                <w:rFonts w:ascii="Arial Narrow" w:eastAsia="Times New Roman" w:hAnsi="Arial Narrow" w:cstheme="minorHAnsi"/>
                <w:color w:val="000000"/>
                <w:sz w:val="16"/>
                <w:szCs w:val="16"/>
                <w:lang w:eastAsia="es-PE"/>
              </w:rPr>
              <w:t>172-0204-2023-000797</w:t>
            </w:r>
          </w:p>
        </w:tc>
        <w:tc>
          <w:tcPr>
            <w:tcW w:w="1438" w:type="dxa"/>
            <w:vMerge/>
            <w:vAlign w:val="center"/>
          </w:tcPr>
          <w:p w14:paraId="0C66910A" w14:textId="77777777" w:rsidR="00526D61" w:rsidRPr="006B203A" w:rsidRDefault="00526D61" w:rsidP="00526D61">
            <w:pPr>
              <w:jc w:val="center"/>
              <w:rPr>
                <w:rFonts w:ascii="Arial Narrow" w:eastAsia="Times New Roman" w:hAnsi="Arial Narrow" w:cstheme="minorHAnsi"/>
                <w:color w:val="000000"/>
                <w:sz w:val="16"/>
                <w:szCs w:val="16"/>
                <w:lang w:eastAsia="es-PE"/>
              </w:rPr>
            </w:pPr>
          </w:p>
        </w:tc>
        <w:tc>
          <w:tcPr>
            <w:tcW w:w="4962" w:type="dxa"/>
            <w:vMerge/>
            <w:vAlign w:val="center"/>
          </w:tcPr>
          <w:p w14:paraId="55D6F397" w14:textId="77777777" w:rsidR="00526D61" w:rsidRPr="006B203A" w:rsidRDefault="00526D61" w:rsidP="00526D61">
            <w:pPr>
              <w:autoSpaceDE w:val="0"/>
              <w:autoSpaceDN w:val="0"/>
              <w:adjustRightInd w:val="0"/>
              <w:jc w:val="both"/>
              <w:rPr>
                <w:rFonts w:ascii="Arial Narrow" w:hAnsi="Arial Narrow" w:cstheme="minorHAnsi"/>
                <w:sz w:val="16"/>
                <w:szCs w:val="16"/>
              </w:rPr>
            </w:pPr>
          </w:p>
        </w:tc>
      </w:tr>
    </w:tbl>
    <w:p w14:paraId="2F634B44" w14:textId="46FBC026" w:rsidR="0055690F" w:rsidRPr="006B203A" w:rsidRDefault="0055690F" w:rsidP="0055690F">
      <w:pPr>
        <w:spacing w:after="0" w:line="240" w:lineRule="auto"/>
        <w:jc w:val="both"/>
        <w:rPr>
          <w:rFonts w:ascii="Arial Narrow" w:hAnsi="Arial Narrow" w:cstheme="minorHAnsi"/>
          <w:sz w:val="16"/>
          <w:szCs w:val="16"/>
        </w:rPr>
      </w:pPr>
    </w:p>
    <w:p w14:paraId="10C936E9" w14:textId="661C38EA" w:rsidR="0055690F" w:rsidRPr="006B203A" w:rsidRDefault="0055690F" w:rsidP="006C5431">
      <w:pPr>
        <w:spacing w:after="0" w:line="240" w:lineRule="auto"/>
        <w:jc w:val="center"/>
        <w:rPr>
          <w:rFonts w:ascii="Arial Narrow" w:hAnsi="Arial Narrow" w:cstheme="minorHAnsi"/>
          <w:sz w:val="16"/>
          <w:szCs w:val="16"/>
        </w:rPr>
      </w:pPr>
    </w:p>
    <w:sectPr w:rsidR="0055690F" w:rsidRPr="006B203A" w:rsidSect="006B203A">
      <w:pgSz w:w="11900" w:h="16840"/>
      <w:pgMar w:top="1440" w:right="1077" w:bottom="144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819A" w14:textId="77777777" w:rsidR="00A460B0" w:rsidRDefault="00A460B0" w:rsidP="005319CE">
      <w:pPr>
        <w:spacing w:after="0" w:line="240" w:lineRule="auto"/>
      </w:pPr>
      <w:r>
        <w:separator/>
      </w:r>
    </w:p>
  </w:endnote>
  <w:endnote w:type="continuationSeparator" w:id="0">
    <w:p w14:paraId="15CB72C4" w14:textId="77777777" w:rsidR="00A460B0" w:rsidRDefault="00A460B0"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E969" w14:textId="77777777" w:rsidR="00A460B0" w:rsidRDefault="00A460B0" w:rsidP="005319CE">
      <w:pPr>
        <w:spacing w:after="0" w:line="240" w:lineRule="auto"/>
      </w:pPr>
      <w:r>
        <w:separator/>
      </w:r>
    </w:p>
  </w:footnote>
  <w:footnote w:type="continuationSeparator" w:id="0">
    <w:p w14:paraId="5C20A509" w14:textId="77777777" w:rsidR="00A460B0" w:rsidRDefault="00A460B0"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A101D"/>
    <w:rsid w:val="000D08D4"/>
    <w:rsid w:val="000D76D9"/>
    <w:rsid w:val="000E7934"/>
    <w:rsid w:val="000F3EE5"/>
    <w:rsid w:val="00107F95"/>
    <w:rsid w:val="00122B93"/>
    <w:rsid w:val="00135C65"/>
    <w:rsid w:val="001435FD"/>
    <w:rsid w:val="00154CFE"/>
    <w:rsid w:val="001740A0"/>
    <w:rsid w:val="001A7DF9"/>
    <w:rsid w:val="001C7EE6"/>
    <w:rsid w:val="001D7C3A"/>
    <w:rsid w:val="001F3673"/>
    <w:rsid w:val="001F785E"/>
    <w:rsid w:val="00235118"/>
    <w:rsid w:val="0024134F"/>
    <w:rsid w:val="00280B1A"/>
    <w:rsid w:val="002A34CA"/>
    <w:rsid w:val="002B08A0"/>
    <w:rsid w:val="002D69AC"/>
    <w:rsid w:val="00310D76"/>
    <w:rsid w:val="00316AA1"/>
    <w:rsid w:val="003228FD"/>
    <w:rsid w:val="003233D0"/>
    <w:rsid w:val="00335B64"/>
    <w:rsid w:val="0037423B"/>
    <w:rsid w:val="0037573A"/>
    <w:rsid w:val="00375B00"/>
    <w:rsid w:val="003A4215"/>
    <w:rsid w:val="003D587E"/>
    <w:rsid w:val="00407E6F"/>
    <w:rsid w:val="004421C2"/>
    <w:rsid w:val="004555A8"/>
    <w:rsid w:val="004850F5"/>
    <w:rsid w:val="00493027"/>
    <w:rsid w:val="004A54D3"/>
    <w:rsid w:val="004D64C9"/>
    <w:rsid w:val="004D7099"/>
    <w:rsid w:val="004E21D2"/>
    <w:rsid w:val="004E2231"/>
    <w:rsid w:val="004F0A73"/>
    <w:rsid w:val="004F3A5E"/>
    <w:rsid w:val="005002DF"/>
    <w:rsid w:val="00526D61"/>
    <w:rsid w:val="005319CE"/>
    <w:rsid w:val="005550B5"/>
    <w:rsid w:val="0055690F"/>
    <w:rsid w:val="00575D6D"/>
    <w:rsid w:val="005937AE"/>
    <w:rsid w:val="005A5276"/>
    <w:rsid w:val="005B21D1"/>
    <w:rsid w:val="005B6463"/>
    <w:rsid w:val="005C13CB"/>
    <w:rsid w:val="005C5AC5"/>
    <w:rsid w:val="005D0B5C"/>
    <w:rsid w:val="005E3435"/>
    <w:rsid w:val="00602D8E"/>
    <w:rsid w:val="00612EA5"/>
    <w:rsid w:val="00624B06"/>
    <w:rsid w:val="00632AFA"/>
    <w:rsid w:val="00642AD6"/>
    <w:rsid w:val="00651BE4"/>
    <w:rsid w:val="00654B20"/>
    <w:rsid w:val="006556CC"/>
    <w:rsid w:val="00673016"/>
    <w:rsid w:val="00682FF5"/>
    <w:rsid w:val="00683F39"/>
    <w:rsid w:val="0069120F"/>
    <w:rsid w:val="006947FC"/>
    <w:rsid w:val="006B203A"/>
    <w:rsid w:val="006C5431"/>
    <w:rsid w:val="00735DE0"/>
    <w:rsid w:val="00741332"/>
    <w:rsid w:val="00796BD9"/>
    <w:rsid w:val="007C0315"/>
    <w:rsid w:val="007D7C47"/>
    <w:rsid w:val="00801EC2"/>
    <w:rsid w:val="00802FE8"/>
    <w:rsid w:val="00813866"/>
    <w:rsid w:val="00823836"/>
    <w:rsid w:val="00831414"/>
    <w:rsid w:val="00843AC9"/>
    <w:rsid w:val="008443C4"/>
    <w:rsid w:val="00873D29"/>
    <w:rsid w:val="00873E5D"/>
    <w:rsid w:val="00882A6C"/>
    <w:rsid w:val="008C2CF4"/>
    <w:rsid w:val="008C7AFF"/>
    <w:rsid w:val="008F0D2A"/>
    <w:rsid w:val="00923EFA"/>
    <w:rsid w:val="009263D2"/>
    <w:rsid w:val="00936528"/>
    <w:rsid w:val="0095207C"/>
    <w:rsid w:val="00991A03"/>
    <w:rsid w:val="009B4CF7"/>
    <w:rsid w:val="009D2812"/>
    <w:rsid w:val="009D4370"/>
    <w:rsid w:val="00A12EF5"/>
    <w:rsid w:val="00A220BD"/>
    <w:rsid w:val="00A30FBE"/>
    <w:rsid w:val="00A36837"/>
    <w:rsid w:val="00A42CDE"/>
    <w:rsid w:val="00A44E43"/>
    <w:rsid w:val="00A460B0"/>
    <w:rsid w:val="00A50480"/>
    <w:rsid w:val="00A57027"/>
    <w:rsid w:val="00A751F1"/>
    <w:rsid w:val="00A9458F"/>
    <w:rsid w:val="00AA70E8"/>
    <w:rsid w:val="00AB2C18"/>
    <w:rsid w:val="00AB68CE"/>
    <w:rsid w:val="00B12B85"/>
    <w:rsid w:val="00B221DE"/>
    <w:rsid w:val="00B245CD"/>
    <w:rsid w:val="00B3560A"/>
    <w:rsid w:val="00B977AB"/>
    <w:rsid w:val="00BE5E5D"/>
    <w:rsid w:val="00BF660F"/>
    <w:rsid w:val="00C70A2E"/>
    <w:rsid w:val="00C7519F"/>
    <w:rsid w:val="00C85E18"/>
    <w:rsid w:val="00C95A44"/>
    <w:rsid w:val="00CC2E69"/>
    <w:rsid w:val="00CC43FF"/>
    <w:rsid w:val="00CC7E62"/>
    <w:rsid w:val="00CD3575"/>
    <w:rsid w:val="00D24CDB"/>
    <w:rsid w:val="00D42EC5"/>
    <w:rsid w:val="00D54741"/>
    <w:rsid w:val="00D54FF8"/>
    <w:rsid w:val="00D65E78"/>
    <w:rsid w:val="00D76FDB"/>
    <w:rsid w:val="00D96A95"/>
    <w:rsid w:val="00DC6533"/>
    <w:rsid w:val="00DD5293"/>
    <w:rsid w:val="00DE1F79"/>
    <w:rsid w:val="00E0375F"/>
    <w:rsid w:val="00E11BA7"/>
    <w:rsid w:val="00E322B3"/>
    <w:rsid w:val="00E37AD5"/>
    <w:rsid w:val="00E73426"/>
    <w:rsid w:val="00E777A1"/>
    <w:rsid w:val="00E845EE"/>
    <w:rsid w:val="00E96574"/>
    <w:rsid w:val="00EA1B83"/>
    <w:rsid w:val="00ED32ED"/>
    <w:rsid w:val="00EF4D18"/>
    <w:rsid w:val="00FD6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3A"/>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6B20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2024-06-14T16:51:00Z</cp:lastPrinted>
  <dcterms:created xsi:type="dcterms:W3CDTF">2024-06-14T16:51:00Z</dcterms:created>
  <dcterms:modified xsi:type="dcterms:W3CDTF">2024-06-14T16:54:00Z</dcterms:modified>
</cp:coreProperties>
</file>