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19B0" w14:textId="18F37790" w:rsidR="00F760D7" w:rsidRPr="00E70D1D" w:rsidRDefault="00F760D7" w:rsidP="00E70D1D">
      <w:pPr>
        <w:tabs>
          <w:tab w:val="left" w:pos="9214"/>
        </w:tabs>
        <w:ind w:right="62"/>
        <w:jc w:val="center"/>
        <w:rPr>
          <w:rFonts w:ascii="Arial" w:hAnsi="Arial" w:cs="Arial"/>
          <w:b/>
          <w:bCs/>
          <w:color w:val="000000"/>
          <w:sz w:val="16"/>
          <w:szCs w:val="16"/>
          <w:lang w:eastAsia="es-PE"/>
        </w:rPr>
      </w:pPr>
      <w:r w:rsidRPr="00E70D1D">
        <w:rPr>
          <w:rFonts w:ascii="Arial" w:hAnsi="Arial" w:cs="Arial"/>
          <w:b/>
          <w:bCs/>
          <w:color w:val="000000"/>
          <w:sz w:val="16"/>
          <w:szCs w:val="16"/>
          <w:lang w:eastAsia="es-PE"/>
        </w:rPr>
        <w:t xml:space="preserve">SUPERINTENDENCIA NACIONAL DE ADUANAS Y </w:t>
      </w:r>
      <w:r w:rsidR="00E70D1D" w:rsidRPr="00E70D1D">
        <w:rPr>
          <w:rFonts w:ascii="Arial" w:hAnsi="Arial" w:cs="Arial"/>
          <w:b/>
          <w:bCs/>
          <w:color w:val="000000"/>
          <w:sz w:val="16"/>
          <w:szCs w:val="16"/>
          <w:lang w:eastAsia="es-PE"/>
        </w:rPr>
        <w:t xml:space="preserve">DE </w:t>
      </w:r>
      <w:r w:rsidRPr="00E70D1D">
        <w:rPr>
          <w:rFonts w:ascii="Arial" w:hAnsi="Arial" w:cs="Arial"/>
          <w:b/>
          <w:bCs/>
          <w:color w:val="000000"/>
          <w:sz w:val="16"/>
          <w:szCs w:val="16"/>
          <w:lang w:eastAsia="es-PE"/>
        </w:rPr>
        <w:t>ADMINISTRACIÓN TRIBUTARIA</w:t>
      </w:r>
    </w:p>
    <w:p w14:paraId="07D06124" w14:textId="77777777" w:rsidR="00F760D7" w:rsidRPr="00E70D1D" w:rsidRDefault="00F760D7" w:rsidP="00E70D1D">
      <w:pPr>
        <w:tabs>
          <w:tab w:val="left" w:pos="9214"/>
        </w:tabs>
        <w:ind w:left="709" w:right="1105"/>
        <w:jc w:val="center"/>
        <w:rPr>
          <w:rFonts w:ascii="Arial" w:hAnsi="Arial" w:cs="Arial"/>
          <w:b/>
          <w:bCs/>
          <w:color w:val="000000"/>
          <w:sz w:val="16"/>
          <w:szCs w:val="16"/>
          <w:lang w:eastAsia="es-PE"/>
        </w:rPr>
      </w:pPr>
      <w:r w:rsidRPr="00E70D1D">
        <w:rPr>
          <w:rFonts w:ascii="Arial" w:hAnsi="Arial" w:cs="Arial"/>
          <w:b/>
          <w:bCs/>
          <w:color w:val="000000"/>
          <w:sz w:val="16"/>
          <w:szCs w:val="16"/>
          <w:lang w:eastAsia="es-PE"/>
        </w:rPr>
        <w:t>INTENDENCIA DE ADUANA DE TACNA</w:t>
      </w:r>
    </w:p>
    <w:p w14:paraId="602B5148" w14:textId="77777777" w:rsidR="00F760D7" w:rsidRPr="00E70D1D" w:rsidRDefault="00F760D7" w:rsidP="00E70D1D">
      <w:pPr>
        <w:tabs>
          <w:tab w:val="left" w:pos="9214"/>
        </w:tabs>
        <w:ind w:left="709" w:right="1105"/>
        <w:jc w:val="center"/>
        <w:rPr>
          <w:rFonts w:ascii="Arial" w:hAnsi="Arial" w:cs="Arial"/>
          <w:b/>
          <w:bCs/>
          <w:color w:val="000000"/>
          <w:sz w:val="16"/>
          <w:szCs w:val="16"/>
          <w:lang w:eastAsia="es-PE"/>
        </w:rPr>
      </w:pPr>
    </w:p>
    <w:p w14:paraId="78DA21A0" w14:textId="77777777" w:rsidR="00F760D7" w:rsidRPr="00E70D1D" w:rsidRDefault="00F760D7" w:rsidP="00E70D1D">
      <w:pPr>
        <w:tabs>
          <w:tab w:val="left" w:pos="9214"/>
        </w:tabs>
        <w:ind w:left="709" w:right="1055"/>
        <w:jc w:val="center"/>
        <w:rPr>
          <w:rFonts w:ascii="Arial" w:hAnsi="Arial" w:cs="Arial"/>
          <w:b/>
          <w:bCs/>
          <w:color w:val="000000"/>
          <w:sz w:val="16"/>
          <w:szCs w:val="16"/>
        </w:rPr>
      </w:pPr>
      <w:r w:rsidRPr="00E70D1D">
        <w:rPr>
          <w:rFonts w:ascii="Arial" w:hAnsi="Arial" w:cs="Arial"/>
          <w:b/>
          <w:bCs/>
          <w:color w:val="000000"/>
          <w:sz w:val="16"/>
          <w:szCs w:val="16"/>
        </w:rPr>
        <w:t xml:space="preserve">NOTIFICACIÓN ADMINISTRATIVA </w:t>
      </w:r>
    </w:p>
    <w:p w14:paraId="6348FB99" w14:textId="3E1F1525" w:rsidR="00F760D7" w:rsidRDefault="004F3D24" w:rsidP="00E70D1D">
      <w:pPr>
        <w:tabs>
          <w:tab w:val="left" w:pos="9214"/>
        </w:tabs>
        <w:ind w:left="709" w:right="1105"/>
        <w:jc w:val="center"/>
        <w:rPr>
          <w:rFonts w:ascii="Arial" w:hAnsi="Arial" w:cs="Arial"/>
          <w:sz w:val="16"/>
          <w:szCs w:val="16"/>
        </w:rPr>
      </w:pPr>
      <w:r>
        <w:rPr>
          <w:rFonts w:ascii="Arial" w:hAnsi="Arial" w:cs="Arial"/>
          <w:sz w:val="16"/>
          <w:szCs w:val="16"/>
        </w:rPr>
        <w:t>(Publicado en el Boletín del Diario Oficial El Peruano el 20.03.2024)</w:t>
      </w:r>
    </w:p>
    <w:p w14:paraId="497AF1C0" w14:textId="77777777" w:rsidR="004F3D24" w:rsidRPr="00E70D1D" w:rsidRDefault="004F3D24" w:rsidP="00E70D1D">
      <w:pPr>
        <w:tabs>
          <w:tab w:val="left" w:pos="9214"/>
        </w:tabs>
        <w:ind w:left="709" w:right="1105"/>
        <w:jc w:val="center"/>
        <w:rPr>
          <w:rFonts w:ascii="Arial" w:hAnsi="Arial" w:cs="Arial"/>
          <w:sz w:val="16"/>
          <w:szCs w:val="16"/>
        </w:rPr>
      </w:pPr>
    </w:p>
    <w:p w14:paraId="01E8FBD2" w14:textId="62F3DC29" w:rsidR="00F760D7" w:rsidRPr="00E70D1D" w:rsidRDefault="00F760D7" w:rsidP="00E70D1D">
      <w:pPr>
        <w:tabs>
          <w:tab w:val="left" w:pos="9214"/>
        </w:tabs>
        <w:ind w:left="284" w:right="488"/>
        <w:jc w:val="both"/>
        <w:rPr>
          <w:rFonts w:ascii="Arial" w:hAnsi="Arial" w:cs="Arial"/>
          <w:sz w:val="16"/>
          <w:szCs w:val="16"/>
        </w:rPr>
      </w:pPr>
      <w:r w:rsidRPr="00E70D1D">
        <w:rPr>
          <w:rFonts w:ascii="Arial" w:hAnsi="Arial" w:cs="Arial"/>
          <w:sz w:val="16"/>
          <w:szCs w:val="16"/>
        </w:rPr>
        <w:t xml:space="preserve">De conformidad con lo dispuesto en el artículo 104° inciso e) del Texto Único Ordenado del Código Tributario, aprobado por DS </w:t>
      </w:r>
      <w:proofErr w:type="spellStart"/>
      <w:r w:rsidRPr="00E70D1D">
        <w:rPr>
          <w:rFonts w:ascii="Arial" w:hAnsi="Arial" w:cs="Arial"/>
          <w:sz w:val="16"/>
          <w:szCs w:val="16"/>
        </w:rPr>
        <w:t>N°</w:t>
      </w:r>
      <w:proofErr w:type="spellEnd"/>
      <w:r w:rsidRPr="00E70D1D">
        <w:rPr>
          <w:rFonts w:ascii="Arial" w:hAnsi="Arial" w:cs="Arial"/>
          <w:sz w:val="16"/>
          <w:szCs w:val="16"/>
        </w:rPr>
        <w:t xml:space="preserve"> 133-2013-EF y sus modificatorias, Ley del Procedimiento Administrativo General-Ley </w:t>
      </w:r>
      <w:proofErr w:type="spellStart"/>
      <w:r w:rsidRPr="00E70D1D">
        <w:rPr>
          <w:rFonts w:ascii="Arial" w:hAnsi="Arial" w:cs="Arial"/>
          <w:sz w:val="16"/>
          <w:szCs w:val="16"/>
        </w:rPr>
        <w:t>N°</w:t>
      </w:r>
      <w:proofErr w:type="spellEnd"/>
      <w:r w:rsidRPr="00E70D1D">
        <w:rPr>
          <w:rFonts w:ascii="Arial" w:hAnsi="Arial" w:cs="Arial"/>
          <w:sz w:val="16"/>
          <w:szCs w:val="16"/>
        </w:rPr>
        <w:t xml:space="preserve"> 27444, cumple con NOTIFICAR a las personas naturales y/o jurídicas, que la Intendencia de Aduana de Tacna, ha emitido la Resolución de División N.º 000</w:t>
      </w:r>
      <w:r w:rsidR="007670A7" w:rsidRPr="00E70D1D">
        <w:rPr>
          <w:rFonts w:ascii="Arial" w:hAnsi="Arial" w:cs="Arial"/>
          <w:sz w:val="16"/>
          <w:szCs w:val="16"/>
        </w:rPr>
        <w:t>062</w:t>
      </w:r>
      <w:r w:rsidRPr="00E70D1D">
        <w:rPr>
          <w:rFonts w:ascii="Arial" w:hAnsi="Arial" w:cs="Arial"/>
          <w:sz w:val="16"/>
          <w:szCs w:val="16"/>
        </w:rPr>
        <w:t>-202</w:t>
      </w:r>
      <w:r w:rsidR="007670A7" w:rsidRPr="00E70D1D">
        <w:rPr>
          <w:rFonts w:ascii="Arial" w:hAnsi="Arial" w:cs="Arial"/>
          <w:sz w:val="16"/>
          <w:szCs w:val="16"/>
        </w:rPr>
        <w:t>4</w:t>
      </w:r>
      <w:r w:rsidRPr="00E70D1D">
        <w:rPr>
          <w:rFonts w:ascii="Arial" w:hAnsi="Arial" w:cs="Arial"/>
          <w:sz w:val="16"/>
          <w:szCs w:val="16"/>
        </w:rPr>
        <w:t xml:space="preserve">-SUNAT/3G0500 del </w:t>
      </w:r>
      <w:r w:rsidR="007670A7" w:rsidRPr="00E70D1D">
        <w:rPr>
          <w:rFonts w:ascii="Arial" w:hAnsi="Arial" w:cs="Arial"/>
          <w:sz w:val="16"/>
          <w:szCs w:val="16"/>
        </w:rPr>
        <w:t>14</w:t>
      </w:r>
      <w:r w:rsidRPr="00E70D1D">
        <w:rPr>
          <w:rFonts w:ascii="Arial" w:hAnsi="Arial" w:cs="Arial"/>
          <w:sz w:val="16"/>
          <w:szCs w:val="16"/>
        </w:rPr>
        <w:t>.</w:t>
      </w:r>
      <w:r w:rsidR="007670A7" w:rsidRPr="00E70D1D">
        <w:rPr>
          <w:rFonts w:ascii="Arial" w:hAnsi="Arial" w:cs="Arial"/>
          <w:sz w:val="16"/>
          <w:szCs w:val="16"/>
        </w:rPr>
        <w:t>02</w:t>
      </w:r>
      <w:r w:rsidRPr="00E70D1D">
        <w:rPr>
          <w:rFonts w:ascii="Arial" w:hAnsi="Arial" w:cs="Arial"/>
          <w:sz w:val="16"/>
          <w:szCs w:val="16"/>
        </w:rPr>
        <w:t>.202</w:t>
      </w:r>
      <w:r w:rsidR="007670A7" w:rsidRPr="00E70D1D">
        <w:rPr>
          <w:rFonts w:ascii="Arial" w:hAnsi="Arial" w:cs="Arial"/>
          <w:sz w:val="16"/>
          <w:szCs w:val="16"/>
        </w:rPr>
        <w:t>4</w:t>
      </w:r>
      <w:r w:rsidRPr="00E70D1D">
        <w:rPr>
          <w:rFonts w:ascii="Arial" w:hAnsi="Arial" w:cs="Arial"/>
          <w:sz w:val="16"/>
          <w:szCs w:val="16"/>
        </w:rPr>
        <w:t>, en relación a la mercancía descrita en la acta de incautación indicada en la presente notificación.</w:t>
      </w:r>
    </w:p>
    <w:p w14:paraId="62115598" w14:textId="77777777" w:rsidR="00F760D7" w:rsidRPr="00E70D1D" w:rsidRDefault="00F760D7" w:rsidP="00E70D1D">
      <w:pPr>
        <w:tabs>
          <w:tab w:val="left" w:pos="9214"/>
        </w:tabs>
        <w:ind w:left="284" w:right="488"/>
        <w:jc w:val="both"/>
        <w:rPr>
          <w:rFonts w:ascii="Arial" w:hAnsi="Arial" w:cs="Arial"/>
          <w:sz w:val="16"/>
          <w:szCs w:val="16"/>
        </w:rPr>
      </w:pPr>
    </w:p>
    <w:p w14:paraId="4E0D8BCD" w14:textId="77777777" w:rsidR="00F760D7" w:rsidRPr="00E70D1D" w:rsidRDefault="00F760D7" w:rsidP="00E70D1D">
      <w:pPr>
        <w:tabs>
          <w:tab w:val="left" w:pos="9214"/>
        </w:tabs>
        <w:ind w:left="284" w:right="488"/>
        <w:jc w:val="both"/>
        <w:rPr>
          <w:rFonts w:ascii="Arial" w:hAnsi="Arial" w:cs="Arial"/>
          <w:sz w:val="16"/>
          <w:szCs w:val="16"/>
        </w:rPr>
      </w:pPr>
      <w:r w:rsidRPr="00E70D1D">
        <w:rPr>
          <w:rFonts w:ascii="Arial" w:hAnsi="Arial" w:cs="Arial"/>
          <w:sz w:val="16"/>
          <w:szCs w:val="16"/>
        </w:rPr>
        <w:t xml:space="preserve">La persona natural y/o jurídica con legítimo interés, puede acercarse a la Intendencia de Aduana de Tacna ubicada en el Parque Industrial, </w:t>
      </w:r>
      <w:proofErr w:type="spellStart"/>
      <w:r w:rsidRPr="00E70D1D">
        <w:rPr>
          <w:rFonts w:ascii="Arial" w:hAnsi="Arial" w:cs="Arial"/>
          <w:sz w:val="16"/>
          <w:szCs w:val="16"/>
        </w:rPr>
        <w:t>Mz</w:t>
      </w:r>
      <w:proofErr w:type="spellEnd"/>
      <w:r w:rsidRPr="00E70D1D">
        <w:rPr>
          <w:rFonts w:ascii="Arial" w:hAnsi="Arial" w:cs="Arial"/>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E70D1D">
        <w:rPr>
          <w:rFonts w:ascii="Arial" w:hAnsi="Arial" w:cs="Arial"/>
          <w:sz w:val="16"/>
          <w:szCs w:val="16"/>
        </w:rPr>
        <w:t>N°</w:t>
      </w:r>
      <w:proofErr w:type="spellEnd"/>
      <w:r w:rsidRPr="00E70D1D">
        <w:rPr>
          <w:rFonts w:ascii="Arial" w:hAnsi="Arial" w:cs="Arial"/>
          <w:sz w:val="16"/>
          <w:szCs w:val="16"/>
        </w:rPr>
        <w:t xml:space="preserve"> 1053, concordante con los artículos 235° , 242° y 243° de su Reglamento aprobado por Decreto Supremo </w:t>
      </w:r>
      <w:proofErr w:type="spellStart"/>
      <w:r w:rsidRPr="00E70D1D">
        <w:rPr>
          <w:rFonts w:ascii="Arial" w:hAnsi="Arial" w:cs="Arial"/>
          <w:sz w:val="16"/>
          <w:szCs w:val="16"/>
        </w:rPr>
        <w:t>N°</w:t>
      </w:r>
      <w:proofErr w:type="spellEnd"/>
      <w:r w:rsidRPr="00E70D1D">
        <w:rPr>
          <w:rFonts w:ascii="Arial" w:hAnsi="Arial" w:cs="Arial"/>
          <w:sz w:val="16"/>
          <w:szCs w:val="16"/>
        </w:rPr>
        <w:t xml:space="preserve"> 010-2009-EF.</w:t>
      </w:r>
    </w:p>
    <w:p w14:paraId="78B9114F" w14:textId="77777777" w:rsidR="00F760D7" w:rsidRPr="00E70D1D" w:rsidRDefault="00F760D7" w:rsidP="00E70D1D">
      <w:pPr>
        <w:tabs>
          <w:tab w:val="left" w:pos="9214"/>
        </w:tabs>
        <w:ind w:left="284" w:right="1105"/>
        <w:jc w:val="both"/>
        <w:rPr>
          <w:rFonts w:ascii="Arial" w:hAnsi="Arial" w:cs="Arial"/>
          <w:sz w:val="16"/>
          <w:szCs w:val="16"/>
        </w:rPr>
      </w:pPr>
    </w:p>
    <w:p w14:paraId="6ED9FBBB" w14:textId="77777777" w:rsidR="00F760D7" w:rsidRPr="00E70D1D" w:rsidRDefault="00F760D7" w:rsidP="00E70D1D">
      <w:pPr>
        <w:tabs>
          <w:tab w:val="left" w:pos="9214"/>
        </w:tabs>
        <w:ind w:left="709" w:right="1105"/>
        <w:jc w:val="both"/>
        <w:rPr>
          <w:rFonts w:ascii="Arial" w:hAnsi="Arial" w:cs="Arial"/>
          <w:sz w:val="16"/>
          <w:szCs w:val="16"/>
        </w:rPr>
      </w:pPr>
    </w:p>
    <w:tbl>
      <w:tblPr>
        <w:tblW w:w="4527" w:type="pct"/>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57"/>
        <w:gridCol w:w="1373"/>
        <w:gridCol w:w="6017"/>
      </w:tblGrid>
      <w:tr w:rsidR="00602B50" w:rsidRPr="00E70D1D" w14:paraId="6CE3A626" w14:textId="77777777" w:rsidTr="00E70D1D">
        <w:trPr>
          <w:trHeight w:val="425"/>
        </w:trPr>
        <w:tc>
          <w:tcPr>
            <w:tcW w:w="618" w:type="pct"/>
            <w:shd w:val="clear" w:color="auto" w:fill="auto"/>
          </w:tcPr>
          <w:p w14:paraId="3B9B34D6" w14:textId="77777777" w:rsidR="00602B50" w:rsidRPr="00A1678A" w:rsidRDefault="00602B50" w:rsidP="00E70D1D">
            <w:pPr>
              <w:tabs>
                <w:tab w:val="left" w:pos="9214"/>
              </w:tabs>
              <w:jc w:val="center"/>
              <w:rPr>
                <w:rFonts w:ascii="Arial" w:hAnsi="Arial" w:cs="Arial"/>
                <w:b/>
                <w:bCs/>
                <w:sz w:val="16"/>
                <w:szCs w:val="16"/>
              </w:rPr>
            </w:pPr>
            <w:r w:rsidRPr="00A1678A">
              <w:rPr>
                <w:rFonts w:ascii="Arial" w:hAnsi="Arial" w:cs="Arial"/>
                <w:b/>
                <w:bCs/>
                <w:sz w:val="16"/>
                <w:szCs w:val="16"/>
              </w:rPr>
              <w:t>Administrado</w:t>
            </w:r>
          </w:p>
        </w:tc>
        <w:tc>
          <w:tcPr>
            <w:tcW w:w="673" w:type="pct"/>
            <w:shd w:val="clear" w:color="auto" w:fill="auto"/>
          </w:tcPr>
          <w:p w14:paraId="4C46D1FA" w14:textId="77777777" w:rsidR="00602B50" w:rsidRPr="00A1678A" w:rsidRDefault="00602B50" w:rsidP="00E70D1D">
            <w:pPr>
              <w:tabs>
                <w:tab w:val="left" w:pos="9214"/>
              </w:tabs>
              <w:jc w:val="center"/>
              <w:rPr>
                <w:rFonts w:ascii="Arial" w:hAnsi="Arial" w:cs="Arial"/>
                <w:b/>
                <w:bCs/>
                <w:sz w:val="16"/>
                <w:szCs w:val="16"/>
              </w:rPr>
            </w:pPr>
            <w:r w:rsidRPr="00A1678A">
              <w:rPr>
                <w:rFonts w:ascii="Arial" w:hAnsi="Arial" w:cs="Arial"/>
                <w:b/>
                <w:bCs/>
                <w:sz w:val="16"/>
                <w:szCs w:val="16"/>
              </w:rPr>
              <w:t>Resolución de División</w:t>
            </w:r>
          </w:p>
        </w:tc>
        <w:tc>
          <w:tcPr>
            <w:tcW w:w="3709" w:type="pct"/>
            <w:shd w:val="clear" w:color="auto" w:fill="auto"/>
          </w:tcPr>
          <w:p w14:paraId="53F254A9" w14:textId="77777777" w:rsidR="00602B50" w:rsidRPr="00A1678A" w:rsidRDefault="00602B50" w:rsidP="00E70D1D">
            <w:pPr>
              <w:tabs>
                <w:tab w:val="left" w:pos="9214"/>
              </w:tabs>
              <w:jc w:val="center"/>
              <w:rPr>
                <w:rFonts w:ascii="Arial" w:hAnsi="Arial" w:cs="Arial"/>
                <w:b/>
                <w:bCs/>
                <w:sz w:val="16"/>
                <w:szCs w:val="16"/>
              </w:rPr>
            </w:pPr>
            <w:r w:rsidRPr="00A1678A">
              <w:rPr>
                <w:rFonts w:ascii="Arial" w:hAnsi="Arial" w:cs="Arial"/>
                <w:b/>
                <w:bCs/>
                <w:sz w:val="16"/>
                <w:szCs w:val="16"/>
              </w:rPr>
              <w:t>Determinación</w:t>
            </w:r>
          </w:p>
        </w:tc>
      </w:tr>
      <w:tr w:rsidR="00602B50" w:rsidRPr="00E70D1D" w14:paraId="50965FCC" w14:textId="77777777" w:rsidTr="00E70D1D">
        <w:trPr>
          <w:trHeight w:val="132"/>
        </w:trPr>
        <w:tc>
          <w:tcPr>
            <w:tcW w:w="618" w:type="pct"/>
            <w:shd w:val="clear" w:color="auto" w:fill="auto"/>
            <w:vAlign w:val="center"/>
          </w:tcPr>
          <w:p w14:paraId="7469EAF3" w14:textId="505CA2AA" w:rsidR="00602B50" w:rsidRPr="00E70D1D" w:rsidRDefault="007670A7" w:rsidP="00E70D1D">
            <w:pPr>
              <w:tabs>
                <w:tab w:val="left" w:pos="9214"/>
              </w:tabs>
              <w:jc w:val="both"/>
              <w:rPr>
                <w:rFonts w:ascii="Arial" w:hAnsi="Arial" w:cs="Arial"/>
                <w:sz w:val="16"/>
                <w:szCs w:val="16"/>
              </w:rPr>
            </w:pPr>
            <w:bookmarkStart w:id="0" w:name="_Hlk112840682"/>
            <w:r w:rsidRPr="00E70D1D">
              <w:rPr>
                <w:rFonts w:ascii="Arial" w:hAnsi="Arial" w:cs="Arial"/>
                <w:sz w:val="16"/>
                <w:szCs w:val="16"/>
              </w:rPr>
              <w:t xml:space="preserve">MANUEL TOMAS VIDAL HERNANDEZ, identificado con cédula de extranjería de Colombia </w:t>
            </w:r>
            <w:proofErr w:type="spellStart"/>
            <w:r w:rsidRPr="00E70D1D">
              <w:rPr>
                <w:rFonts w:ascii="Arial" w:hAnsi="Arial" w:cs="Arial"/>
                <w:sz w:val="16"/>
                <w:szCs w:val="16"/>
              </w:rPr>
              <w:t>N°</w:t>
            </w:r>
            <w:proofErr w:type="spellEnd"/>
            <w:r w:rsidRPr="00E70D1D">
              <w:rPr>
                <w:rFonts w:ascii="Arial" w:hAnsi="Arial" w:cs="Arial"/>
                <w:sz w:val="16"/>
                <w:szCs w:val="16"/>
              </w:rPr>
              <w:t xml:space="preserve"> 526408</w:t>
            </w:r>
          </w:p>
        </w:tc>
        <w:tc>
          <w:tcPr>
            <w:tcW w:w="673" w:type="pct"/>
            <w:shd w:val="clear" w:color="auto" w:fill="auto"/>
            <w:vAlign w:val="center"/>
          </w:tcPr>
          <w:p w14:paraId="1E6762E4" w14:textId="3AFF5611" w:rsidR="00602B50" w:rsidRPr="00E70D1D" w:rsidRDefault="00602B50" w:rsidP="00E70D1D">
            <w:pPr>
              <w:tabs>
                <w:tab w:val="left" w:pos="9214"/>
              </w:tabs>
              <w:jc w:val="both"/>
              <w:rPr>
                <w:rFonts w:ascii="Arial" w:hAnsi="Arial" w:cs="Arial"/>
                <w:sz w:val="16"/>
                <w:szCs w:val="16"/>
              </w:rPr>
            </w:pPr>
            <w:r w:rsidRPr="00E70D1D">
              <w:rPr>
                <w:rFonts w:ascii="Arial" w:hAnsi="Arial" w:cs="Arial"/>
                <w:sz w:val="16"/>
                <w:szCs w:val="16"/>
              </w:rPr>
              <w:t>Resolución de División N.º 000</w:t>
            </w:r>
            <w:r w:rsidR="007670A7" w:rsidRPr="00E70D1D">
              <w:rPr>
                <w:rFonts w:ascii="Arial" w:hAnsi="Arial" w:cs="Arial"/>
                <w:sz w:val="16"/>
                <w:szCs w:val="16"/>
              </w:rPr>
              <w:t>062</w:t>
            </w:r>
            <w:r w:rsidRPr="00E70D1D">
              <w:rPr>
                <w:rFonts w:ascii="Arial" w:hAnsi="Arial" w:cs="Arial"/>
                <w:sz w:val="16"/>
                <w:szCs w:val="16"/>
              </w:rPr>
              <w:t>-202</w:t>
            </w:r>
            <w:r w:rsidR="007670A7" w:rsidRPr="00E70D1D">
              <w:rPr>
                <w:rFonts w:ascii="Arial" w:hAnsi="Arial" w:cs="Arial"/>
                <w:sz w:val="16"/>
                <w:szCs w:val="16"/>
              </w:rPr>
              <w:t>4</w:t>
            </w:r>
            <w:r w:rsidRPr="00E70D1D">
              <w:rPr>
                <w:rFonts w:ascii="Arial" w:hAnsi="Arial" w:cs="Arial"/>
                <w:sz w:val="16"/>
                <w:szCs w:val="16"/>
              </w:rPr>
              <w:t xml:space="preserve">-SUNAT/3G0500 del </w:t>
            </w:r>
            <w:r w:rsidR="007670A7" w:rsidRPr="00E70D1D">
              <w:rPr>
                <w:rFonts w:ascii="Arial" w:hAnsi="Arial" w:cs="Arial"/>
                <w:sz w:val="16"/>
                <w:szCs w:val="16"/>
              </w:rPr>
              <w:t>14</w:t>
            </w:r>
            <w:r w:rsidRPr="00E70D1D">
              <w:rPr>
                <w:rFonts w:ascii="Arial" w:hAnsi="Arial" w:cs="Arial"/>
                <w:sz w:val="16"/>
                <w:szCs w:val="16"/>
              </w:rPr>
              <w:t>.</w:t>
            </w:r>
            <w:r w:rsidR="007670A7" w:rsidRPr="00E70D1D">
              <w:rPr>
                <w:rFonts w:ascii="Arial" w:hAnsi="Arial" w:cs="Arial"/>
                <w:sz w:val="16"/>
                <w:szCs w:val="16"/>
              </w:rPr>
              <w:t>02</w:t>
            </w:r>
            <w:r w:rsidRPr="00E70D1D">
              <w:rPr>
                <w:rFonts w:ascii="Arial" w:hAnsi="Arial" w:cs="Arial"/>
                <w:sz w:val="16"/>
                <w:szCs w:val="16"/>
              </w:rPr>
              <w:t>.202</w:t>
            </w:r>
            <w:r w:rsidR="007670A7" w:rsidRPr="00E70D1D">
              <w:rPr>
                <w:rFonts w:ascii="Arial" w:hAnsi="Arial" w:cs="Arial"/>
                <w:sz w:val="16"/>
                <w:szCs w:val="16"/>
              </w:rPr>
              <w:t>4</w:t>
            </w:r>
          </w:p>
        </w:tc>
        <w:tc>
          <w:tcPr>
            <w:tcW w:w="3709" w:type="pct"/>
            <w:shd w:val="clear" w:color="auto" w:fill="auto"/>
            <w:vAlign w:val="center"/>
          </w:tcPr>
          <w:p w14:paraId="19F97600" w14:textId="62208940" w:rsidR="007670A7" w:rsidRPr="00E70D1D" w:rsidRDefault="007670A7" w:rsidP="00E70D1D">
            <w:pPr>
              <w:tabs>
                <w:tab w:val="left" w:pos="9214"/>
              </w:tabs>
              <w:jc w:val="both"/>
              <w:rPr>
                <w:rFonts w:ascii="Arial" w:hAnsi="Arial" w:cs="Arial"/>
                <w:sz w:val="16"/>
                <w:szCs w:val="16"/>
              </w:rPr>
            </w:pPr>
            <w:r w:rsidRPr="00E70D1D">
              <w:rPr>
                <w:rFonts w:ascii="Arial" w:hAnsi="Arial" w:cs="Arial"/>
                <w:sz w:val="16"/>
                <w:szCs w:val="16"/>
              </w:rPr>
              <w:t xml:space="preserve">ARTICULO PRIMERO. - ACUMULAR el Expedientes </w:t>
            </w:r>
            <w:proofErr w:type="spellStart"/>
            <w:r w:rsidRPr="00E70D1D">
              <w:rPr>
                <w:rFonts w:ascii="Arial" w:hAnsi="Arial" w:cs="Arial"/>
                <w:sz w:val="16"/>
                <w:szCs w:val="16"/>
              </w:rPr>
              <w:t>N°</w:t>
            </w:r>
            <w:proofErr w:type="spellEnd"/>
            <w:r w:rsidRPr="00E70D1D">
              <w:rPr>
                <w:rFonts w:ascii="Arial" w:hAnsi="Arial" w:cs="Arial"/>
                <w:sz w:val="16"/>
                <w:szCs w:val="16"/>
              </w:rPr>
              <w:t xml:space="preserve"> 172-URD119-2024-1529 de fecha 02.1.2024 y el Expediente </w:t>
            </w:r>
            <w:proofErr w:type="spellStart"/>
            <w:r w:rsidRPr="00E70D1D">
              <w:rPr>
                <w:rFonts w:ascii="Arial" w:hAnsi="Arial" w:cs="Arial"/>
                <w:sz w:val="16"/>
                <w:szCs w:val="16"/>
              </w:rPr>
              <w:t>N°</w:t>
            </w:r>
            <w:proofErr w:type="spellEnd"/>
            <w:r w:rsidRPr="00E70D1D">
              <w:rPr>
                <w:rFonts w:ascii="Arial" w:hAnsi="Arial" w:cs="Arial"/>
                <w:sz w:val="16"/>
                <w:szCs w:val="16"/>
              </w:rPr>
              <w:t xml:space="preserve"> 172 -URD119-2024-5187-6 de fecha 03.1.2023, al guardar conexión entre sí, debiendo tramitarse en un único expediente; en mérito a los considerandos antes expuestos. </w:t>
            </w:r>
          </w:p>
          <w:p w14:paraId="1C777E0F" w14:textId="3B84AC38" w:rsidR="007670A7" w:rsidRPr="00E70D1D" w:rsidRDefault="007670A7" w:rsidP="00E70D1D">
            <w:pPr>
              <w:tabs>
                <w:tab w:val="left" w:pos="9214"/>
              </w:tabs>
              <w:jc w:val="both"/>
              <w:rPr>
                <w:rFonts w:ascii="Arial" w:hAnsi="Arial" w:cs="Arial"/>
                <w:sz w:val="16"/>
                <w:szCs w:val="16"/>
              </w:rPr>
            </w:pPr>
            <w:r w:rsidRPr="00E70D1D">
              <w:rPr>
                <w:rFonts w:ascii="Arial" w:hAnsi="Arial" w:cs="Arial"/>
                <w:sz w:val="16"/>
                <w:szCs w:val="16"/>
              </w:rPr>
              <w:t xml:space="preserve">ARTÍCULO SEGUNDO. - Declarar IMPROCEDENTE la solicitud de devolución del vehículo con placa de rodaje OYR37F descrito en el Acta de Incautación </w:t>
            </w:r>
            <w:proofErr w:type="spellStart"/>
            <w:r w:rsidRPr="00E70D1D">
              <w:rPr>
                <w:rFonts w:ascii="Arial" w:hAnsi="Arial" w:cs="Arial"/>
                <w:sz w:val="16"/>
                <w:szCs w:val="16"/>
              </w:rPr>
              <w:t>N°</w:t>
            </w:r>
            <w:proofErr w:type="spellEnd"/>
            <w:r w:rsidRPr="00E70D1D">
              <w:rPr>
                <w:rFonts w:ascii="Arial" w:hAnsi="Arial" w:cs="Arial"/>
                <w:sz w:val="16"/>
                <w:szCs w:val="16"/>
              </w:rPr>
              <w:t xml:space="preserve"> 172 -0201-2023-000629 de fecha 31.12.2023, presentada por MANUEL TOMAS VIDAL HERNANDEZ, identificado con cédula de extranjería de Colombia </w:t>
            </w:r>
            <w:proofErr w:type="spellStart"/>
            <w:r w:rsidRPr="00E70D1D">
              <w:rPr>
                <w:rFonts w:ascii="Arial" w:hAnsi="Arial" w:cs="Arial"/>
                <w:sz w:val="16"/>
                <w:szCs w:val="16"/>
              </w:rPr>
              <w:t>N°</w:t>
            </w:r>
            <w:proofErr w:type="spellEnd"/>
            <w:r w:rsidRPr="00E70D1D">
              <w:rPr>
                <w:rFonts w:ascii="Arial" w:hAnsi="Arial" w:cs="Arial"/>
                <w:sz w:val="16"/>
                <w:szCs w:val="16"/>
              </w:rPr>
              <w:t xml:space="preserve"> 526408, mediante Expediente </w:t>
            </w:r>
            <w:proofErr w:type="spellStart"/>
            <w:r w:rsidRPr="00E70D1D">
              <w:rPr>
                <w:rFonts w:ascii="Arial" w:hAnsi="Arial" w:cs="Arial"/>
                <w:sz w:val="16"/>
                <w:szCs w:val="16"/>
              </w:rPr>
              <w:t>N°</w:t>
            </w:r>
            <w:proofErr w:type="spellEnd"/>
            <w:r w:rsidRPr="00E70D1D">
              <w:rPr>
                <w:rFonts w:ascii="Arial" w:hAnsi="Arial" w:cs="Arial"/>
                <w:sz w:val="16"/>
                <w:szCs w:val="16"/>
              </w:rPr>
              <w:t xml:space="preserve"> 172 -URD119 -2024 -1529 de fecha 02.1.2024. </w:t>
            </w:r>
          </w:p>
          <w:p w14:paraId="3071C217" w14:textId="0FE45410" w:rsidR="00602B50" w:rsidRPr="00E70D1D" w:rsidRDefault="007670A7" w:rsidP="00E70D1D">
            <w:pPr>
              <w:tabs>
                <w:tab w:val="left" w:pos="9214"/>
              </w:tabs>
              <w:jc w:val="both"/>
              <w:rPr>
                <w:rFonts w:ascii="Arial" w:hAnsi="Arial" w:cs="Arial"/>
                <w:sz w:val="16"/>
                <w:szCs w:val="16"/>
              </w:rPr>
            </w:pPr>
            <w:r w:rsidRPr="00E70D1D">
              <w:rPr>
                <w:rFonts w:ascii="Arial" w:hAnsi="Arial" w:cs="Arial"/>
                <w:sz w:val="16"/>
                <w:szCs w:val="16"/>
              </w:rPr>
              <w:t xml:space="preserve">ARTÍCULO TERCERO. - Declarar el COMISO del vehículo con placa de rodaje OYR37F descrito en el Acta de Incautación </w:t>
            </w:r>
            <w:proofErr w:type="spellStart"/>
            <w:r w:rsidRPr="00E70D1D">
              <w:rPr>
                <w:rFonts w:ascii="Arial" w:hAnsi="Arial" w:cs="Arial"/>
                <w:sz w:val="16"/>
                <w:szCs w:val="16"/>
              </w:rPr>
              <w:t>N°</w:t>
            </w:r>
            <w:proofErr w:type="spellEnd"/>
            <w:r w:rsidRPr="00E70D1D">
              <w:rPr>
                <w:rFonts w:ascii="Arial" w:hAnsi="Arial" w:cs="Arial"/>
                <w:sz w:val="16"/>
                <w:szCs w:val="16"/>
              </w:rPr>
              <w:t xml:space="preserve"> 172-0201-2023 -000629 de fecha 31.12.2023, por lo fundamentos de hecho y derechos expuestos en la parte considerativa de la presente resolución.</w:t>
            </w:r>
          </w:p>
        </w:tc>
      </w:tr>
      <w:bookmarkEnd w:id="0"/>
    </w:tbl>
    <w:p w14:paraId="33E6013B" w14:textId="77777777" w:rsidR="00F760D7" w:rsidRPr="00E70D1D" w:rsidRDefault="00F760D7" w:rsidP="00E70D1D">
      <w:pPr>
        <w:tabs>
          <w:tab w:val="left" w:pos="9214"/>
        </w:tabs>
        <w:rPr>
          <w:rFonts w:ascii="Arial" w:hAnsi="Arial" w:cs="Arial"/>
          <w:sz w:val="16"/>
          <w:szCs w:val="16"/>
        </w:rPr>
      </w:pPr>
    </w:p>
    <w:p w14:paraId="15E8E24F" w14:textId="77777777" w:rsidR="00033FDA" w:rsidRPr="00E70D1D" w:rsidRDefault="00033FDA" w:rsidP="00E70D1D">
      <w:pPr>
        <w:tabs>
          <w:tab w:val="left" w:pos="9214"/>
        </w:tabs>
        <w:rPr>
          <w:rFonts w:ascii="Arial" w:hAnsi="Arial" w:cs="Arial"/>
          <w:sz w:val="16"/>
          <w:szCs w:val="16"/>
        </w:rPr>
      </w:pPr>
    </w:p>
    <w:sectPr w:rsidR="00033FDA" w:rsidRPr="00E70D1D" w:rsidSect="00E70D1D">
      <w:pgSz w:w="11900" w:h="16840" w:code="1"/>
      <w:pgMar w:top="1276" w:right="1006" w:bottom="567"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D7"/>
    <w:rsid w:val="00033FDA"/>
    <w:rsid w:val="00283F2F"/>
    <w:rsid w:val="004F3D24"/>
    <w:rsid w:val="00532039"/>
    <w:rsid w:val="00602B50"/>
    <w:rsid w:val="006F7BBD"/>
    <w:rsid w:val="007670A7"/>
    <w:rsid w:val="00A1678A"/>
    <w:rsid w:val="00C32C98"/>
    <w:rsid w:val="00D506A6"/>
    <w:rsid w:val="00E70D1D"/>
    <w:rsid w:val="00F721D3"/>
    <w:rsid w:val="00F760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4E8D"/>
  <w15:chartTrackingRefBased/>
  <w15:docId w15:val="{1F26CC87-8751-4C51-A743-9D0F15C2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Vasquez Andia Grizely</cp:lastModifiedBy>
  <cp:revision>2</cp:revision>
  <dcterms:created xsi:type="dcterms:W3CDTF">2024-03-19T21:06:00Z</dcterms:created>
  <dcterms:modified xsi:type="dcterms:W3CDTF">2024-03-19T21:06:00Z</dcterms:modified>
</cp:coreProperties>
</file>