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13CC" w14:textId="77777777" w:rsidR="00107F95" w:rsidRPr="00DE7586" w:rsidRDefault="00107F95" w:rsidP="00567819">
      <w:pPr>
        <w:spacing w:after="0" w:line="0" w:lineRule="atLeast"/>
        <w:ind w:left="2268" w:right="2800"/>
        <w:jc w:val="center"/>
        <w:rPr>
          <w:rFonts w:ascii="Arial Narrow" w:hAnsi="Arial Narrow"/>
          <w:b/>
          <w:bCs/>
          <w:sz w:val="16"/>
          <w:szCs w:val="16"/>
        </w:rPr>
      </w:pPr>
      <w:r w:rsidRPr="00DE7586">
        <w:rPr>
          <w:rFonts w:ascii="Arial Narrow" w:hAnsi="Arial Narrow"/>
          <w:b/>
          <w:bCs/>
          <w:sz w:val="16"/>
          <w:szCs w:val="16"/>
        </w:rPr>
        <w:t>SUPERINTENDENCIA NACIONAL DE ADUANAS Y ADMINISTRACION TRIBUTARIA</w:t>
      </w:r>
    </w:p>
    <w:p w14:paraId="71CA46CF" w14:textId="77777777" w:rsidR="00107F95" w:rsidRPr="00DE7586" w:rsidRDefault="00107F95" w:rsidP="00567819">
      <w:pPr>
        <w:spacing w:after="0" w:line="0" w:lineRule="atLeast"/>
        <w:ind w:left="2268" w:right="2800"/>
        <w:jc w:val="center"/>
        <w:rPr>
          <w:rFonts w:ascii="Arial Narrow" w:hAnsi="Arial Narrow"/>
          <w:b/>
          <w:bCs/>
          <w:sz w:val="16"/>
          <w:szCs w:val="16"/>
        </w:rPr>
      </w:pPr>
      <w:r w:rsidRPr="00DE7586">
        <w:rPr>
          <w:rFonts w:ascii="Arial Narrow" w:hAnsi="Arial Narrow"/>
          <w:b/>
          <w:bCs/>
          <w:sz w:val="16"/>
          <w:szCs w:val="16"/>
        </w:rPr>
        <w:t>INTENDENCIA DE ADUANA</w:t>
      </w:r>
      <w:r w:rsidR="009263D2" w:rsidRPr="00DE7586">
        <w:rPr>
          <w:rFonts w:ascii="Arial Narrow" w:hAnsi="Arial Narrow"/>
          <w:b/>
          <w:bCs/>
          <w:sz w:val="16"/>
          <w:szCs w:val="16"/>
        </w:rPr>
        <w:t xml:space="preserve"> </w:t>
      </w:r>
      <w:r w:rsidRPr="00DE7586">
        <w:rPr>
          <w:rFonts w:ascii="Arial Narrow" w:hAnsi="Arial Narrow"/>
          <w:b/>
          <w:bCs/>
          <w:sz w:val="16"/>
          <w:szCs w:val="16"/>
        </w:rPr>
        <w:t>DE TACNA</w:t>
      </w:r>
    </w:p>
    <w:p w14:paraId="310F7D25" w14:textId="77777777" w:rsidR="00DE7586" w:rsidRPr="00DE7586" w:rsidRDefault="00DE7586" w:rsidP="00567819">
      <w:pPr>
        <w:spacing w:after="0" w:line="0" w:lineRule="atLeast"/>
        <w:ind w:left="2268" w:right="2800"/>
        <w:jc w:val="center"/>
        <w:rPr>
          <w:rFonts w:ascii="Arial Narrow" w:hAnsi="Arial Narrow"/>
          <w:b/>
          <w:bCs/>
          <w:sz w:val="16"/>
          <w:szCs w:val="16"/>
        </w:rPr>
      </w:pPr>
    </w:p>
    <w:p w14:paraId="780B5AE6" w14:textId="64DCD0E6" w:rsidR="00107F95" w:rsidRPr="00DE7586" w:rsidRDefault="00107F95" w:rsidP="00567819">
      <w:pPr>
        <w:spacing w:after="0" w:line="0" w:lineRule="atLeast"/>
        <w:ind w:left="2268" w:right="2800"/>
        <w:jc w:val="center"/>
        <w:rPr>
          <w:rFonts w:ascii="Arial Narrow" w:hAnsi="Arial Narrow"/>
          <w:b/>
          <w:bCs/>
          <w:sz w:val="16"/>
          <w:szCs w:val="16"/>
        </w:rPr>
      </w:pPr>
      <w:r w:rsidRPr="00DE7586">
        <w:rPr>
          <w:rFonts w:ascii="Arial Narrow" w:hAnsi="Arial Narrow"/>
          <w:b/>
          <w:bCs/>
          <w:sz w:val="16"/>
          <w:szCs w:val="16"/>
        </w:rPr>
        <w:t>NOTIFICACI</w:t>
      </w:r>
      <w:r w:rsidR="009263D2" w:rsidRPr="00DE7586">
        <w:rPr>
          <w:rFonts w:ascii="Arial Narrow" w:hAnsi="Arial Narrow"/>
          <w:b/>
          <w:bCs/>
          <w:sz w:val="16"/>
          <w:szCs w:val="16"/>
        </w:rPr>
        <w:t>Ó</w:t>
      </w:r>
      <w:r w:rsidRPr="00DE7586">
        <w:rPr>
          <w:rFonts w:ascii="Arial Narrow" w:hAnsi="Arial Narrow"/>
          <w:b/>
          <w:bCs/>
          <w:sz w:val="16"/>
          <w:szCs w:val="16"/>
        </w:rPr>
        <w:t xml:space="preserve">N ADMINISTRATIVA </w:t>
      </w:r>
      <w:r w:rsidR="00A03786">
        <w:rPr>
          <w:rFonts w:ascii="Arial Narrow" w:hAnsi="Arial Narrow"/>
          <w:b/>
          <w:bCs/>
          <w:sz w:val="16"/>
          <w:szCs w:val="16"/>
        </w:rPr>
        <w:br/>
      </w:r>
      <w:r w:rsidR="00A03786" w:rsidRPr="002A58D0">
        <w:rPr>
          <w:rFonts w:ascii="Arial Narrow" w:hAnsi="Arial Narrow" w:cs="Arial"/>
          <w:color w:val="000000"/>
          <w:sz w:val="16"/>
          <w:szCs w:val="16"/>
          <w:lang w:eastAsia="es-PE"/>
        </w:rPr>
        <w:t>(Publicada en el Boletín del Diario Oficial El Peruano el 0</w:t>
      </w:r>
      <w:r w:rsidR="00A03786">
        <w:rPr>
          <w:rFonts w:ascii="Arial Narrow" w:hAnsi="Arial Narrow" w:cs="Arial"/>
          <w:color w:val="000000"/>
          <w:sz w:val="16"/>
          <w:szCs w:val="16"/>
        </w:rPr>
        <w:t>7</w:t>
      </w:r>
      <w:r w:rsidR="00A03786">
        <w:rPr>
          <w:rFonts w:ascii="Arial Narrow" w:hAnsi="Arial Narrow" w:cs="Arial"/>
          <w:color w:val="000000"/>
          <w:sz w:val="16"/>
          <w:szCs w:val="16"/>
          <w:lang w:eastAsia="es-PE"/>
        </w:rPr>
        <w:t xml:space="preserve"> </w:t>
      </w:r>
      <w:r w:rsidR="00A03786" w:rsidRPr="002A58D0">
        <w:rPr>
          <w:rFonts w:ascii="Arial Narrow" w:hAnsi="Arial Narrow" w:cs="Arial"/>
          <w:color w:val="000000"/>
          <w:sz w:val="16"/>
          <w:szCs w:val="16"/>
          <w:lang w:eastAsia="es-PE"/>
        </w:rPr>
        <w:t>.05.2024)</w:t>
      </w:r>
    </w:p>
    <w:p w14:paraId="66AB1261" w14:textId="77777777" w:rsidR="00107F95" w:rsidRPr="00DE7586" w:rsidRDefault="00107F95" w:rsidP="00567819">
      <w:pPr>
        <w:spacing w:after="0" w:line="0" w:lineRule="atLeast"/>
        <w:ind w:left="2268" w:right="2800"/>
        <w:jc w:val="center"/>
        <w:rPr>
          <w:rFonts w:ascii="Arial Narrow" w:hAnsi="Arial Narrow"/>
          <w:sz w:val="16"/>
          <w:szCs w:val="16"/>
        </w:rPr>
      </w:pPr>
    </w:p>
    <w:p w14:paraId="4BECF193" w14:textId="242C384F" w:rsidR="009263D2" w:rsidRPr="00DE7586" w:rsidRDefault="00BF660F" w:rsidP="00567819">
      <w:pPr>
        <w:spacing w:after="0" w:line="0" w:lineRule="atLeast"/>
        <w:ind w:left="2268" w:right="2800"/>
        <w:jc w:val="both"/>
        <w:rPr>
          <w:rFonts w:ascii="Arial Narrow" w:hAnsi="Arial Narrow"/>
          <w:sz w:val="16"/>
          <w:szCs w:val="16"/>
        </w:rPr>
      </w:pPr>
      <w:r w:rsidRPr="00DE7586">
        <w:rPr>
          <w:rFonts w:ascii="Arial Narrow" w:hAnsi="Arial Narrow"/>
          <w:sz w:val="16"/>
          <w:szCs w:val="16"/>
        </w:rPr>
        <w:t>D</w:t>
      </w:r>
      <w:r w:rsidR="00107F95" w:rsidRPr="00DE7586">
        <w:rPr>
          <w:rFonts w:ascii="Arial Narrow" w:hAnsi="Arial Narrow"/>
          <w:sz w:val="16"/>
          <w:szCs w:val="16"/>
        </w:rPr>
        <w:t xml:space="preserve">e conformidad con lo dispuesto en el </w:t>
      </w:r>
      <w:r w:rsidR="004E21D2" w:rsidRPr="00DE7586">
        <w:rPr>
          <w:rFonts w:ascii="Arial Narrow" w:hAnsi="Arial Narrow"/>
          <w:sz w:val="16"/>
          <w:szCs w:val="16"/>
        </w:rPr>
        <w:t>artículo</w:t>
      </w:r>
      <w:r w:rsidR="00107F95" w:rsidRPr="00DE7586">
        <w:rPr>
          <w:rFonts w:ascii="Arial Narrow" w:hAnsi="Arial Narrow"/>
          <w:sz w:val="16"/>
          <w:szCs w:val="16"/>
        </w:rPr>
        <w:t xml:space="preserve"> 104° inciso e) del Texto Único Ordenado del Código Tributario, aprobado por DS N° 133-2013-EF y su</w:t>
      </w:r>
      <w:r w:rsidR="009263D2" w:rsidRPr="00DE7586">
        <w:rPr>
          <w:rFonts w:ascii="Arial Narrow" w:hAnsi="Arial Narrow"/>
          <w:sz w:val="16"/>
          <w:szCs w:val="16"/>
        </w:rPr>
        <w:t>s</w:t>
      </w:r>
      <w:r w:rsidR="00107F95" w:rsidRPr="00DE7586">
        <w:rPr>
          <w:rFonts w:ascii="Arial Narrow" w:hAnsi="Arial Narrow"/>
          <w:sz w:val="16"/>
          <w:szCs w:val="16"/>
        </w:rPr>
        <w:t xml:space="preserve"> modificatoria</w:t>
      </w:r>
      <w:r w:rsidR="009263D2" w:rsidRPr="00DE7586">
        <w:rPr>
          <w:rFonts w:ascii="Arial Narrow" w:hAnsi="Arial Narrow"/>
          <w:sz w:val="16"/>
          <w:szCs w:val="16"/>
        </w:rPr>
        <w:t>s</w:t>
      </w:r>
      <w:r w:rsidR="00107F95" w:rsidRPr="00DE7586">
        <w:rPr>
          <w:rFonts w:ascii="Arial Narrow" w:hAnsi="Arial Narrow"/>
          <w:sz w:val="16"/>
          <w:szCs w:val="16"/>
        </w:rPr>
        <w:t xml:space="preserve">, </w:t>
      </w:r>
      <w:r w:rsidR="00923EFA" w:rsidRPr="00DE7586">
        <w:rPr>
          <w:rFonts w:ascii="Arial Narrow" w:hAnsi="Arial Narrow"/>
          <w:sz w:val="16"/>
          <w:szCs w:val="16"/>
        </w:rPr>
        <w:t>Ley de</w:t>
      </w:r>
      <w:r w:rsidR="009263D2" w:rsidRPr="00DE7586">
        <w:rPr>
          <w:rFonts w:ascii="Arial Narrow" w:hAnsi="Arial Narrow"/>
          <w:sz w:val="16"/>
          <w:szCs w:val="16"/>
        </w:rPr>
        <w:t>l</w:t>
      </w:r>
      <w:r w:rsidR="00923EFA" w:rsidRPr="00DE7586">
        <w:rPr>
          <w:rFonts w:ascii="Arial Narrow" w:hAnsi="Arial Narrow"/>
          <w:sz w:val="16"/>
          <w:szCs w:val="16"/>
        </w:rPr>
        <w:t xml:space="preserve"> Procedimiento</w:t>
      </w:r>
      <w:r w:rsidR="00DD5293" w:rsidRPr="00DE7586">
        <w:rPr>
          <w:rFonts w:ascii="Arial Narrow" w:hAnsi="Arial Narrow"/>
          <w:sz w:val="16"/>
          <w:szCs w:val="16"/>
        </w:rPr>
        <w:t xml:space="preserve"> Administrativo</w:t>
      </w:r>
      <w:r w:rsidR="009263D2" w:rsidRPr="00DE7586">
        <w:rPr>
          <w:rFonts w:ascii="Arial Narrow" w:hAnsi="Arial Narrow"/>
          <w:sz w:val="16"/>
          <w:szCs w:val="16"/>
        </w:rPr>
        <w:t xml:space="preserve"> </w:t>
      </w:r>
      <w:r w:rsidR="00DD5293" w:rsidRPr="00DE7586">
        <w:rPr>
          <w:rFonts w:ascii="Arial Narrow" w:hAnsi="Arial Narrow"/>
          <w:sz w:val="16"/>
          <w:szCs w:val="16"/>
        </w:rPr>
        <w:t xml:space="preserve">General-Ley N° 27444, cumple con NOTIFICAR a las </w:t>
      </w:r>
      <w:r w:rsidR="00107F95" w:rsidRPr="00DE7586">
        <w:rPr>
          <w:rFonts w:ascii="Arial Narrow" w:hAnsi="Arial Narrow"/>
          <w:sz w:val="16"/>
          <w:szCs w:val="16"/>
        </w:rPr>
        <w:t>personas naturales y/o jurídicas, que la Intendencia de Aduana</w:t>
      </w:r>
      <w:r w:rsidR="009263D2" w:rsidRPr="00DE7586">
        <w:rPr>
          <w:rFonts w:ascii="Arial Narrow" w:hAnsi="Arial Narrow"/>
          <w:sz w:val="16"/>
          <w:szCs w:val="16"/>
        </w:rPr>
        <w:t xml:space="preserve"> </w:t>
      </w:r>
      <w:r w:rsidR="00107F95" w:rsidRPr="00DE7586">
        <w:rPr>
          <w:rFonts w:ascii="Arial Narrow" w:hAnsi="Arial Narrow"/>
          <w:sz w:val="16"/>
          <w:szCs w:val="16"/>
        </w:rPr>
        <w:t xml:space="preserve">de Tacna, en aplicación del </w:t>
      </w:r>
      <w:r w:rsidR="004A55B7" w:rsidRPr="00DE7586">
        <w:rPr>
          <w:rFonts w:ascii="Arial Narrow" w:hAnsi="Arial Narrow"/>
          <w:sz w:val="16"/>
          <w:szCs w:val="16"/>
        </w:rPr>
        <w:t>a</w:t>
      </w:r>
      <w:r w:rsidR="00107F95" w:rsidRPr="00DE7586">
        <w:rPr>
          <w:rFonts w:ascii="Arial Narrow" w:hAnsi="Arial Narrow"/>
          <w:sz w:val="16"/>
          <w:szCs w:val="16"/>
        </w:rPr>
        <w:t>rtículo 1°, en concordancia con los artículos 33° y 38° de la Ley</w:t>
      </w:r>
      <w:r w:rsidR="009263D2" w:rsidRPr="00DE7586">
        <w:rPr>
          <w:rFonts w:ascii="Arial Narrow" w:hAnsi="Arial Narrow"/>
          <w:sz w:val="16"/>
          <w:szCs w:val="16"/>
        </w:rPr>
        <w:t xml:space="preserve"> N</w:t>
      </w:r>
      <w:r w:rsidR="004A55B7" w:rsidRPr="00DE7586">
        <w:rPr>
          <w:rFonts w:ascii="Arial Narrow" w:hAnsi="Arial Narrow"/>
          <w:sz w:val="16"/>
          <w:szCs w:val="16"/>
        </w:rPr>
        <w:t>.</w:t>
      </w:r>
      <w:r w:rsidR="009263D2" w:rsidRPr="00DE7586">
        <w:rPr>
          <w:rFonts w:ascii="Arial Narrow" w:hAnsi="Arial Narrow"/>
          <w:sz w:val="16"/>
          <w:szCs w:val="16"/>
        </w:rPr>
        <w:t>°</w:t>
      </w:r>
      <w:r w:rsidR="00107F95" w:rsidRPr="00DE7586">
        <w:rPr>
          <w:rFonts w:ascii="Arial Narrow" w:hAnsi="Arial Narrow"/>
          <w:sz w:val="16"/>
          <w:szCs w:val="16"/>
        </w:rPr>
        <w:t xml:space="preserve"> 28008 Ley de los Delitos Aduaneros</w:t>
      </w:r>
      <w:r w:rsidR="00DD5293" w:rsidRPr="00DE7586">
        <w:rPr>
          <w:rFonts w:ascii="Arial Narrow" w:hAnsi="Arial Narrow"/>
          <w:sz w:val="16"/>
          <w:szCs w:val="16"/>
        </w:rPr>
        <w:t xml:space="preserve"> y Decreto Legislativo N</w:t>
      </w:r>
      <w:r w:rsidR="004A55B7" w:rsidRPr="00DE7586">
        <w:rPr>
          <w:rFonts w:ascii="Arial Narrow" w:hAnsi="Arial Narrow"/>
          <w:sz w:val="16"/>
          <w:szCs w:val="16"/>
        </w:rPr>
        <w:t>.</w:t>
      </w:r>
      <w:r w:rsidR="00DD5293" w:rsidRPr="00DE7586">
        <w:rPr>
          <w:rFonts w:ascii="Arial Narrow" w:hAnsi="Arial Narrow"/>
          <w:sz w:val="16"/>
          <w:szCs w:val="16"/>
        </w:rPr>
        <w:t>° 1053 – Ley General de Aduanas, ha decretado</w:t>
      </w:r>
      <w:r w:rsidR="00107F95" w:rsidRPr="00DE7586">
        <w:rPr>
          <w:rFonts w:ascii="Arial Narrow" w:hAnsi="Arial Narrow"/>
          <w:sz w:val="16"/>
          <w:szCs w:val="16"/>
        </w:rPr>
        <w:t xml:space="preserve"> </w:t>
      </w:r>
      <w:r w:rsidR="00DD5293" w:rsidRPr="00DE7586">
        <w:rPr>
          <w:rFonts w:ascii="Arial Narrow" w:hAnsi="Arial Narrow"/>
          <w:sz w:val="16"/>
          <w:szCs w:val="16"/>
        </w:rPr>
        <w:t>los siguientes actos administrativos mediante Resolución,</w:t>
      </w:r>
      <w:r w:rsidR="009263D2" w:rsidRPr="00DE7586">
        <w:rPr>
          <w:rFonts w:ascii="Arial Narrow" w:hAnsi="Arial Narrow"/>
          <w:sz w:val="16"/>
          <w:szCs w:val="16"/>
        </w:rPr>
        <w:t xml:space="preserve"> en relación a la</w:t>
      </w:r>
      <w:r w:rsidR="00107F95" w:rsidRPr="00DE7586">
        <w:rPr>
          <w:rFonts w:ascii="Arial Narrow" w:hAnsi="Arial Narrow"/>
          <w:sz w:val="16"/>
          <w:szCs w:val="16"/>
        </w:rPr>
        <w:t xml:space="preserve"> mercancía descrita en </w:t>
      </w:r>
      <w:r w:rsidR="00122B93" w:rsidRPr="00DE7586">
        <w:rPr>
          <w:rFonts w:ascii="Arial Narrow" w:hAnsi="Arial Narrow"/>
          <w:sz w:val="16"/>
          <w:szCs w:val="16"/>
        </w:rPr>
        <w:t>el</w:t>
      </w:r>
      <w:r w:rsidR="00107F95" w:rsidRPr="00DE7586">
        <w:rPr>
          <w:rFonts w:ascii="Arial Narrow" w:hAnsi="Arial Narrow"/>
          <w:sz w:val="16"/>
          <w:szCs w:val="16"/>
        </w:rPr>
        <w:t xml:space="preserve"> acta</w:t>
      </w:r>
      <w:r w:rsidR="00122B93" w:rsidRPr="00DE7586">
        <w:rPr>
          <w:rFonts w:ascii="Arial Narrow" w:hAnsi="Arial Narrow"/>
          <w:sz w:val="16"/>
          <w:szCs w:val="16"/>
        </w:rPr>
        <w:t xml:space="preserve"> </w:t>
      </w:r>
      <w:r w:rsidR="00107F95" w:rsidRPr="00DE7586">
        <w:rPr>
          <w:rFonts w:ascii="Arial Narrow" w:hAnsi="Arial Narrow"/>
          <w:sz w:val="16"/>
          <w:szCs w:val="16"/>
        </w:rPr>
        <w:t>de incautación indicada</w:t>
      </w:r>
      <w:r w:rsidR="009263D2" w:rsidRPr="00DE7586">
        <w:rPr>
          <w:rFonts w:ascii="Arial Narrow" w:hAnsi="Arial Narrow"/>
          <w:sz w:val="16"/>
          <w:szCs w:val="16"/>
        </w:rPr>
        <w:t xml:space="preserve"> en la presente notificación.</w:t>
      </w:r>
    </w:p>
    <w:p w14:paraId="5BFC622D" w14:textId="78BB647F" w:rsidR="00107F95" w:rsidRPr="00DE7586" w:rsidRDefault="00991A03" w:rsidP="00567819">
      <w:pPr>
        <w:spacing w:after="0" w:line="0" w:lineRule="atLeast"/>
        <w:ind w:left="2268" w:right="2800"/>
        <w:jc w:val="both"/>
        <w:rPr>
          <w:rFonts w:ascii="Arial Narrow" w:hAnsi="Arial Narrow"/>
          <w:sz w:val="16"/>
          <w:szCs w:val="16"/>
        </w:rPr>
      </w:pPr>
      <w:r w:rsidRPr="00DE7586">
        <w:rPr>
          <w:rFonts w:ascii="Arial Narrow" w:hAnsi="Arial Narrow"/>
          <w:sz w:val="16"/>
          <w:szCs w:val="16"/>
        </w:rPr>
        <w:t>L</w:t>
      </w:r>
      <w:r w:rsidR="00B245CD" w:rsidRPr="00DE7586">
        <w:rPr>
          <w:rFonts w:ascii="Arial Narrow" w:hAnsi="Arial Narrow"/>
          <w:sz w:val="16"/>
          <w:szCs w:val="16"/>
        </w:rPr>
        <w:t xml:space="preserve">a </w:t>
      </w:r>
      <w:r w:rsidR="00107F95" w:rsidRPr="00DE7586">
        <w:rPr>
          <w:rFonts w:ascii="Arial Narrow" w:hAnsi="Arial Narrow"/>
          <w:sz w:val="16"/>
          <w:szCs w:val="16"/>
        </w:rPr>
        <w:t>persona natural y/o jurídica con legítimo interés, puede acercarse a la Intendencia de Aduana</w:t>
      </w:r>
      <w:r w:rsidR="009263D2" w:rsidRPr="00DE7586">
        <w:rPr>
          <w:rFonts w:ascii="Arial Narrow" w:hAnsi="Arial Narrow"/>
          <w:sz w:val="16"/>
          <w:szCs w:val="16"/>
        </w:rPr>
        <w:t xml:space="preserve"> </w:t>
      </w:r>
      <w:r w:rsidR="00107F95" w:rsidRPr="00DE7586">
        <w:rPr>
          <w:rFonts w:ascii="Arial Narrow" w:hAnsi="Arial Narrow"/>
          <w:sz w:val="16"/>
          <w:szCs w:val="16"/>
        </w:rPr>
        <w:t>de Tacna ubicada en el Parque Industrial, Mz. A, Lote 5 y 6 – Pocollay – Tacna</w:t>
      </w:r>
      <w:r w:rsidR="009263D2" w:rsidRPr="00DE7586">
        <w:rPr>
          <w:rFonts w:ascii="Arial Narrow" w:hAnsi="Arial Narrow"/>
          <w:sz w:val="16"/>
          <w:szCs w:val="16"/>
        </w:rPr>
        <w:t xml:space="preserve"> o a través de la Mesa de Partes Virtual - SUNAT</w:t>
      </w:r>
      <w:r w:rsidR="00107F95" w:rsidRPr="00DE7586">
        <w:rPr>
          <w:rFonts w:ascii="Arial Narrow" w:hAnsi="Arial Narrow"/>
          <w:sz w:val="16"/>
          <w:szCs w:val="16"/>
        </w:rPr>
        <w:t>,</w:t>
      </w:r>
      <w:r w:rsidR="009263D2" w:rsidRPr="00DE7586">
        <w:rPr>
          <w:rFonts w:ascii="Arial Narrow" w:hAnsi="Arial Narrow"/>
          <w:sz w:val="16"/>
          <w:szCs w:val="16"/>
        </w:rPr>
        <w:t xml:space="preserve"> para solicitar la Resolución notificada. </w:t>
      </w:r>
      <w:r w:rsidR="00107F95" w:rsidRPr="00DE7586">
        <w:rPr>
          <w:rFonts w:ascii="Arial Narrow" w:hAnsi="Arial Narrow"/>
          <w:sz w:val="16"/>
          <w:szCs w:val="16"/>
        </w:rPr>
        <w:t xml:space="preserve">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w:t>
      </w:r>
      <w:r w:rsidR="004A55B7" w:rsidRPr="00DE7586">
        <w:rPr>
          <w:rFonts w:ascii="Arial Narrow" w:hAnsi="Arial Narrow"/>
          <w:sz w:val="16"/>
          <w:szCs w:val="16"/>
        </w:rPr>
        <w:t>a</w:t>
      </w:r>
      <w:r w:rsidR="00107F95" w:rsidRPr="00DE7586">
        <w:rPr>
          <w:rFonts w:ascii="Arial Narrow" w:hAnsi="Arial Narrow"/>
          <w:sz w:val="16"/>
          <w:szCs w:val="16"/>
        </w:rPr>
        <w:t xml:space="preserve">dministración aduanera en conformidad con lo indicado  en los </w:t>
      </w:r>
      <w:r w:rsidR="004E21D2" w:rsidRPr="00DE7586">
        <w:rPr>
          <w:rFonts w:ascii="Arial Narrow" w:hAnsi="Arial Narrow"/>
          <w:sz w:val="16"/>
          <w:szCs w:val="16"/>
        </w:rPr>
        <w:t>artículo</w:t>
      </w:r>
      <w:r w:rsidR="00107F95" w:rsidRPr="00DE7586">
        <w:rPr>
          <w:rFonts w:ascii="Arial Narrow" w:hAnsi="Arial Narrow"/>
          <w:sz w:val="16"/>
          <w:szCs w:val="16"/>
        </w:rPr>
        <w:t xml:space="preserve"> 180° y 186° de la Ley General de Aduanas, aprobado por el Decreto Legislativo N° 1053, concordante con los artículos 235°, 242° y 243° de su Reglamento aprobado por Decreto Supremo N° 010-2009-EF.</w:t>
      </w:r>
    </w:p>
    <w:p w14:paraId="7C4F4703" w14:textId="77777777" w:rsidR="00107F95" w:rsidRPr="00DE7586" w:rsidRDefault="00107F95" w:rsidP="00567819">
      <w:pPr>
        <w:spacing w:after="0" w:line="0" w:lineRule="atLeast"/>
        <w:ind w:left="2268" w:right="2800"/>
        <w:jc w:val="both"/>
        <w:rPr>
          <w:rFonts w:ascii="Arial Narrow" w:hAnsi="Arial Narrow"/>
          <w:sz w:val="16"/>
          <w:szCs w:val="16"/>
        </w:rPr>
      </w:pPr>
    </w:p>
    <w:p w14:paraId="08644929" w14:textId="51438057" w:rsidR="00CC7E62" w:rsidRDefault="00107F95" w:rsidP="00567819">
      <w:pPr>
        <w:spacing w:after="0" w:line="0" w:lineRule="atLeast"/>
        <w:ind w:left="2268" w:right="2800"/>
        <w:jc w:val="both"/>
        <w:rPr>
          <w:rFonts w:ascii="Arial Narrow" w:hAnsi="Arial Narrow"/>
          <w:sz w:val="16"/>
          <w:szCs w:val="16"/>
        </w:rPr>
      </w:pPr>
      <w:r w:rsidRPr="00DE7586">
        <w:rPr>
          <w:rFonts w:ascii="Arial Narrow" w:hAnsi="Arial Narrow"/>
          <w:sz w:val="16"/>
          <w:szCs w:val="16"/>
        </w:rPr>
        <w:t xml:space="preserve">Resolución </w:t>
      </w:r>
      <w:r w:rsidR="00375B00" w:rsidRPr="00DE7586">
        <w:rPr>
          <w:rFonts w:ascii="Arial Narrow" w:hAnsi="Arial Narrow"/>
          <w:sz w:val="16"/>
          <w:szCs w:val="16"/>
        </w:rPr>
        <w:t>Jefatural de División</w:t>
      </w:r>
      <w:r w:rsidRPr="00DE7586">
        <w:rPr>
          <w:rFonts w:ascii="Arial Narrow" w:hAnsi="Arial Narrow"/>
          <w:sz w:val="16"/>
          <w:szCs w:val="16"/>
        </w:rPr>
        <w:t xml:space="preserve"> N° </w:t>
      </w:r>
      <w:r w:rsidR="000D08D4" w:rsidRPr="00DE7586">
        <w:rPr>
          <w:rFonts w:ascii="Arial Narrow" w:hAnsi="Arial Narrow"/>
          <w:sz w:val="16"/>
          <w:szCs w:val="16"/>
        </w:rPr>
        <w:t>172-3G0500/20</w:t>
      </w:r>
      <w:r w:rsidR="00EF0710" w:rsidRPr="00DE7586">
        <w:rPr>
          <w:rFonts w:ascii="Arial Narrow" w:hAnsi="Arial Narrow"/>
          <w:sz w:val="16"/>
          <w:szCs w:val="16"/>
        </w:rPr>
        <w:t>24</w:t>
      </w:r>
      <w:r w:rsidR="000D08D4" w:rsidRPr="00DE7586">
        <w:rPr>
          <w:rFonts w:ascii="Arial Narrow" w:hAnsi="Arial Narrow"/>
          <w:sz w:val="16"/>
          <w:szCs w:val="16"/>
        </w:rPr>
        <w:t>-000</w:t>
      </w:r>
      <w:r w:rsidR="004A55B7" w:rsidRPr="00DE7586">
        <w:rPr>
          <w:rFonts w:ascii="Arial Narrow" w:hAnsi="Arial Narrow"/>
          <w:sz w:val="16"/>
          <w:szCs w:val="16"/>
        </w:rPr>
        <w:t>256</w:t>
      </w:r>
    </w:p>
    <w:tbl>
      <w:tblPr>
        <w:tblStyle w:val="Tablaconcuadrcula"/>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3"/>
        <w:gridCol w:w="2865"/>
      </w:tblGrid>
      <w:tr w:rsidR="00DE7586" w14:paraId="229ACCFC" w14:textId="77777777" w:rsidTr="00567819">
        <w:tc>
          <w:tcPr>
            <w:tcW w:w="2122" w:type="dxa"/>
            <w:tcBorders>
              <w:top w:val="single" w:sz="4" w:space="0" w:color="auto"/>
              <w:left w:val="single" w:sz="4" w:space="0" w:color="auto"/>
              <w:bottom w:val="single" w:sz="4" w:space="0" w:color="auto"/>
            </w:tcBorders>
          </w:tcPr>
          <w:p w14:paraId="4074357F" w14:textId="4BCC5495" w:rsidR="00DE7586" w:rsidRDefault="00DE7586" w:rsidP="00DE7586">
            <w:pPr>
              <w:spacing w:line="0" w:lineRule="atLeast"/>
              <w:jc w:val="both"/>
              <w:rPr>
                <w:rFonts w:ascii="Arial Narrow" w:hAnsi="Arial Narrow"/>
                <w:sz w:val="16"/>
                <w:szCs w:val="16"/>
              </w:rPr>
            </w:pPr>
            <w:r w:rsidRPr="00DE7586">
              <w:rPr>
                <w:rFonts w:ascii="Arial Narrow" w:eastAsia="Times New Roman" w:hAnsi="Arial Narrow" w:cs="Calibri"/>
                <w:color w:val="000000"/>
                <w:sz w:val="16"/>
                <w:szCs w:val="16"/>
                <w:lang w:eastAsia="es-PE"/>
              </w:rPr>
              <w:t>Infractor</w:t>
            </w:r>
          </w:p>
        </w:tc>
        <w:tc>
          <w:tcPr>
            <w:tcW w:w="253" w:type="dxa"/>
            <w:tcBorders>
              <w:top w:val="single" w:sz="4" w:space="0" w:color="auto"/>
              <w:bottom w:val="single" w:sz="4" w:space="0" w:color="auto"/>
            </w:tcBorders>
          </w:tcPr>
          <w:p w14:paraId="45352E11" w14:textId="29039A68" w:rsidR="00DE7586" w:rsidRDefault="00DE7586" w:rsidP="00DE7586">
            <w:pPr>
              <w:spacing w:line="0" w:lineRule="atLeast"/>
              <w:jc w:val="both"/>
              <w:rPr>
                <w:rFonts w:ascii="Arial Narrow" w:hAnsi="Arial Narrow"/>
                <w:sz w:val="16"/>
                <w:szCs w:val="16"/>
              </w:rPr>
            </w:pPr>
            <w:r>
              <w:rPr>
                <w:rFonts w:ascii="Arial Narrow" w:hAnsi="Arial Narrow"/>
                <w:sz w:val="16"/>
                <w:szCs w:val="16"/>
              </w:rPr>
              <w:t>:</w:t>
            </w:r>
          </w:p>
        </w:tc>
        <w:tc>
          <w:tcPr>
            <w:tcW w:w="2865" w:type="dxa"/>
            <w:tcBorders>
              <w:top w:val="single" w:sz="4" w:space="0" w:color="auto"/>
              <w:bottom w:val="single" w:sz="4" w:space="0" w:color="auto"/>
              <w:right w:val="single" w:sz="4" w:space="0" w:color="auto"/>
            </w:tcBorders>
          </w:tcPr>
          <w:p w14:paraId="24350F5B" w14:textId="24F614AF" w:rsidR="00DE7586" w:rsidRDefault="00DE7586" w:rsidP="00DE7586">
            <w:pPr>
              <w:spacing w:line="0" w:lineRule="atLeast"/>
              <w:jc w:val="both"/>
              <w:rPr>
                <w:rFonts w:ascii="Arial Narrow" w:hAnsi="Arial Narrow"/>
                <w:sz w:val="16"/>
                <w:szCs w:val="16"/>
              </w:rPr>
            </w:pPr>
            <w:r w:rsidRPr="00DE7586">
              <w:rPr>
                <w:rFonts w:ascii="Arial Narrow" w:eastAsia="Times New Roman" w:hAnsi="Arial Narrow" w:cs="Calibri"/>
                <w:color w:val="000000"/>
                <w:sz w:val="16"/>
                <w:szCs w:val="16"/>
                <w:lang w:eastAsia="es-PE"/>
              </w:rPr>
              <w:t>LUIS LEONARDO ROJAS RODRIGUEZ</w:t>
            </w:r>
          </w:p>
        </w:tc>
      </w:tr>
      <w:tr w:rsidR="00DE7586" w14:paraId="264FA985" w14:textId="77777777" w:rsidTr="00567819">
        <w:tc>
          <w:tcPr>
            <w:tcW w:w="2122" w:type="dxa"/>
            <w:tcBorders>
              <w:top w:val="single" w:sz="4" w:space="0" w:color="auto"/>
              <w:left w:val="single" w:sz="4" w:space="0" w:color="auto"/>
              <w:bottom w:val="single" w:sz="4" w:space="0" w:color="auto"/>
            </w:tcBorders>
          </w:tcPr>
          <w:p w14:paraId="27B6987F" w14:textId="7C361E06" w:rsidR="00DE7586" w:rsidRDefault="00DE7586" w:rsidP="00DE7586">
            <w:pPr>
              <w:spacing w:line="0" w:lineRule="atLeast"/>
              <w:jc w:val="both"/>
              <w:rPr>
                <w:rFonts w:ascii="Arial Narrow" w:hAnsi="Arial Narrow"/>
                <w:sz w:val="16"/>
                <w:szCs w:val="16"/>
              </w:rPr>
            </w:pPr>
            <w:r w:rsidRPr="00DE7586">
              <w:rPr>
                <w:rFonts w:ascii="Arial Narrow" w:eastAsia="Times New Roman" w:hAnsi="Arial Narrow" w:cs="Calibri"/>
                <w:color w:val="000000"/>
                <w:sz w:val="16"/>
                <w:szCs w:val="16"/>
                <w:lang w:eastAsia="es-PE"/>
              </w:rPr>
              <w:t>Documento de Identidad/</w:t>
            </w:r>
            <w:r>
              <w:rPr>
                <w:rFonts w:ascii="Arial Narrow" w:eastAsia="Times New Roman" w:hAnsi="Arial Narrow" w:cs="Calibri"/>
                <w:color w:val="000000"/>
                <w:sz w:val="16"/>
                <w:szCs w:val="16"/>
                <w:lang w:eastAsia="es-PE"/>
              </w:rPr>
              <w:t xml:space="preserve"> </w:t>
            </w:r>
            <w:r w:rsidRPr="00DE7586">
              <w:rPr>
                <w:rFonts w:ascii="Arial Narrow" w:eastAsia="Times New Roman" w:hAnsi="Arial Narrow" w:cs="Calibri"/>
                <w:color w:val="000000"/>
                <w:sz w:val="16"/>
                <w:szCs w:val="16"/>
                <w:lang w:eastAsia="es-PE"/>
              </w:rPr>
              <w:t>Cedula de Identidad</w:t>
            </w:r>
          </w:p>
        </w:tc>
        <w:tc>
          <w:tcPr>
            <w:tcW w:w="253" w:type="dxa"/>
            <w:tcBorders>
              <w:top w:val="single" w:sz="4" w:space="0" w:color="auto"/>
              <w:bottom w:val="single" w:sz="4" w:space="0" w:color="auto"/>
            </w:tcBorders>
          </w:tcPr>
          <w:p w14:paraId="2304F56A" w14:textId="0A47636C" w:rsidR="00DE7586" w:rsidRDefault="00DE7586" w:rsidP="00DE7586">
            <w:pPr>
              <w:spacing w:line="0" w:lineRule="atLeast"/>
              <w:jc w:val="both"/>
              <w:rPr>
                <w:rFonts w:ascii="Arial Narrow" w:hAnsi="Arial Narrow"/>
                <w:sz w:val="16"/>
                <w:szCs w:val="16"/>
              </w:rPr>
            </w:pPr>
            <w:r>
              <w:rPr>
                <w:rFonts w:ascii="Arial Narrow" w:hAnsi="Arial Narrow"/>
                <w:sz w:val="16"/>
                <w:szCs w:val="16"/>
              </w:rPr>
              <w:t>:</w:t>
            </w:r>
          </w:p>
        </w:tc>
        <w:tc>
          <w:tcPr>
            <w:tcW w:w="2865" w:type="dxa"/>
            <w:tcBorders>
              <w:top w:val="single" w:sz="4" w:space="0" w:color="auto"/>
              <w:bottom w:val="single" w:sz="4" w:space="0" w:color="auto"/>
              <w:right w:val="single" w:sz="4" w:space="0" w:color="auto"/>
            </w:tcBorders>
          </w:tcPr>
          <w:p w14:paraId="10479C9B" w14:textId="3CB452E1" w:rsidR="00DE7586" w:rsidRDefault="00DE7586" w:rsidP="00DE7586">
            <w:pPr>
              <w:spacing w:line="0" w:lineRule="atLeast"/>
              <w:jc w:val="both"/>
              <w:rPr>
                <w:rFonts w:ascii="Arial Narrow" w:hAnsi="Arial Narrow"/>
                <w:sz w:val="16"/>
                <w:szCs w:val="16"/>
              </w:rPr>
            </w:pPr>
            <w:r w:rsidRPr="00DE7586">
              <w:rPr>
                <w:rFonts w:ascii="Arial Narrow" w:hAnsi="Arial Narrow"/>
                <w:sz w:val="16"/>
                <w:szCs w:val="16"/>
              </w:rPr>
              <w:t>16892915</w:t>
            </w:r>
          </w:p>
        </w:tc>
      </w:tr>
      <w:tr w:rsidR="00DE7586" w14:paraId="53C16649" w14:textId="77777777" w:rsidTr="00567819">
        <w:tc>
          <w:tcPr>
            <w:tcW w:w="2122" w:type="dxa"/>
            <w:tcBorders>
              <w:top w:val="single" w:sz="4" w:space="0" w:color="auto"/>
              <w:left w:val="single" w:sz="4" w:space="0" w:color="auto"/>
              <w:bottom w:val="single" w:sz="4" w:space="0" w:color="auto"/>
            </w:tcBorders>
          </w:tcPr>
          <w:p w14:paraId="59272A88" w14:textId="6B616D5A" w:rsidR="00DE7586" w:rsidRDefault="00DE7586" w:rsidP="00DE7586">
            <w:pPr>
              <w:spacing w:line="0" w:lineRule="atLeast"/>
              <w:jc w:val="both"/>
              <w:rPr>
                <w:rFonts w:ascii="Arial Narrow" w:hAnsi="Arial Narrow"/>
                <w:sz w:val="16"/>
                <w:szCs w:val="16"/>
              </w:rPr>
            </w:pPr>
            <w:r w:rsidRPr="00DE7586">
              <w:rPr>
                <w:rFonts w:ascii="Arial Narrow" w:eastAsia="Times New Roman" w:hAnsi="Arial Narrow" w:cs="Calibri"/>
                <w:color w:val="000000"/>
                <w:sz w:val="16"/>
                <w:szCs w:val="16"/>
                <w:lang w:eastAsia="es-PE"/>
              </w:rPr>
              <w:t>Acta de Incautación</w:t>
            </w:r>
          </w:p>
        </w:tc>
        <w:tc>
          <w:tcPr>
            <w:tcW w:w="253" w:type="dxa"/>
            <w:tcBorders>
              <w:top w:val="single" w:sz="4" w:space="0" w:color="auto"/>
              <w:bottom w:val="single" w:sz="4" w:space="0" w:color="auto"/>
            </w:tcBorders>
          </w:tcPr>
          <w:p w14:paraId="4E978DBB" w14:textId="6FBDDF54" w:rsidR="00DE7586" w:rsidRDefault="00DE7586" w:rsidP="00DE7586">
            <w:pPr>
              <w:spacing w:line="0" w:lineRule="atLeast"/>
              <w:jc w:val="both"/>
              <w:rPr>
                <w:rFonts w:ascii="Arial Narrow" w:hAnsi="Arial Narrow"/>
                <w:sz w:val="16"/>
                <w:szCs w:val="16"/>
              </w:rPr>
            </w:pPr>
            <w:r>
              <w:rPr>
                <w:rFonts w:ascii="Arial Narrow" w:hAnsi="Arial Narrow"/>
                <w:sz w:val="16"/>
                <w:szCs w:val="16"/>
              </w:rPr>
              <w:t>:</w:t>
            </w:r>
          </w:p>
        </w:tc>
        <w:tc>
          <w:tcPr>
            <w:tcW w:w="2865" w:type="dxa"/>
            <w:tcBorders>
              <w:top w:val="single" w:sz="4" w:space="0" w:color="auto"/>
              <w:bottom w:val="single" w:sz="4" w:space="0" w:color="auto"/>
              <w:right w:val="single" w:sz="4" w:space="0" w:color="auto"/>
            </w:tcBorders>
          </w:tcPr>
          <w:p w14:paraId="27250F1C" w14:textId="1CC9CC01" w:rsidR="00DE7586" w:rsidRDefault="00DE7586" w:rsidP="00DE7586">
            <w:pPr>
              <w:spacing w:line="0" w:lineRule="atLeast"/>
              <w:jc w:val="both"/>
              <w:rPr>
                <w:rFonts w:ascii="Arial Narrow" w:hAnsi="Arial Narrow"/>
                <w:sz w:val="16"/>
                <w:szCs w:val="16"/>
              </w:rPr>
            </w:pPr>
            <w:r w:rsidRPr="00DE7586">
              <w:rPr>
                <w:rFonts w:ascii="Arial Narrow" w:hAnsi="Arial Narrow"/>
                <w:sz w:val="16"/>
                <w:szCs w:val="16"/>
              </w:rPr>
              <w:t>172-0201 - 2024 -000041 de fecha 9.2.2024</w:t>
            </w:r>
          </w:p>
        </w:tc>
      </w:tr>
      <w:tr w:rsidR="00DE7586" w14:paraId="79F19560" w14:textId="77777777" w:rsidTr="00567819">
        <w:tc>
          <w:tcPr>
            <w:tcW w:w="2122" w:type="dxa"/>
            <w:tcBorders>
              <w:top w:val="single" w:sz="4" w:space="0" w:color="auto"/>
              <w:left w:val="single" w:sz="4" w:space="0" w:color="auto"/>
              <w:bottom w:val="single" w:sz="4" w:space="0" w:color="auto"/>
            </w:tcBorders>
          </w:tcPr>
          <w:p w14:paraId="3D7DD271" w14:textId="4D8A9D49" w:rsidR="00DE7586" w:rsidRDefault="00DE7586" w:rsidP="00DE7586">
            <w:pPr>
              <w:spacing w:line="0" w:lineRule="atLeast"/>
              <w:jc w:val="both"/>
              <w:rPr>
                <w:rFonts w:ascii="Arial Narrow" w:hAnsi="Arial Narrow"/>
                <w:sz w:val="16"/>
                <w:szCs w:val="16"/>
              </w:rPr>
            </w:pPr>
            <w:r w:rsidRPr="00DE7586">
              <w:rPr>
                <w:rFonts w:ascii="Arial Narrow" w:eastAsia="Times New Roman" w:hAnsi="Arial Narrow" w:cs="Calibri"/>
                <w:color w:val="000000"/>
                <w:sz w:val="16"/>
                <w:szCs w:val="16"/>
                <w:lang w:eastAsia="es-PE"/>
              </w:rPr>
              <w:t>Resolución Jefatural de División</w:t>
            </w:r>
          </w:p>
        </w:tc>
        <w:tc>
          <w:tcPr>
            <w:tcW w:w="253" w:type="dxa"/>
            <w:tcBorders>
              <w:top w:val="single" w:sz="4" w:space="0" w:color="auto"/>
              <w:bottom w:val="single" w:sz="4" w:space="0" w:color="auto"/>
            </w:tcBorders>
          </w:tcPr>
          <w:p w14:paraId="1EFEFD50" w14:textId="622D8316" w:rsidR="00DE7586" w:rsidRDefault="00DE7586" w:rsidP="00DE7586">
            <w:pPr>
              <w:spacing w:line="0" w:lineRule="atLeast"/>
              <w:jc w:val="both"/>
              <w:rPr>
                <w:rFonts w:ascii="Arial Narrow" w:hAnsi="Arial Narrow"/>
                <w:sz w:val="16"/>
                <w:szCs w:val="16"/>
              </w:rPr>
            </w:pPr>
            <w:r>
              <w:rPr>
                <w:rFonts w:ascii="Arial Narrow" w:hAnsi="Arial Narrow"/>
                <w:sz w:val="16"/>
                <w:szCs w:val="16"/>
              </w:rPr>
              <w:t>:</w:t>
            </w:r>
          </w:p>
        </w:tc>
        <w:tc>
          <w:tcPr>
            <w:tcW w:w="2865" w:type="dxa"/>
            <w:tcBorders>
              <w:top w:val="single" w:sz="4" w:space="0" w:color="auto"/>
              <w:bottom w:val="single" w:sz="4" w:space="0" w:color="auto"/>
              <w:right w:val="single" w:sz="4" w:space="0" w:color="auto"/>
            </w:tcBorders>
          </w:tcPr>
          <w:p w14:paraId="3748ABBF" w14:textId="4C1D8B14" w:rsidR="00DE7586" w:rsidRPr="00DE7586" w:rsidRDefault="00DE7586" w:rsidP="00DE7586">
            <w:pPr>
              <w:spacing w:line="0" w:lineRule="atLeast"/>
              <w:rPr>
                <w:rFonts w:ascii="Arial Narrow" w:eastAsia="Times New Roman" w:hAnsi="Arial Narrow" w:cs="Calibri"/>
                <w:color w:val="000000"/>
                <w:sz w:val="16"/>
                <w:szCs w:val="16"/>
                <w:lang w:eastAsia="es-PE"/>
              </w:rPr>
            </w:pPr>
            <w:r w:rsidRPr="00DE7586">
              <w:rPr>
                <w:rFonts w:ascii="Arial Narrow" w:eastAsia="Times New Roman" w:hAnsi="Arial Narrow" w:cs="Calibri"/>
                <w:color w:val="000000"/>
                <w:sz w:val="16"/>
                <w:szCs w:val="16"/>
                <w:lang w:eastAsia="es-PE"/>
              </w:rPr>
              <w:t>172-3G0500/2024-000256 del</w:t>
            </w:r>
            <w:r>
              <w:rPr>
                <w:rFonts w:ascii="Arial Narrow" w:eastAsia="Times New Roman" w:hAnsi="Arial Narrow" w:cs="Calibri"/>
                <w:color w:val="000000"/>
                <w:sz w:val="16"/>
                <w:szCs w:val="16"/>
                <w:lang w:eastAsia="es-PE"/>
              </w:rPr>
              <w:t xml:space="preserve"> </w:t>
            </w:r>
            <w:r w:rsidRPr="00DE7586">
              <w:rPr>
                <w:rFonts w:ascii="Arial Narrow" w:eastAsia="Times New Roman" w:hAnsi="Arial Narrow" w:cs="Calibri"/>
                <w:color w:val="000000"/>
                <w:sz w:val="16"/>
                <w:szCs w:val="16"/>
                <w:lang w:eastAsia="es-PE"/>
              </w:rPr>
              <w:t>2.5.2024</w:t>
            </w:r>
          </w:p>
        </w:tc>
      </w:tr>
      <w:tr w:rsidR="00DE7586" w14:paraId="7B30F406" w14:textId="77777777" w:rsidTr="00567819">
        <w:tc>
          <w:tcPr>
            <w:tcW w:w="5240" w:type="dxa"/>
            <w:gridSpan w:val="3"/>
            <w:tcBorders>
              <w:top w:val="single" w:sz="4" w:space="0" w:color="auto"/>
              <w:left w:val="single" w:sz="4" w:space="0" w:color="auto"/>
              <w:bottom w:val="single" w:sz="4" w:space="0" w:color="auto"/>
              <w:right w:val="single" w:sz="4" w:space="0" w:color="auto"/>
            </w:tcBorders>
          </w:tcPr>
          <w:p w14:paraId="662A753D" w14:textId="77777777" w:rsidR="00DE7586" w:rsidRDefault="00DE7586" w:rsidP="00DE7586">
            <w:pPr>
              <w:spacing w:line="0" w:lineRule="atLeast"/>
              <w:jc w:val="both"/>
              <w:rPr>
                <w:rFonts w:ascii="Arial Narrow" w:hAnsi="Arial Narrow"/>
                <w:sz w:val="16"/>
                <w:szCs w:val="16"/>
              </w:rPr>
            </w:pPr>
            <w:r w:rsidRPr="00DE7586">
              <w:rPr>
                <w:rFonts w:ascii="Arial Narrow" w:eastAsia="Times New Roman" w:hAnsi="Arial Narrow" w:cs="Calibri"/>
                <w:color w:val="000000"/>
                <w:sz w:val="16"/>
                <w:szCs w:val="16"/>
                <w:lang w:eastAsia="es-PE"/>
              </w:rPr>
              <w:t>Determinación</w:t>
            </w:r>
            <w:r>
              <w:rPr>
                <w:rFonts w:ascii="Arial Narrow" w:hAnsi="Arial Narrow"/>
                <w:sz w:val="16"/>
                <w:szCs w:val="16"/>
              </w:rPr>
              <w:t>:</w:t>
            </w:r>
          </w:p>
          <w:p w14:paraId="05E09DCC" w14:textId="77777777" w:rsidR="00DE7586" w:rsidRPr="00DE7586" w:rsidRDefault="00DE7586" w:rsidP="00DE7586">
            <w:pPr>
              <w:spacing w:line="0" w:lineRule="atLeast"/>
              <w:jc w:val="both"/>
              <w:rPr>
                <w:rFonts w:ascii="Arial Narrow" w:hAnsi="Arial Narrow"/>
                <w:sz w:val="16"/>
                <w:szCs w:val="16"/>
              </w:rPr>
            </w:pPr>
            <w:r w:rsidRPr="00DE7586">
              <w:rPr>
                <w:rFonts w:ascii="Arial Narrow" w:hAnsi="Arial Narrow"/>
                <w:sz w:val="16"/>
                <w:szCs w:val="16"/>
              </w:rPr>
              <w:t xml:space="preserve">ARTICULO PRIMERO. - Declarar IMPROCEDENTE la solicitud de devolución de la mercancía descrita en el Acta de Incautación N° 172-0201-2024-000041, presentada por LUÍS LEONARDO ROJAS RODRÍGUEZ, identificado con cédula de identidad N° 168929153, mediante Expediente N° 172-URD999-2024-185697 de fecha 27.2.2023. </w:t>
            </w:r>
          </w:p>
          <w:p w14:paraId="294C9D08" w14:textId="15125F86" w:rsidR="00DE7586" w:rsidRDefault="00DE7586" w:rsidP="00DE7586">
            <w:pPr>
              <w:spacing w:line="0" w:lineRule="atLeast"/>
              <w:jc w:val="both"/>
              <w:rPr>
                <w:rFonts w:ascii="Arial Narrow" w:hAnsi="Arial Narrow"/>
                <w:sz w:val="16"/>
                <w:szCs w:val="16"/>
              </w:rPr>
            </w:pPr>
            <w:r w:rsidRPr="00DE7586">
              <w:rPr>
                <w:rFonts w:ascii="Arial Narrow" w:hAnsi="Arial Narrow"/>
                <w:sz w:val="16"/>
                <w:szCs w:val="16"/>
              </w:rPr>
              <w:t>ARTÍCULO SEGUNDO. - Declarar el COMISO del vehículo con placa de rodaje chilena FRFV28 consignado en el Acta de Incautación N° 172-0201-2024-000041 de fecha 9.2.2024, por lo fundamentos de hecho y derechos expuestos en la parte considerativa de la presente resolución.</w:t>
            </w:r>
          </w:p>
        </w:tc>
      </w:tr>
    </w:tbl>
    <w:p w14:paraId="6A5F2799" w14:textId="77777777" w:rsidR="000A101D" w:rsidRPr="00B90542" w:rsidRDefault="000A101D" w:rsidP="00567819">
      <w:pPr>
        <w:spacing w:after="0" w:line="0" w:lineRule="atLeast"/>
        <w:ind w:left="2268"/>
        <w:jc w:val="both"/>
        <w:rPr>
          <w:rFonts w:ascii="Arial Narrow" w:hAnsi="Arial Narrow"/>
          <w:sz w:val="16"/>
          <w:szCs w:val="16"/>
        </w:rPr>
      </w:pPr>
    </w:p>
    <w:p w14:paraId="7710FE90" w14:textId="557F9ACF" w:rsidR="00DE7586" w:rsidRPr="00B90542" w:rsidRDefault="00DE7586" w:rsidP="00567819">
      <w:pPr>
        <w:spacing w:after="0" w:line="240" w:lineRule="auto"/>
        <w:ind w:left="2268"/>
        <w:jc w:val="both"/>
        <w:rPr>
          <w:rFonts w:ascii="Arial Narrow" w:hAnsi="Arial Narrow"/>
          <w:sz w:val="16"/>
          <w:szCs w:val="16"/>
        </w:rPr>
      </w:pPr>
      <w:r w:rsidRPr="00B90542">
        <w:rPr>
          <w:rFonts w:ascii="Arial Narrow" w:hAnsi="Arial Narrow"/>
          <w:sz w:val="16"/>
          <w:szCs w:val="16"/>
        </w:rPr>
        <w:t>Resolución de División Nº 000045-2024-SUNAT/3G0800</w:t>
      </w:r>
    </w:p>
    <w:tbl>
      <w:tblPr>
        <w:tblStyle w:val="Tablaconcuadrcula"/>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65"/>
        <w:gridCol w:w="2995"/>
      </w:tblGrid>
      <w:tr w:rsidR="00B90542" w:rsidRPr="00B90542" w14:paraId="1DCF8B20" w14:textId="77777777" w:rsidTr="00567819">
        <w:tc>
          <w:tcPr>
            <w:tcW w:w="1980" w:type="dxa"/>
            <w:tcBorders>
              <w:top w:val="single" w:sz="4" w:space="0" w:color="auto"/>
              <w:left w:val="single" w:sz="4" w:space="0" w:color="auto"/>
              <w:bottom w:val="single" w:sz="4" w:space="0" w:color="auto"/>
            </w:tcBorders>
          </w:tcPr>
          <w:p w14:paraId="194646B4" w14:textId="0360AFB4" w:rsidR="00DE7586" w:rsidRPr="00B90542" w:rsidRDefault="00DE7586" w:rsidP="00B90542">
            <w:pPr>
              <w:spacing w:line="0" w:lineRule="atLeast"/>
              <w:jc w:val="both"/>
              <w:rPr>
                <w:rFonts w:ascii="Arial Narrow" w:hAnsi="Arial Narrow" w:cs="Arial"/>
                <w:sz w:val="16"/>
                <w:szCs w:val="16"/>
              </w:rPr>
            </w:pPr>
            <w:r w:rsidRPr="00B90542">
              <w:rPr>
                <w:rFonts w:ascii="Arial Narrow" w:eastAsia="Times New Roman" w:hAnsi="Arial Narrow" w:cs="Arial"/>
                <w:color w:val="000000"/>
                <w:sz w:val="16"/>
                <w:szCs w:val="16"/>
                <w:lang w:eastAsia="es-PE"/>
              </w:rPr>
              <w:t>Infractor</w:t>
            </w:r>
          </w:p>
        </w:tc>
        <w:tc>
          <w:tcPr>
            <w:tcW w:w="265" w:type="dxa"/>
            <w:tcBorders>
              <w:top w:val="single" w:sz="4" w:space="0" w:color="auto"/>
              <w:bottom w:val="single" w:sz="4" w:space="0" w:color="auto"/>
            </w:tcBorders>
          </w:tcPr>
          <w:p w14:paraId="38132B5A" w14:textId="2D9810D8" w:rsidR="00DE7586" w:rsidRPr="00B90542" w:rsidRDefault="00DE7586" w:rsidP="00B90542">
            <w:pPr>
              <w:spacing w:line="0" w:lineRule="atLeast"/>
              <w:jc w:val="both"/>
              <w:rPr>
                <w:rFonts w:ascii="Arial Narrow" w:hAnsi="Arial Narrow" w:cs="Arial"/>
                <w:sz w:val="16"/>
                <w:szCs w:val="16"/>
              </w:rPr>
            </w:pPr>
            <w:r w:rsidRPr="00B90542">
              <w:rPr>
                <w:rFonts w:ascii="Arial Narrow" w:hAnsi="Arial Narrow" w:cs="Arial"/>
                <w:sz w:val="16"/>
                <w:szCs w:val="16"/>
              </w:rPr>
              <w:t>:</w:t>
            </w:r>
          </w:p>
        </w:tc>
        <w:tc>
          <w:tcPr>
            <w:tcW w:w="2995" w:type="dxa"/>
            <w:tcBorders>
              <w:top w:val="single" w:sz="4" w:space="0" w:color="auto"/>
              <w:bottom w:val="single" w:sz="4" w:space="0" w:color="auto"/>
              <w:right w:val="single" w:sz="4" w:space="0" w:color="auto"/>
            </w:tcBorders>
          </w:tcPr>
          <w:p w14:paraId="5272EBDE" w14:textId="5953EE72" w:rsidR="00DE7586" w:rsidRPr="00B90542" w:rsidRDefault="00DE7586" w:rsidP="00B90542">
            <w:pPr>
              <w:spacing w:line="0" w:lineRule="atLeast"/>
              <w:jc w:val="both"/>
              <w:rPr>
                <w:rFonts w:ascii="Arial Narrow" w:hAnsi="Arial Narrow" w:cs="Arial"/>
                <w:sz w:val="16"/>
                <w:szCs w:val="16"/>
              </w:rPr>
            </w:pPr>
            <w:r w:rsidRPr="00B90542">
              <w:rPr>
                <w:rFonts w:ascii="Arial Narrow" w:eastAsia="Times New Roman" w:hAnsi="Arial Narrow" w:cs="Arial"/>
                <w:color w:val="000000"/>
                <w:sz w:val="16"/>
                <w:szCs w:val="16"/>
                <w:lang w:eastAsia="es-PE"/>
              </w:rPr>
              <w:t>CARDENAS CASTILLO CARLOS</w:t>
            </w:r>
          </w:p>
        </w:tc>
      </w:tr>
      <w:tr w:rsidR="00B90542" w:rsidRPr="00B90542" w14:paraId="4EB029E8" w14:textId="77777777" w:rsidTr="00567819">
        <w:tc>
          <w:tcPr>
            <w:tcW w:w="1980" w:type="dxa"/>
            <w:tcBorders>
              <w:top w:val="single" w:sz="4" w:space="0" w:color="auto"/>
              <w:left w:val="single" w:sz="4" w:space="0" w:color="auto"/>
              <w:bottom w:val="single" w:sz="4" w:space="0" w:color="auto"/>
            </w:tcBorders>
          </w:tcPr>
          <w:p w14:paraId="3E191E8C" w14:textId="124CD62A" w:rsidR="00DE7586" w:rsidRPr="00B90542" w:rsidRDefault="00DE7586" w:rsidP="00B90542">
            <w:pPr>
              <w:spacing w:line="0" w:lineRule="atLeast"/>
              <w:jc w:val="both"/>
              <w:rPr>
                <w:rFonts w:ascii="Arial Narrow" w:hAnsi="Arial Narrow" w:cs="Arial"/>
                <w:sz w:val="16"/>
                <w:szCs w:val="16"/>
              </w:rPr>
            </w:pPr>
            <w:r w:rsidRPr="00B90542">
              <w:rPr>
                <w:rFonts w:ascii="Arial Narrow" w:eastAsia="Times New Roman" w:hAnsi="Arial Narrow" w:cs="Arial"/>
                <w:color w:val="000000"/>
                <w:sz w:val="16"/>
                <w:szCs w:val="16"/>
                <w:lang w:eastAsia="es-PE"/>
              </w:rPr>
              <w:t>Documento de Identificación</w:t>
            </w:r>
          </w:p>
        </w:tc>
        <w:tc>
          <w:tcPr>
            <w:tcW w:w="265" w:type="dxa"/>
            <w:tcBorders>
              <w:top w:val="single" w:sz="4" w:space="0" w:color="auto"/>
              <w:bottom w:val="single" w:sz="4" w:space="0" w:color="auto"/>
            </w:tcBorders>
          </w:tcPr>
          <w:p w14:paraId="64B5A51E" w14:textId="3DCAEB63" w:rsidR="00DE7586" w:rsidRPr="00B90542" w:rsidRDefault="00DE7586" w:rsidP="00B90542">
            <w:pPr>
              <w:spacing w:line="0" w:lineRule="atLeast"/>
              <w:jc w:val="both"/>
              <w:rPr>
                <w:rFonts w:ascii="Arial Narrow" w:hAnsi="Arial Narrow" w:cs="Arial"/>
                <w:sz w:val="16"/>
                <w:szCs w:val="16"/>
              </w:rPr>
            </w:pPr>
            <w:r w:rsidRPr="00B90542">
              <w:rPr>
                <w:rFonts w:ascii="Arial Narrow" w:hAnsi="Arial Narrow" w:cs="Arial"/>
                <w:sz w:val="16"/>
                <w:szCs w:val="16"/>
              </w:rPr>
              <w:t>:</w:t>
            </w:r>
          </w:p>
        </w:tc>
        <w:tc>
          <w:tcPr>
            <w:tcW w:w="2995" w:type="dxa"/>
            <w:tcBorders>
              <w:top w:val="single" w:sz="4" w:space="0" w:color="auto"/>
              <w:bottom w:val="single" w:sz="4" w:space="0" w:color="auto"/>
              <w:right w:val="single" w:sz="4" w:space="0" w:color="auto"/>
            </w:tcBorders>
          </w:tcPr>
          <w:p w14:paraId="278C5BF2" w14:textId="5D4ACFE0" w:rsidR="00DE7586" w:rsidRPr="00B90542" w:rsidRDefault="00DE7586" w:rsidP="00B90542">
            <w:pPr>
              <w:spacing w:line="0" w:lineRule="atLeast"/>
              <w:jc w:val="both"/>
              <w:rPr>
                <w:rFonts w:ascii="Arial Narrow" w:hAnsi="Arial Narrow" w:cs="Arial"/>
                <w:sz w:val="16"/>
                <w:szCs w:val="16"/>
              </w:rPr>
            </w:pPr>
            <w:r w:rsidRPr="00B90542">
              <w:rPr>
                <w:rFonts w:ascii="Arial Narrow" w:eastAsia="Times New Roman" w:hAnsi="Arial Narrow" w:cs="Arial"/>
                <w:sz w:val="16"/>
                <w:szCs w:val="16"/>
                <w:lang w:eastAsia="es-PE"/>
              </w:rPr>
              <w:t>CED 522167289</w:t>
            </w:r>
          </w:p>
        </w:tc>
      </w:tr>
      <w:tr w:rsidR="00B90542" w:rsidRPr="00B90542" w14:paraId="54EA8764" w14:textId="77777777" w:rsidTr="00567819">
        <w:tc>
          <w:tcPr>
            <w:tcW w:w="1980" w:type="dxa"/>
            <w:tcBorders>
              <w:top w:val="single" w:sz="4" w:space="0" w:color="auto"/>
              <w:left w:val="single" w:sz="4" w:space="0" w:color="auto"/>
              <w:bottom w:val="single" w:sz="4" w:space="0" w:color="auto"/>
            </w:tcBorders>
          </w:tcPr>
          <w:p w14:paraId="57447EB3" w14:textId="5BD01673" w:rsidR="00DE7586" w:rsidRPr="00B90542" w:rsidRDefault="00DE7586" w:rsidP="00B90542">
            <w:pPr>
              <w:spacing w:line="0" w:lineRule="atLeast"/>
              <w:jc w:val="both"/>
              <w:rPr>
                <w:rFonts w:ascii="Arial Narrow" w:hAnsi="Arial Narrow" w:cs="Arial"/>
                <w:sz w:val="16"/>
                <w:szCs w:val="16"/>
              </w:rPr>
            </w:pPr>
            <w:r w:rsidRPr="00B90542">
              <w:rPr>
                <w:rFonts w:ascii="Arial Narrow" w:eastAsia="Times New Roman" w:hAnsi="Arial Narrow" w:cs="Arial"/>
                <w:color w:val="000000"/>
                <w:sz w:val="16"/>
                <w:szCs w:val="16"/>
                <w:lang w:eastAsia="es-PE"/>
              </w:rPr>
              <w:t>Acta de Incautación</w:t>
            </w:r>
          </w:p>
        </w:tc>
        <w:tc>
          <w:tcPr>
            <w:tcW w:w="265" w:type="dxa"/>
            <w:tcBorders>
              <w:top w:val="single" w:sz="4" w:space="0" w:color="auto"/>
              <w:bottom w:val="single" w:sz="4" w:space="0" w:color="auto"/>
            </w:tcBorders>
          </w:tcPr>
          <w:p w14:paraId="79BD7590" w14:textId="2CB5024B" w:rsidR="00DE7586" w:rsidRPr="00B90542" w:rsidRDefault="00DE7586" w:rsidP="00B90542">
            <w:pPr>
              <w:spacing w:line="0" w:lineRule="atLeast"/>
              <w:jc w:val="both"/>
              <w:rPr>
                <w:rFonts w:ascii="Arial Narrow" w:hAnsi="Arial Narrow" w:cs="Arial"/>
                <w:sz w:val="16"/>
                <w:szCs w:val="16"/>
              </w:rPr>
            </w:pPr>
            <w:r w:rsidRPr="00B90542">
              <w:rPr>
                <w:rFonts w:ascii="Arial Narrow" w:hAnsi="Arial Narrow" w:cs="Arial"/>
                <w:sz w:val="16"/>
                <w:szCs w:val="16"/>
              </w:rPr>
              <w:t>:</w:t>
            </w:r>
          </w:p>
        </w:tc>
        <w:tc>
          <w:tcPr>
            <w:tcW w:w="2995" w:type="dxa"/>
            <w:tcBorders>
              <w:top w:val="single" w:sz="4" w:space="0" w:color="auto"/>
              <w:bottom w:val="single" w:sz="4" w:space="0" w:color="auto"/>
              <w:right w:val="single" w:sz="4" w:space="0" w:color="auto"/>
            </w:tcBorders>
          </w:tcPr>
          <w:p w14:paraId="7453FBA9" w14:textId="34EF10B5" w:rsidR="00DE7586" w:rsidRPr="00B90542" w:rsidRDefault="00DE7586" w:rsidP="00B90542">
            <w:pPr>
              <w:spacing w:line="0" w:lineRule="atLeast"/>
              <w:jc w:val="both"/>
              <w:rPr>
                <w:rFonts w:ascii="Arial Narrow" w:hAnsi="Arial Narrow" w:cs="Arial"/>
                <w:sz w:val="16"/>
                <w:szCs w:val="16"/>
              </w:rPr>
            </w:pPr>
            <w:r w:rsidRPr="00B90542">
              <w:rPr>
                <w:rFonts w:ascii="Arial Narrow" w:eastAsia="Times New Roman" w:hAnsi="Arial Narrow" w:cs="Arial"/>
                <w:color w:val="000000"/>
                <w:sz w:val="16"/>
                <w:szCs w:val="16"/>
                <w:lang w:eastAsia="es-PE"/>
              </w:rPr>
              <w:t>172-0204-2020-000246</w:t>
            </w:r>
          </w:p>
        </w:tc>
      </w:tr>
      <w:tr w:rsidR="00DE7586" w:rsidRPr="00B90542" w14:paraId="7176A46C" w14:textId="77777777" w:rsidTr="00567819">
        <w:tc>
          <w:tcPr>
            <w:tcW w:w="5240" w:type="dxa"/>
            <w:gridSpan w:val="3"/>
            <w:tcBorders>
              <w:top w:val="single" w:sz="4" w:space="0" w:color="auto"/>
              <w:left w:val="single" w:sz="4" w:space="0" w:color="auto"/>
              <w:bottom w:val="single" w:sz="4" w:space="0" w:color="auto"/>
              <w:right w:val="single" w:sz="4" w:space="0" w:color="auto"/>
            </w:tcBorders>
          </w:tcPr>
          <w:p w14:paraId="036AFBBF" w14:textId="31A2F19B" w:rsidR="00DE7586" w:rsidRPr="00B90542" w:rsidRDefault="00DE7586" w:rsidP="00B90542">
            <w:pPr>
              <w:spacing w:line="0" w:lineRule="atLeast"/>
              <w:jc w:val="both"/>
              <w:rPr>
                <w:rFonts w:ascii="Arial Narrow" w:hAnsi="Arial Narrow" w:cs="Arial"/>
                <w:sz w:val="16"/>
                <w:szCs w:val="16"/>
              </w:rPr>
            </w:pPr>
            <w:r w:rsidRPr="00B90542">
              <w:rPr>
                <w:rFonts w:ascii="Arial Narrow" w:eastAsia="Times New Roman" w:hAnsi="Arial Narrow" w:cs="Arial"/>
                <w:color w:val="000000"/>
                <w:sz w:val="16"/>
                <w:szCs w:val="16"/>
                <w:lang w:eastAsia="es-PE"/>
              </w:rPr>
              <w:t>Determinación</w:t>
            </w:r>
            <w:r w:rsidRPr="00B90542">
              <w:rPr>
                <w:rFonts w:ascii="Arial Narrow" w:hAnsi="Arial Narrow" w:cs="Arial"/>
                <w:sz w:val="16"/>
                <w:szCs w:val="16"/>
              </w:rPr>
              <w:t>:</w:t>
            </w:r>
          </w:p>
          <w:p w14:paraId="463EC775" w14:textId="52222825" w:rsidR="00DE7586" w:rsidRPr="00B90542" w:rsidRDefault="00DE7586" w:rsidP="00B90542">
            <w:pPr>
              <w:spacing w:line="0" w:lineRule="atLeast"/>
              <w:jc w:val="both"/>
              <w:rPr>
                <w:rFonts w:ascii="Arial Narrow" w:hAnsi="Arial Narrow" w:cs="Arial"/>
                <w:sz w:val="16"/>
                <w:szCs w:val="16"/>
              </w:rPr>
            </w:pPr>
            <w:r w:rsidRPr="00B90542">
              <w:rPr>
                <w:rFonts w:ascii="Arial Narrow" w:eastAsia="Times New Roman" w:hAnsi="Arial Narrow" w:cs="Arial"/>
                <w:color w:val="000000"/>
                <w:sz w:val="16"/>
                <w:szCs w:val="16"/>
                <w:lang w:eastAsia="es-PE"/>
              </w:rPr>
              <w:t>ARTICULO ÚNICO: Declarar el COMISO de las mercancías descritas en las actas de incautación detalladas en el Anexo I – Actas De Incautación De Mercancía No Declarada En Control De Equipaje – desde el 06 de enero de 2020 al 24 de diciembre de 2020 que forma parte de la presente resolución, de conformidad con el artículo 200º inciso j) de la Ley General de Aduanas y el Código CO10 de la Sección IV de la Tabla de Sanciones Aplicables a las Infracciones previstas en la Ley General de Aduanas - Decreto Supremo N° 418 -2019 -EF</w:t>
            </w:r>
          </w:p>
        </w:tc>
      </w:tr>
    </w:tbl>
    <w:p w14:paraId="7B5B7C82" w14:textId="003D0E24" w:rsidR="00DE7586" w:rsidRPr="00DE7586" w:rsidRDefault="00DE7586" w:rsidP="00567819">
      <w:pPr>
        <w:spacing w:after="0" w:line="240" w:lineRule="auto"/>
        <w:jc w:val="both"/>
        <w:rPr>
          <w:rFonts w:ascii="Arial Narrow" w:hAnsi="Arial Narrow"/>
          <w:sz w:val="16"/>
          <w:szCs w:val="16"/>
        </w:rPr>
      </w:pPr>
    </w:p>
    <w:sectPr w:rsidR="00DE7586" w:rsidRPr="00DE7586" w:rsidSect="00567819">
      <w:pgSz w:w="11900" w:h="16840"/>
      <w:pgMar w:top="1440" w:right="1077" w:bottom="144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0F05" w14:textId="77777777" w:rsidR="003D3798" w:rsidRDefault="003D3798" w:rsidP="005319CE">
      <w:pPr>
        <w:spacing w:after="0" w:line="240" w:lineRule="auto"/>
      </w:pPr>
      <w:r>
        <w:separator/>
      </w:r>
    </w:p>
  </w:endnote>
  <w:endnote w:type="continuationSeparator" w:id="0">
    <w:p w14:paraId="7F11AE9E" w14:textId="77777777" w:rsidR="003D3798" w:rsidRDefault="003D3798"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05C7" w14:textId="77777777" w:rsidR="003D3798" w:rsidRDefault="003D3798" w:rsidP="005319CE">
      <w:pPr>
        <w:spacing w:after="0" w:line="240" w:lineRule="auto"/>
      </w:pPr>
      <w:r>
        <w:separator/>
      </w:r>
    </w:p>
  </w:footnote>
  <w:footnote w:type="continuationSeparator" w:id="0">
    <w:p w14:paraId="49C12CF3" w14:textId="77777777" w:rsidR="003D3798" w:rsidRDefault="003D3798"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04EEF"/>
    <w:rsid w:val="0002219F"/>
    <w:rsid w:val="000271A1"/>
    <w:rsid w:val="000507E0"/>
    <w:rsid w:val="000618A2"/>
    <w:rsid w:val="000A101D"/>
    <w:rsid w:val="000D08D4"/>
    <w:rsid w:val="000D76D9"/>
    <w:rsid w:val="000E7934"/>
    <w:rsid w:val="000F3EE5"/>
    <w:rsid w:val="00107F95"/>
    <w:rsid w:val="00122B93"/>
    <w:rsid w:val="001435FD"/>
    <w:rsid w:val="001740A0"/>
    <w:rsid w:val="001A7DF9"/>
    <w:rsid w:val="001C7EE6"/>
    <w:rsid w:val="001F3673"/>
    <w:rsid w:val="00235118"/>
    <w:rsid w:val="0024134F"/>
    <w:rsid w:val="00280B1A"/>
    <w:rsid w:val="002A34CA"/>
    <w:rsid w:val="002B08A0"/>
    <w:rsid w:val="002D69AC"/>
    <w:rsid w:val="00310D76"/>
    <w:rsid w:val="00316AA1"/>
    <w:rsid w:val="003233D0"/>
    <w:rsid w:val="00335B64"/>
    <w:rsid w:val="00361D70"/>
    <w:rsid w:val="0037423B"/>
    <w:rsid w:val="0037573A"/>
    <w:rsid w:val="00375B00"/>
    <w:rsid w:val="003D3798"/>
    <w:rsid w:val="00407E6F"/>
    <w:rsid w:val="004421C2"/>
    <w:rsid w:val="004555A8"/>
    <w:rsid w:val="004850F5"/>
    <w:rsid w:val="00490B4F"/>
    <w:rsid w:val="004A54D3"/>
    <w:rsid w:val="004A55B7"/>
    <w:rsid w:val="004D64C9"/>
    <w:rsid w:val="004D7099"/>
    <w:rsid w:val="004E21D2"/>
    <w:rsid w:val="004E2231"/>
    <w:rsid w:val="004F0A73"/>
    <w:rsid w:val="004F3A5E"/>
    <w:rsid w:val="005319CE"/>
    <w:rsid w:val="005512EB"/>
    <w:rsid w:val="005550B5"/>
    <w:rsid w:val="00567819"/>
    <w:rsid w:val="00575D6D"/>
    <w:rsid w:val="005937AE"/>
    <w:rsid w:val="005A5276"/>
    <w:rsid w:val="005B21D1"/>
    <w:rsid w:val="005B6463"/>
    <w:rsid w:val="005C13CB"/>
    <w:rsid w:val="005D0B5C"/>
    <w:rsid w:val="005E3435"/>
    <w:rsid w:val="00602D8E"/>
    <w:rsid w:val="00612EA5"/>
    <w:rsid w:val="00623C6F"/>
    <w:rsid w:val="00624B06"/>
    <w:rsid w:val="00632AFA"/>
    <w:rsid w:val="00642AD6"/>
    <w:rsid w:val="00654B20"/>
    <w:rsid w:val="00673016"/>
    <w:rsid w:val="00682FF5"/>
    <w:rsid w:val="00683F39"/>
    <w:rsid w:val="0069120F"/>
    <w:rsid w:val="006931CE"/>
    <w:rsid w:val="006947FC"/>
    <w:rsid w:val="006C5431"/>
    <w:rsid w:val="00741332"/>
    <w:rsid w:val="00796BD9"/>
    <w:rsid w:val="007C0315"/>
    <w:rsid w:val="007D3516"/>
    <w:rsid w:val="007D7C47"/>
    <w:rsid w:val="00801EC2"/>
    <w:rsid w:val="00802FE8"/>
    <w:rsid w:val="00813866"/>
    <w:rsid w:val="00823836"/>
    <w:rsid w:val="00843AC9"/>
    <w:rsid w:val="008443C4"/>
    <w:rsid w:val="00873E5D"/>
    <w:rsid w:val="00882A6C"/>
    <w:rsid w:val="008C2CF4"/>
    <w:rsid w:val="008C7AFF"/>
    <w:rsid w:val="008F0D2A"/>
    <w:rsid w:val="008F3018"/>
    <w:rsid w:val="00923EFA"/>
    <w:rsid w:val="009263D2"/>
    <w:rsid w:val="00936528"/>
    <w:rsid w:val="00991A03"/>
    <w:rsid w:val="009B20C7"/>
    <w:rsid w:val="009B4CF7"/>
    <w:rsid w:val="009D2812"/>
    <w:rsid w:val="009D4370"/>
    <w:rsid w:val="00A03786"/>
    <w:rsid w:val="00A12EF5"/>
    <w:rsid w:val="00A220BD"/>
    <w:rsid w:val="00A30FBE"/>
    <w:rsid w:val="00A36837"/>
    <w:rsid w:val="00A42CDE"/>
    <w:rsid w:val="00A44E43"/>
    <w:rsid w:val="00A50480"/>
    <w:rsid w:val="00A57027"/>
    <w:rsid w:val="00A751F1"/>
    <w:rsid w:val="00A9458F"/>
    <w:rsid w:val="00AB2C18"/>
    <w:rsid w:val="00AB68CE"/>
    <w:rsid w:val="00B12B85"/>
    <w:rsid w:val="00B221DE"/>
    <w:rsid w:val="00B245CD"/>
    <w:rsid w:val="00B3560A"/>
    <w:rsid w:val="00B90542"/>
    <w:rsid w:val="00B977AB"/>
    <w:rsid w:val="00BE5E5D"/>
    <w:rsid w:val="00BF660F"/>
    <w:rsid w:val="00C70A2E"/>
    <w:rsid w:val="00C7519F"/>
    <w:rsid w:val="00C85E18"/>
    <w:rsid w:val="00CC2E69"/>
    <w:rsid w:val="00CC43FF"/>
    <w:rsid w:val="00CC7E62"/>
    <w:rsid w:val="00D24CDB"/>
    <w:rsid w:val="00D42EC5"/>
    <w:rsid w:val="00D65E78"/>
    <w:rsid w:val="00D72515"/>
    <w:rsid w:val="00D76FDB"/>
    <w:rsid w:val="00D96A95"/>
    <w:rsid w:val="00DC6533"/>
    <w:rsid w:val="00DD5293"/>
    <w:rsid w:val="00DE1F79"/>
    <w:rsid w:val="00DE7586"/>
    <w:rsid w:val="00E0375F"/>
    <w:rsid w:val="00E37AD5"/>
    <w:rsid w:val="00E73426"/>
    <w:rsid w:val="00E777A1"/>
    <w:rsid w:val="00E8172A"/>
    <w:rsid w:val="00E845EE"/>
    <w:rsid w:val="00E96574"/>
    <w:rsid w:val="00EA1B83"/>
    <w:rsid w:val="00EF0710"/>
    <w:rsid w:val="00F27342"/>
    <w:rsid w:val="00F9093E"/>
    <w:rsid w:val="00FD6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B4B2"/>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2024-05-03T20:38:00Z</cp:lastPrinted>
  <dcterms:created xsi:type="dcterms:W3CDTF">2024-05-03T20:38:00Z</dcterms:created>
  <dcterms:modified xsi:type="dcterms:W3CDTF">2024-05-03T20:44:00Z</dcterms:modified>
</cp:coreProperties>
</file>