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E033" w14:textId="2332EFAB" w:rsidR="00DD1691" w:rsidRPr="008D0028" w:rsidRDefault="00DD1691" w:rsidP="008D0028">
      <w:pPr>
        <w:spacing w:after="0" w:line="0" w:lineRule="atLeast"/>
        <w:jc w:val="center"/>
        <w:rPr>
          <w:rFonts w:ascii="Arial Narrow" w:hAnsi="Arial Narrow"/>
          <w:b/>
          <w:bCs/>
          <w:sz w:val="16"/>
          <w:szCs w:val="16"/>
        </w:rPr>
      </w:pPr>
      <w:r w:rsidRPr="008D0028">
        <w:rPr>
          <w:rFonts w:ascii="Arial Narrow" w:hAnsi="Arial Narrow"/>
          <w:b/>
          <w:bCs/>
          <w:sz w:val="16"/>
          <w:szCs w:val="16"/>
        </w:rPr>
        <w:t xml:space="preserve">SUPERINTENDENCIA NACIONAL DE ADUANAS Y </w:t>
      </w:r>
      <w:r w:rsidR="008D0028">
        <w:rPr>
          <w:rFonts w:ascii="Arial Narrow" w:hAnsi="Arial Narrow"/>
          <w:b/>
          <w:bCs/>
          <w:sz w:val="16"/>
          <w:szCs w:val="16"/>
        </w:rPr>
        <w:t xml:space="preserve">DE </w:t>
      </w:r>
      <w:r w:rsidRPr="008D0028">
        <w:rPr>
          <w:rFonts w:ascii="Arial Narrow" w:hAnsi="Arial Narrow"/>
          <w:b/>
          <w:bCs/>
          <w:sz w:val="16"/>
          <w:szCs w:val="16"/>
        </w:rPr>
        <w:t>ADMINISTRACI</w:t>
      </w:r>
      <w:r w:rsidR="008D0028">
        <w:rPr>
          <w:rFonts w:ascii="Arial Narrow" w:hAnsi="Arial Narrow"/>
          <w:b/>
          <w:bCs/>
          <w:sz w:val="16"/>
          <w:szCs w:val="16"/>
        </w:rPr>
        <w:t>Ó</w:t>
      </w:r>
      <w:r w:rsidRPr="008D0028">
        <w:rPr>
          <w:rFonts w:ascii="Arial Narrow" w:hAnsi="Arial Narrow"/>
          <w:b/>
          <w:bCs/>
          <w:sz w:val="16"/>
          <w:szCs w:val="16"/>
        </w:rPr>
        <w:t>N TRIBUTARIA</w:t>
      </w:r>
    </w:p>
    <w:p w14:paraId="2950D202" w14:textId="77777777" w:rsidR="00DD1691" w:rsidRDefault="00DD1691" w:rsidP="00FE1E86">
      <w:pPr>
        <w:spacing w:after="0" w:line="0" w:lineRule="atLeast"/>
        <w:ind w:left="2694" w:right="2544"/>
        <w:jc w:val="center"/>
        <w:rPr>
          <w:rFonts w:ascii="Arial Narrow" w:hAnsi="Arial Narrow"/>
          <w:b/>
          <w:bCs/>
          <w:sz w:val="16"/>
          <w:szCs w:val="16"/>
        </w:rPr>
      </w:pPr>
      <w:r w:rsidRPr="008D0028">
        <w:rPr>
          <w:rFonts w:ascii="Arial Narrow" w:hAnsi="Arial Narrow"/>
          <w:b/>
          <w:bCs/>
          <w:sz w:val="16"/>
          <w:szCs w:val="16"/>
        </w:rPr>
        <w:t>INTENDENCIA DE ADUANAS DE TACNA</w:t>
      </w:r>
    </w:p>
    <w:p w14:paraId="3908D3C7" w14:textId="77777777" w:rsidR="008D0028" w:rsidRPr="008D0028" w:rsidRDefault="008D0028" w:rsidP="00FE1E86">
      <w:pPr>
        <w:spacing w:after="0" w:line="0" w:lineRule="atLeast"/>
        <w:ind w:left="2694" w:right="2544"/>
        <w:jc w:val="center"/>
        <w:rPr>
          <w:rFonts w:ascii="Arial Narrow" w:hAnsi="Arial Narrow"/>
          <w:b/>
          <w:bCs/>
          <w:sz w:val="16"/>
          <w:szCs w:val="16"/>
        </w:rPr>
      </w:pPr>
    </w:p>
    <w:p w14:paraId="1C954EAA" w14:textId="0760D96D" w:rsidR="00DD1691" w:rsidRPr="008D0028" w:rsidRDefault="00DD1691" w:rsidP="00FE1E86">
      <w:pPr>
        <w:spacing w:after="0" w:line="0" w:lineRule="atLeast"/>
        <w:ind w:left="2694" w:right="2544"/>
        <w:jc w:val="center"/>
        <w:rPr>
          <w:rFonts w:ascii="Arial Narrow" w:hAnsi="Arial Narrow"/>
          <w:b/>
          <w:bCs/>
          <w:sz w:val="16"/>
          <w:szCs w:val="16"/>
        </w:rPr>
      </w:pPr>
      <w:r w:rsidRPr="008D0028">
        <w:rPr>
          <w:rFonts w:ascii="Arial Narrow" w:hAnsi="Arial Narrow"/>
          <w:b/>
          <w:bCs/>
          <w:sz w:val="16"/>
          <w:szCs w:val="16"/>
        </w:rPr>
        <w:t>NOTIFICACI</w:t>
      </w:r>
      <w:r w:rsidR="008D0028">
        <w:rPr>
          <w:rFonts w:ascii="Arial Narrow" w:hAnsi="Arial Narrow"/>
          <w:b/>
          <w:bCs/>
          <w:sz w:val="16"/>
          <w:szCs w:val="16"/>
        </w:rPr>
        <w:t>Ó</w:t>
      </w:r>
      <w:r w:rsidRPr="008D0028">
        <w:rPr>
          <w:rFonts w:ascii="Arial Narrow" w:hAnsi="Arial Narrow"/>
          <w:b/>
          <w:bCs/>
          <w:sz w:val="16"/>
          <w:szCs w:val="16"/>
        </w:rPr>
        <w:t xml:space="preserve">N ADMINISTRATIVA </w:t>
      </w:r>
    </w:p>
    <w:p w14:paraId="26F786DF" w14:textId="6A0ECC8D" w:rsidR="00DD1691" w:rsidRPr="008D0028" w:rsidRDefault="0029596A" w:rsidP="0029596A">
      <w:pPr>
        <w:spacing w:line="0" w:lineRule="atLeast"/>
        <w:ind w:left="1418" w:right="1416"/>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05</w:t>
      </w:r>
      <w:r w:rsidRPr="00C86188">
        <w:rPr>
          <w:rFonts w:ascii="Arial Narrow" w:hAnsi="Arial Narrow"/>
          <w:sz w:val="16"/>
          <w:szCs w:val="16"/>
        </w:rPr>
        <w:t>.1</w:t>
      </w:r>
      <w:r>
        <w:rPr>
          <w:rFonts w:ascii="Arial Narrow" w:hAnsi="Arial Narrow"/>
          <w:sz w:val="16"/>
          <w:szCs w:val="16"/>
        </w:rPr>
        <w:t>1</w:t>
      </w:r>
      <w:r w:rsidRPr="00C86188">
        <w:rPr>
          <w:rFonts w:ascii="Arial Narrow" w:hAnsi="Arial Narrow"/>
          <w:sz w:val="16"/>
          <w:szCs w:val="16"/>
        </w:rPr>
        <w:t>.2024)</w:t>
      </w:r>
    </w:p>
    <w:p w14:paraId="00FDD033" w14:textId="77777777" w:rsidR="00DD1691" w:rsidRPr="008D0028" w:rsidRDefault="00DD1691" w:rsidP="00FE1E86">
      <w:pPr>
        <w:spacing w:after="0" w:line="0" w:lineRule="atLeast"/>
        <w:ind w:left="2694" w:right="2544"/>
        <w:jc w:val="both"/>
        <w:rPr>
          <w:rFonts w:ascii="Arial Narrow" w:hAnsi="Arial Narrow"/>
          <w:sz w:val="16"/>
          <w:szCs w:val="16"/>
        </w:rPr>
      </w:pPr>
      <w:r w:rsidRPr="008D0028">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51F2DD9B" w14:textId="4B9020BC" w:rsidR="00DD1691" w:rsidRPr="008D0028" w:rsidRDefault="00DD1691" w:rsidP="00FE1E86">
      <w:pPr>
        <w:spacing w:after="0" w:line="0" w:lineRule="atLeast"/>
        <w:ind w:left="2694" w:right="2544"/>
        <w:jc w:val="both"/>
        <w:rPr>
          <w:rFonts w:ascii="Arial Narrow" w:hAnsi="Arial Narrow" w:cstheme="minorHAnsi"/>
          <w:sz w:val="16"/>
          <w:szCs w:val="16"/>
        </w:rPr>
      </w:pPr>
      <w:r w:rsidRPr="008D0028">
        <w:rPr>
          <w:rFonts w:ascii="Arial Narrow" w:hAnsi="Arial Narrow"/>
          <w:sz w:val="16"/>
          <w:szCs w:val="16"/>
        </w:rPr>
        <w:t xml:space="preserve">La persona natural y/o jurídica con legítimo interés, puede acercarse a la Intendencia de Aduana de Tacna ubicada en el Parque Industrial, Mz. A, Lote 5 y 6 – Pocollay – Tacna o a </w:t>
      </w:r>
      <w:r w:rsidRPr="008D0028">
        <w:rPr>
          <w:rFonts w:ascii="Arial Narrow" w:hAnsi="Arial Narrow" w:cstheme="minorHAnsi"/>
          <w:sz w:val="16"/>
          <w:szCs w:val="16"/>
        </w:rPr>
        <w:t>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5CC16CA9" w14:textId="433C0C1A" w:rsidR="00DD1691" w:rsidRDefault="00DD1691" w:rsidP="00FE1E86">
      <w:pPr>
        <w:spacing w:after="0" w:line="0" w:lineRule="atLeast"/>
        <w:ind w:left="2694" w:right="2544"/>
        <w:rPr>
          <w:rFonts w:ascii="Arial Narrow" w:hAnsi="Arial Narrow" w:cstheme="minorHAnsi"/>
          <w:sz w:val="16"/>
          <w:szCs w:val="16"/>
        </w:rPr>
      </w:pPr>
      <w:r w:rsidRPr="008D0028">
        <w:rPr>
          <w:rFonts w:ascii="Arial Narrow" w:hAnsi="Arial Narrow" w:cstheme="minorHAnsi"/>
          <w:sz w:val="16"/>
          <w:szCs w:val="16"/>
        </w:rPr>
        <w:t xml:space="preserve">Resolución de División N° </w:t>
      </w:r>
      <w:r w:rsidR="00A51C2E" w:rsidRPr="008D0028">
        <w:rPr>
          <w:rFonts w:ascii="Arial Narrow" w:hAnsi="Arial Narrow" w:cstheme="minorHAnsi"/>
          <w:sz w:val="16"/>
          <w:szCs w:val="16"/>
        </w:rPr>
        <w:t>709</w:t>
      </w:r>
      <w:r w:rsidR="005B3EA2" w:rsidRPr="008D0028">
        <w:rPr>
          <w:rFonts w:ascii="Arial Narrow" w:hAnsi="Arial Narrow" w:cstheme="minorHAnsi"/>
          <w:sz w:val="16"/>
          <w:szCs w:val="16"/>
        </w:rPr>
        <w:t>-2024-SUNAT/3G0500</w:t>
      </w:r>
    </w:p>
    <w:tbl>
      <w:tblPr>
        <w:tblStyle w:val="Tablaconcuadrcula"/>
        <w:tblW w:w="0" w:type="auto"/>
        <w:tblInd w:w="2689" w:type="dxa"/>
        <w:tblBorders>
          <w:insideV w:val="none" w:sz="0" w:space="0" w:color="auto"/>
        </w:tblBorders>
        <w:tblLook w:val="04A0" w:firstRow="1" w:lastRow="0" w:firstColumn="1" w:lastColumn="0" w:noHBand="0" w:noVBand="1"/>
      </w:tblPr>
      <w:tblGrid>
        <w:gridCol w:w="1696"/>
        <w:gridCol w:w="253"/>
        <w:gridCol w:w="3291"/>
      </w:tblGrid>
      <w:tr w:rsidR="00FE1E86" w14:paraId="4D578C31" w14:textId="77777777" w:rsidTr="00FE1E86">
        <w:tc>
          <w:tcPr>
            <w:tcW w:w="1696" w:type="dxa"/>
          </w:tcPr>
          <w:p w14:paraId="345A5C38" w14:textId="25787508" w:rsidR="00A96253" w:rsidRDefault="00FE1E86" w:rsidP="008D0028">
            <w:pPr>
              <w:spacing w:after="0" w:line="0" w:lineRule="atLeast"/>
              <w:rPr>
                <w:rFonts w:ascii="Arial Narrow" w:hAnsi="Arial Narrow" w:cstheme="minorHAnsi"/>
                <w:sz w:val="16"/>
                <w:szCs w:val="16"/>
              </w:rPr>
            </w:pPr>
            <w:r w:rsidRPr="008D0028">
              <w:rPr>
                <w:rFonts w:ascii="Arial Narrow" w:hAnsi="Arial Narrow" w:cstheme="minorHAnsi"/>
                <w:sz w:val="16"/>
                <w:szCs w:val="16"/>
              </w:rPr>
              <w:t>Acta de Incautación</w:t>
            </w:r>
          </w:p>
        </w:tc>
        <w:tc>
          <w:tcPr>
            <w:tcW w:w="253" w:type="dxa"/>
          </w:tcPr>
          <w:p w14:paraId="09909F9F" w14:textId="17BCC76E" w:rsidR="00A96253" w:rsidRDefault="00FE1E86" w:rsidP="008D0028">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291" w:type="dxa"/>
          </w:tcPr>
          <w:p w14:paraId="0C4850FC" w14:textId="043D0F10" w:rsidR="00A96253" w:rsidRDefault="00FE1E86" w:rsidP="008D0028">
            <w:pPr>
              <w:spacing w:after="0" w:line="0" w:lineRule="atLeast"/>
              <w:rPr>
                <w:rFonts w:ascii="Arial Narrow" w:hAnsi="Arial Narrow" w:cstheme="minorHAnsi"/>
                <w:sz w:val="16"/>
                <w:szCs w:val="16"/>
              </w:rPr>
            </w:pPr>
            <w:r w:rsidRPr="008D0028">
              <w:rPr>
                <w:rFonts w:ascii="Arial Narrow" w:hAnsi="Arial Narrow" w:cstheme="minorHAnsi"/>
                <w:sz w:val="16"/>
                <w:szCs w:val="16"/>
              </w:rPr>
              <w:t>N° 172-0202-2020- 000694 de fecha 06.10.2020</w:t>
            </w:r>
          </w:p>
        </w:tc>
      </w:tr>
      <w:tr w:rsidR="00FE1E86" w14:paraId="3937010F" w14:textId="77777777" w:rsidTr="00FE1E86">
        <w:tc>
          <w:tcPr>
            <w:tcW w:w="1696" w:type="dxa"/>
          </w:tcPr>
          <w:p w14:paraId="32AA19EE" w14:textId="7E81C269" w:rsidR="00A96253" w:rsidRDefault="00FE1E86" w:rsidP="008D0028">
            <w:pPr>
              <w:spacing w:after="0" w:line="0" w:lineRule="atLeast"/>
              <w:rPr>
                <w:rFonts w:ascii="Arial Narrow" w:hAnsi="Arial Narrow" w:cstheme="minorHAnsi"/>
                <w:sz w:val="16"/>
                <w:szCs w:val="16"/>
              </w:rPr>
            </w:pPr>
            <w:r w:rsidRPr="008D0028">
              <w:rPr>
                <w:rFonts w:ascii="Arial Narrow" w:eastAsia="Times New Roman" w:hAnsi="Arial Narrow" w:cstheme="minorHAnsi"/>
                <w:noProof/>
                <w:color w:val="000000"/>
                <w:sz w:val="16"/>
                <w:szCs w:val="16"/>
              </w:rPr>
              <w:t>Infractor</w:t>
            </w:r>
          </w:p>
        </w:tc>
        <w:tc>
          <w:tcPr>
            <w:tcW w:w="253" w:type="dxa"/>
          </w:tcPr>
          <w:p w14:paraId="42B1890A" w14:textId="403B9230" w:rsidR="00A96253" w:rsidRDefault="00FE1E86" w:rsidP="008D0028">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291" w:type="dxa"/>
          </w:tcPr>
          <w:p w14:paraId="2FE32CB6" w14:textId="0996B7F4" w:rsidR="00A96253" w:rsidRDefault="00FE1E86" w:rsidP="008D0028">
            <w:pPr>
              <w:spacing w:after="0" w:line="0" w:lineRule="atLeast"/>
              <w:rPr>
                <w:rFonts w:ascii="Arial Narrow" w:hAnsi="Arial Narrow" w:cstheme="minorHAnsi"/>
                <w:sz w:val="16"/>
                <w:szCs w:val="16"/>
              </w:rPr>
            </w:pPr>
            <w:r w:rsidRPr="008D0028">
              <w:rPr>
                <w:rFonts w:ascii="Arial Narrow" w:hAnsi="Arial Narrow" w:cstheme="minorHAnsi"/>
                <w:sz w:val="16"/>
                <w:szCs w:val="16"/>
              </w:rPr>
              <w:t>VILLAVICENCIO PINTO MARCELINO</w:t>
            </w:r>
          </w:p>
        </w:tc>
      </w:tr>
      <w:tr w:rsidR="00FE1E86" w14:paraId="2823AF53" w14:textId="77777777" w:rsidTr="00FE1E86">
        <w:tc>
          <w:tcPr>
            <w:tcW w:w="1696" w:type="dxa"/>
          </w:tcPr>
          <w:p w14:paraId="0E30661B" w14:textId="4E2C9C33" w:rsidR="00A96253" w:rsidRDefault="00FE1E86" w:rsidP="008D0028">
            <w:pPr>
              <w:spacing w:after="0" w:line="0" w:lineRule="atLeast"/>
              <w:rPr>
                <w:rFonts w:ascii="Arial Narrow" w:hAnsi="Arial Narrow" w:cstheme="minorHAnsi"/>
                <w:sz w:val="16"/>
                <w:szCs w:val="16"/>
              </w:rPr>
            </w:pPr>
            <w:r w:rsidRPr="008D0028">
              <w:rPr>
                <w:rFonts w:ascii="Arial Narrow" w:eastAsia="Times New Roman" w:hAnsi="Arial Narrow" w:cstheme="minorHAnsi"/>
                <w:noProof/>
                <w:color w:val="000000"/>
                <w:sz w:val="16"/>
                <w:szCs w:val="16"/>
              </w:rPr>
              <w:t>Documento de Identidad</w:t>
            </w:r>
          </w:p>
        </w:tc>
        <w:tc>
          <w:tcPr>
            <w:tcW w:w="253" w:type="dxa"/>
          </w:tcPr>
          <w:p w14:paraId="71C9E27C" w14:textId="4864235D" w:rsidR="00A96253" w:rsidRDefault="00FE1E86" w:rsidP="008D0028">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291" w:type="dxa"/>
          </w:tcPr>
          <w:p w14:paraId="6902B697" w14:textId="5A7FEB74" w:rsidR="00A96253" w:rsidRDefault="00FE1E86" w:rsidP="008D0028">
            <w:pPr>
              <w:spacing w:after="0" w:line="0" w:lineRule="atLeast"/>
              <w:rPr>
                <w:rFonts w:ascii="Arial Narrow" w:hAnsi="Arial Narrow" w:cstheme="minorHAnsi"/>
                <w:sz w:val="16"/>
                <w:szCs w:val="16"/>
              </w:rPr>
            </w:pPr>
            <w:r w:rsidRPr="008D0028">
              <w:rPr>
                <w:rFonts w:ascii="Arial Narrow" w:hAnsi="Arial Narrow" w:cstheme="minorHAnsi"/>
                <w:sz w:val="16"/>
                <w:szCs w:val="16"/>
              </w:rPr>
              <w:t>PASAPORTE N°LTT9274</w:t>
            </w:r>
          </w:p>
        </w:tc>
      </w:tr>
      <w:tr w:rsidR="00FE1E86" w14:paraId="28D48754" w14:textId="77777777" w:rsidTr="00FE1E86">
        <w:tc>
          <w:tcPr>
            <w:tcW w:w="1696" w:type="dxa"/>
          </w:tcPr>
          <w:p w14:paraId="7C09CF47" w14:textId="3F89C005" w:rsidR="00A96253" w:rsidRDefault="00FE1E86" w:rsidP="008D0028">
            <w:pPr>
              <w:spacing w:after="0" w:line="0" w:lineRule="atLeast"/>
              <w:rPr>
                <w:rFonts w:ascii="Arial Narrow" w:hAnsi="Arial Narrow" w:cstheme="minorHAnsi"/>
                <w:sz w:val="16"/>
                <w:szCs w:val="16"/>
              </w:rPr>
            </w:pPr>
            <w:r w:rsidRPr="008D0028">
              <w:rPr>
                <w:rFonts w:ascii="Arial Narrow" w:eastAsia="Times New Roman" w:hAnsi="Arial Narrow" w:cstheme="minorHAnsi"/>
                <w:noProof/>
                <w:color w:val="000000"/>
                <w:sz w:val="16"/>
                <w:szCs w:val="16"/>
              </w:rPr>
              <w:t>Resolución de División</w:t>
            </w:r>
          </w:p>
        </w:tc>
        <w:tc>
          <w:tcPr>
            <w:tcW w:w="253" w:type="dxa"/>
          </w:tcPr>
          <w:p w14:paraId="1F61C59D" w14:textId="44AD7E27" w:rsidR="00A96253" w:rsidRDefault="00FE1E86" w:rsidP="008D0028">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291" w:type="dxa"/>
          </w:tcPr>
          <w:p w14:paraId="04E6E464" w14:textId="76C12F04" w:rsidR="00A96253" w:rsidRDefault="00FE1E86" w:rsidP="008D0028">
            <w:pPr>
              <w:spacing w:after="0" w:line="0" w:lineRule="atLeast"/>
              <w:rPr>
                <w:rFonts w:ascii="Arial Narrow" w:hAnsi="Arial Narrow" w:cstheme="minorHAnsi"/>
                <w:sz w:val="16"/>
                <w:szCs w:val="16"/>
              </w:rPr>
            </w:pPr>
            <w:r w:rsidRPr="008D0028">
              <w:rPr>
                <w:rFonts w:ascii="Arial Narrow" w:hAnsi="Arial Narrow" w:cstheme="minorHAnsi"/>
                <w:sz w:val="16"/>
                <w:szCs w:val="16"/>
              </w:rPr>
              <w:t>N° 709-2024-SUNAT/3G0500 de fecha 25.10.2024</w:t>
            </w:r>
          </w:p>
        </w:tc>
      </w:tr>
      <w:tr w:rsidR="00FE1E86" w14:paraId="5F235638" w14:textId="77777777" w:rsidTr="00FE1E86">
        <w:tc>
          <w:tcPr>
            <w:tcW w:w="5240" w:type="dxa"/>
            <w:gridSpan w:val="3"/>
          </w:tcPr>
          <w:p w14:paraId="066AEE5F" w14:textId="77777777" w:rsidR="00FE1E86" w:rsidRDefault="00FE1E86" w:rsidP="008D0028">
            <w:pPr>
              <w:spacing w:after="0" w:line="0" w:lineRule="atLeast"/>
              <w:rPr>
                <w:rFonts w:ascii="Arial Narrow" w:hAnsi="Arial Narrow" w:cstheme="minorHAnsi"/>
                <w:sz w:val="16"/>
                <w:szCs w:val="16"/>
              </w:rPr>
            </w:pPr>
            <w:r w:rsidRPr="008D0028">
              <w:rPr>
                <w:rFonts w:ascii="Arial Narrow" w:eastAsia="Times New Roman" w:hAnsi="Arial Narrow" w:cstheme="minorHAnsi"/>
                <w:color w:val="000000"/>
                <w:sz w:val="16"/>
                <w:szCs w:val="16"/>
              </w:rPr>
              <w:t>Determinación</w:t>
            </w:r>
            <w:r>
              <w:rPr>
                <w:rFonts w:ascii="Arial Narrow" w:hAnsi="Arial Narrow" w:cstheme="minorHAnsi"/>
                <w:sz w:val="16"/>
                <w:szCs w:val="16"/>
              </w:rPr>
              <w:t>:</w:t>
            </w:r>
          </w:p>
          <w:p w14:paraId="2D6858B9" w14:textId="77777777" w:rsidR="00FE1E86" w:rsidRPr="008D0028" w:rsidRDefault="00FE1E86" w:rsidP="00FE1E86">
            <w:pPr>
              <w:tabs>
                <w:tab w:val="left" w:pos="567"/>
                <w:tab w:val="left" w:pos="2410"/>
              </w:tabs>
              <w:spacing w:after="0" w:line="0" w:lineRule="atLeast"/>
              <w:jc w:val="both"/>
              <w:rPr>
                <w:rFonts w:ascii="Arial Narrow" w:hAnsi="Arial Narrow" w:cstheme="minorHAnsi"/>
                <w:sz w:val="16"/>
                <w:szCs w:val="16"/>
              </w:rPr>
            </w:pPr>
            <w:r w:rsidRPr="008D0028">
              <w:rPr>
                <w:rFonts w:ascii="Arial Narrow" w:hAnsi="Arial Narrow" w:cstheme="minorHAnsi"/>
                <w:sz w:val="16"/>
                <w:szCs w:val="16"/>
              </w:rPr>
              <w:t xml:space="preserve">SE RESUELVE : </w:t>
            </w:r>
          </w:p>
          <w:p w14:paraId="17206A9B" w14:textId="77777777" w:rsidR="00FE1E86" w:rsidRPr="008D0028" w:rsidRDefault="00FE1E86" w:rsidP="00FE1E86">
            <w:pPr>
              <w:tabs>
                <w:tab w:val="left" w:pos="567"/>
                <w:tab w:val="left" w:pos="2410"/>
              </w:tabs>
              <w:spacing w:after="0" w:line="0" w:lineRule="atLeast"/>
              <w:jc w:val="both"/>
              <w:rPr>
                <w:rFonts w:ascii="Arial Narrow" w:hAnsi="Arial Narrow" w:cstheme="minorHAnsi"/>
                <w:sz w:val="16"/>
                <w:szCs w:val="16"/>
              </w:rPr>
            </w:pPr>
            <w:r w:rsidRPr="008D0028">
              <w:rPr>
                <w:rFonts w:ascii="Arial Narrow" w:hAnsi="Arial Narrow" w:cstheme="minorHAnsi"/>
                <w:sz w:val="16"/>
                <w:szCs w:val="16"/>
              </w:rPr>
              <w:t>ARTÍCULO PRIMERO.- Declarar el COMISO de la mercancía descrita en el Acta de Incautación N° 172 -0202 -2022 -000796 de fecha 21.11.22; de conformidad con los fundamentos de hecho y de derecho expuestos en la presente resolución.</w:t>
            </w:r>
          </w:p>
          <w:p w14:paraId="51A67507" w14:textId="77777777" w:rsidR="00FE1E86" w:rsidRPr="008D0028" w:rsidRDefault="00FE1E86" w:rsidP="00FE1E86">
            <w:pPr>
              <w:tabs>
                <w:tab w:val="left" w:pos="567"/>
                <w:tab w:val="left" w:pos="2410"/>
              </w:tabs>
              <w:spacing w:after="0" w:line="0" w:lineRule="atLeast"/>
              <w:jc w:val="both"/>
              <w:rPr>
                <w:rFonts w:ascii="Arial Narrow" w:hAnsi="Arial Narrow" w:cstheme="minorHAnsi"/>
                <w:sz w:val="16"/>
                <w:szCs w:val="16"/>
              </w:rPr>
            </w:pPr>
            <w:r w:rsidRPr="008D0028">
              <w:rPr>
                <w:rFonts w:ascii="Arial Narrow" w:hAnsi="Arial Narrow" w:cstheme="minorHAnsi"/>
                <w:sz w:val="16"/>
                <w:szCs w:val="16"/>
              </w:rPr>
              <w:t xml:space="preserve">ARTÍCULO SEGUNDO. - Sancionar con MULTA ascendente a S/ 1,014.00.00 (Mil catorce con 00/100 soles); a VILLAVICENCIO PINTO MARCELINO identificado con PASAPORTE N°LTT9274, de conformidad con el inciso a) del artículo 39º de la Ley de los Delitos Aduaneros, declarándose como responsable solidario de esta multa a la empresa de transporte de carga internacional COOPERATIVA DE TRANSPORTE PESADO BOLIVIA R.L inscrita con CÓDIGO N° 0115, para cuyo efecto deberá procederse a la emisión de la Liquidación de Cobranza correspondiente, conforme a los considerandos expuestos en la presente resolución. </w:t>
            </w:r>
          </w:p>
          <w:p w14:paraId="79E47AA3" w14:textId="77777777" w:rsidR="00FE1E86" w:rsidRPr="008D0028" w:rsidRDefault="00FE1E86" w:rsidP="00FE1E86">
            <w:pPr>
              <w:tabs>
                <w:tab w:val="left" w:pos="567"/>
                <w:tab w:val="left" w:pos="2410"/>
              </w:tabs>
              <w:spacing w:after="0" w:line="0" w:lineRule="atLeast"/>
              <w:jc w:val="both"/>
              <w:rPr>
                <w:rFonts w:ascii="Arial Narrow" w:hAnsi="Arial Narrow" w:cstheme="minorHAnsi"/>
                <w:sz w:val="16"/>
                <w:szCs w:val="16"/>
              </w:rPr>
            </w:pPr>
            <w:r w:rsidRPr="008D0028">
              <w:rPr>
                <w:rFonts w:ascii="Arial Narrow" w:hAnsi="Arial Narrow" w:cstheme="minorHAnsi"/>
                <w:sz w:val="16"/>
                <w:szCs w:val="16"/>
              </w:rPr>
              <w:t xml:space="preserve">ARTÍCULO TERCERO.- Sancionar a la empresa de transporte de carga internacional COOPERATIVA DE TRANSPORTE PESADO BOLIVIA R.L inscrita con CÓDIGO N°0115, con una MULTA equivalente al monto S/ 1,014.00.00 (Mil catorce con 00/100 soles); declarándose como responsable solidario de esta multa a VILLAVICENCIO PINTO MARCELINO identificado con PASAPORTE N°LTT9274, para cuyo efecto deberá procederse a la emisión de la Liquidación de Cobranza correspondiente, conforme a los considerandos expuestos en la presente resolución. </w:t>
            </w:r>
          </w:p>
          <w:p w14:paraId="4D41AB09" w14:textId="77777777" w:rsidR="00FE1E86" w:rsidRPr="008D0028" w:rsidRDefault="00FE1E86" w:rsidP="00FE1E86">
            <w:pPr>
              <w:tabs>
                <w:tab w:val="left" w:pos="567"/>
                <w:tab w:val="left" w:pos="2410"/>
              </w:tabs>
              <w:spacing w:after="0" w:line="0" w:lineRule="atLeast"/>
              <w:jc w:val="both"/>
              <w:rPr>
                <w:rFonts w:ascii="Arial Narrow" w:hAnsi="Arial Narrow" w:cstheme="minorHAnsi"/>
                <w:sz w:val="16"/>
                <w:szCs w:val="16"/>
              </w:rPr>
            </w:pPr>
            <w:r w:rsidRPr="008D0028">
              <w:rPr>
                <w:rFonts w:ascii="Arial Narrow" w:hAnsi="Arial Narrow" w:cstheme="minorHAnsi"/>
                <w:sz w:val="16"/>
                <w:szCs w:val="16"/>
              </w:rPr>
              <w:t>ARTÍCULO CUARTO .- Sancionar con el INTERNAMIENTO TEMPORAL al vehículo con placa de rodaje N°2309EIH/BJ00897, por el periodo de sesenta (60) días calendario; contados a partir del día en que el mencionado vehículo sea puesto a disposición de la Autoridad Aduanera para su internamiento en el Depósito del Ministerio de Transportes y Comunicaciones, caso contrario se procederá a oficiar a la Policía Nacional del Perú, una vez firme y consentida la presente Resolución, a efectos de que proceda a la inmediata ubicación e internamiento en la Dirección Regional de Transportes de la jurisdicción del lugar de captura, conforme a los considerandos expuestos en la presente resolución.</w:t>
            </w:r>
          </w:p>
          <w:p w14:paraId="0F197828" w14:textId="6B4B60CB" w:rsidR="00FE1E86" w:rsidRDefault="00FE1E86" w:rsidP="00FE1E86">
            <w:pPr>
              <w:spacing w:after="0" w:line="0" w:lineRule="atLeast"/>
              <w:rPr>
                <w:rFonts w:ascii="Arial Narrow" w:hAnsi="Arial Narrow" w:cstheme="minorHAnsi"/>
                <w:sz w:val="16"/>
                <w:szCs w:val="16"/>
              </w:rPr>
            </w:pPr>
            <w:r w:rsidRPr="008D0028">
              <w:rPr>
                <w:rFonts w:ascii="Arial Narrow" w:hAnsi="Arial Narrow" w:cstheme="minorHAnsi"/>
                <w:sz w:val="16"/>
                <w:szCs w:val="16"/>
              </w:rPr>
              <w:t>ARTÍCULO QUINTO.- Oficiar a la Dirección Regional de Transportes y Comunicaciones de Tacna, una vez consentida o firme la presente resolución, a efectos de que se aplique la sanción de SUSPENSIÓN de licencia de conducir de VILLAVICENCIO PINTO MARCELINO identificado con PASAPORTE N°LTT9274 por el término de cinco (05) años; así como considerar la sanción como antecedentes en el registro de conductores, conforme a los considerandos expuestos en la presente resolución, debiéndose proceder con levantar la sanción impuesta una vez cumplido el período descrito .</w:t>
            </w:r>
          </w:p>
        </w:tc>
      </w:tr>
      <w:tr w:rsidR="00FE1E86" w14:paraId="2893A97B" w14:textId="77777777" w:rsidTr="00FE1E86">
        <w:tc>
          <w:tcPr>
            <w:tcW w:w="1696" w:type="dxa"/>
          </w:tcPr>
          <w:p w14:paraId="69AF8B51" w14:textId="515E3635" w:rsidR="00A96253" w:rsidRDefault="00FE1E86" w:rsidP="008D0028">
            <w:pPr>
              <w:spacing w:after="0" w:line="0" w:lineRule="atLeast"/>
              <w:rPr>
                <w:rFonts w:ascii="Arial Narrow" w:hAnsi="Arial Narrow" w:cstheme="minorHAnsi"/>
                <w:sz w:val="16"/>
                <w:szCs w:val="16"/>
              </w:rPr>
            </w:pPr>
            <w:r w:rsidRPr="008D0028">
              <w:rPr>
                <w:rFonts w:ascii="Arial Narrow" w:eastAsia="Times New Roman" w:hAnsi="Arial Narrow" w:cstheme="minorHAnsi"/>
                <w:color w:val="000000"/>
                <w:sz w:val="16"/>
                <w:szCs w:val="16"/>
              </w:rPr>
              <w:t>Liquidación de Cobranza</w:t>
            </w:r>
          </w:p>
        </w:tc>
        <w:tc>
          <w:tcPr>
            <w:tcW w:w="253" w:type="dxa"/>
          </w:tcPr>
          <w:p w14:paraId="0E808EA0" w14:textId="3A51041C" w:rsidR="00A96253" w:rsidRDefault="00FE1E86" w:rsidP="008D0028">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291" w:type="dxa"/>
          </w:tcPr>
          <w:p w14:paraId="74EC4EB0" w14:textId="7FF55B8E" w:rsidR="00A96253" w:rsidRDefault="00FE1E86" w:rsidP="008D0028">
            <w:pPr>
              <w:spacing w:after="0" w:line="0" w:lineRule="atLeast"/>
              <w:rPr>
                <w:rFonts w:ascii="Arial Narrow" w:hAnsi="Arial Narrow" w:cstheme="minorHAnsi"/>
                <w:sz w:val="16"/>
                <w:szCs w:val="16"/>
              </w:rPr>
            </w:pPr>
            <w:r w:rsidRPr="008D0028">
              <w:rPr>
                <w:rFonts w:ascii="Arial Narrow" w:hAnsi="Arial Narrow" w:cstheme="minorHAnsi"/>
                <w:sz w:val="16"/>
                <w:szCs w:val="16"/>
              </w:rPr>
              <w:t>20124-2024</w:t>
            </w:r>
          </w:p>
        </w:tc>
      </w:tr>
      <w:tr w:rsidR="00FE1E86" w14:paraId="0C1EF123" w14:textId="77777777" w:rsidTr="00FE1E86">
        <w:tc>
          <w:tcPr>
            <w:tcW w:w="1696" w:type="dxa"/>
          </w:tcPr>
          <w:p w14:paraId="43D98AC2" w14:textId="2B19CC3B" w:rsidR="00A96253" w:rsidRDefault="00FE1E86" w:rsidP="008D0028">
            <w:pPr>
              <w:spacing w:after="0" w:line="0" w:lineRule="atLeast"/>
              <w:rPr>
                <w:rFonts w:ascii="Arial Narrow" w:hAnsi="Arial Narrow" w:cstheme="minorHAnsi"/>
                <w:sz w:val="16"/>
                <w:szCs w:val="16"/>
              </w:rPr>
            </w:pPr>
            <w:r w:rsidRPr="008D0028">
              <w:rPr>
                <w:rFonts w:ascii="Arial Narrow" w:eastAsia="Times New Roman" w:hAnsi="Arial Narrow" w:cstheme="minorHAnsi"/>
                <w:color w:val="000000"/>
                <w:sz w:val="16"/>
                <w:szCs w:val="16"/>
              </w:rPr>
              <w:t>Monto S/.</w:t>
            </w:r>
          </w:p>
        </w:tc>
        <w:tc>
          <w:tcPr>
            <w:tcW w:w="253" w:type="dxa"/>
          </w:tcPr>
          <w:p w14:paraId="0BACFB5D" w14:textId="51176808" w:rsidR="00A96253" w:rsidRDefault="00FE1E86" w:rsidP="008D0028">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291" w:type="dxa"/>
          </w:tcPr>
          <w:p w14:paraId="0633CBD2" w14:textId="522CFF81" w:rsidR="00A96253" w:rsidRDefault="00FE1E86" w:rsidP="008D0028">
            <w:pPr>
              <w:spacing w:after="0" w:line="0" w:lineRule="atLeast"/>
              <w:rPr>
                <w:rFonts w:ascii="Arial Narrow" w:hAnsi="Arial Narrow" w:cstheme="minorHAnsi"/>
                <w:sz w:val="16"/>
                <w:szCs w:val="16"/>
              </w:rPr>
            </w:pPr>
            <w:r w:rsidRPr="008D0028">
              <w:rPr>
                <w:rFonts w:ascii="Arial Narrow" w:hAnsi="Arial Narrow" w:cstheme="minorHAnsi"/>
                <w:sz w:val="16"/>
                <w:szCs w:val="16"/>
              </w:rPr>
              <w:t>1,014.00</w:t>
            </w:r>
          </w:p>
        </w:tc>
      </w:tr>
    </w:tbl>
    <w:p w14:paraId="2E63BED5" w14:textId="50F5A76C" w:rsidR="00A96253" w:rsidRDefault="00A96253" w:rsidP="008D0028">
      <w:pPr>
        <w:spacing w:after="0" w:line="0" w:lineRule="atLeast"/>
        <w:rPr>
          <w:rFonts w:ascii="Arial Narrow" w:hAnsi="Arial Narrow" w:cstheme="minorHAnsi"/>
          <w:sz w:val="16"/>
          <w:szCs w:val="16"/>
        </w:rPr>
      </w:pPr>
    </w:p>
    <w:sectPr w:rsidR="00A96253" w:rsidSect="00FE1E86">
      <w:pgSz w:w="11900" w:h="16840"/>
      <w:pgMar w:top="1440" w:right="85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144C9"/>
    <w:rsid w:val="00097762"/>
    <w:rsid w:val="000F4A27"/>
    <w:rsid w:val="000F6FBC"/>
    <w:rsid w:val="001329CE"/>
    <w:rsid w:val="001356EC"/>
    <w:rsid w:val="002048DD"/>
    <w:rsid w:val="00294A03"/>
    <w:rsid w:val="0029596A"/>
    <w:rsid w:val="002D2D1B"/>
    <w:rsid w:val="00326D04"/>
    <w:rsid w:val="00336A17"/>
    <w:rsid w:val="003535DC"/>
    <w:rsid w:val="003A1FB2"/>
    <w:rsid w:val="003E2E54"/>
    <w:rsid w:val="00403782"/>
    <w:rsid w:val="004B08F7"/>
    <w:rsid w:val="004D281E"/>
    <w:rsid w:val="0050456E"/>
    <w:rsid w:val="00571EB7"/>
    <w:rsid w:val="00577299"/>
    <w:rsid w:val="005B3EA2"/>
    <w:rsid w:val="005B77AB"/>
    <w:rsid w:val="006D79FE"/>
    <w:rsid w:val="006E6456"/>
    <w:rsid w:val="00722144"/>
    <w:rsid w:val="00764C06"/>
    <w:rsid w:val="00847360"/>
    <w:rsid w:val="00855DD0"/>
    <w:rsid w:val="008D0028"/>
    <w:rsid w:val="00932B2A"/>
    <w:rsid w:val="00974BA5"/>
    <w:rsid w:val="00974BF9"/>
    <w:rsid w:val="009930BF"/>
    <w:rsid w:val="00996C13"/>
    <w:rsid w:val="00A51C2E"/>
    <w:rsid w:val="00A96253"/>
    <w:rsid w:val="00B3602A"/>
    <w:rsid w:val="00BA63E3"/>
    <w:rsid w:val="00C20106"/>
    <w:rsid w:val="00C84F20"/>
    <w:rsid w:val="00CF4524"/>
    <w:rsid w:val="00D20F76"/>
    <w:rsid w:val="00DD1691"/>
    <w:rsid w:val="00E34D9F"/>
    <w:rsid w:val="00E5487A"/>
    <w:rsid w:val="00E65334"/>
    <w:rsid w:val="00EA4125"/>
    <w:rsid w:val="00EF721C"/>
    <w:rsid w:val="00F3130E"/>
    <w:rsid w:val="00F36005"/>
    <w:rsid w:val="00F50655"/>
    <w:rsid w:val="00FE1E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13"/>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A63E3"/>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BA63E3"/>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8D00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4</cp:revision>
  <cp:lastPrinted>2024-10-31T20:56:00Z</cp:lastPrinted>
  <dcterms:created xsi:type="dcterms:W3CDTF">2024-10-31T20:56:00Z</dcterms:created>
  <dcterms:modified xsi:type="dcterms:W3CDTF">2024-10-31T21:03:00Z</dcterms:modified>
</cp:coreProperties>
</file>