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00ED" w14:textId="77777777" w:rsidR="00107F95" w:rsidRPr="00B83C6F" w:rsidRDefault="00107F95" w:rsidP="000A1B18">
      <w:pPr>
        <w:spacing w:after="0" w:line="0" w:lineRule="atLeast"/>
        <w:jc w:val="center"/>
        <w:rPr>
          <w:rFonts w:ascii="Arial Narrow" w:hAnsi="Arial Narrow"/>
          <w:b/>
          <w:bCs/>
          <w:sz w:val="16"/>
          <w:szCs w:val="16"/>
        </w:rPr>
      </w:pPr>
      <w:r w:rsidRPr="00B83C6F">
        <w:rPr>
          <w:rFonts w:ascii="Arial Narrow" w:hAnsi="Arial Narrow"/>
          <w:b/>
          <w:bCs/>
          <w:sz w:val="16"/>
          <w:szCs w:val="16"/>
        </w:rPr>
        <w:t>SUPERINTENDENCIA NACIONAL DE ADUANAS Y ADMINISTRACION TRIBUTARIA</w:t>
      </w:r>
    </w:p>
    <w:p w14:paraId="0ED28116" w14:textId="77777777" w:rsidR="002C69BC" w:rsidRPr="00B83C6F" w:rsidRDefault="00107F95" w:rsidP="000A1B18">
      <w:pPr>
        <w:spacing w:after="0" w:line="0" w:lineRule="atLeast"/>
        <w:jc w:val="center"/>
        <w:rPr>
          <w:rFonts w:ascii="Arial Narrow" w:hAnsi="Arial Narrow"/>
          <w:b/>
          <w:bCs/>
          <w:sz w:val="16"/>
          <w:szCs w:val="16"/>
        </w:rPr>
      </w:pPr>
      <w:r w:rsidRPr="00B83C6F">
        <w:rPr>
          <w:rFonts w:ascii="Arial Narrow" w:hAnsi="Arial Narrow"/>
          <w:b/>
          <w:bCs/>
          <w:sz w:val="16"/>
          <w:szCs w:val="16"/>
        </w:rPr>
        <w:t>INTENDENCIA DE ADUANA</w:t>
      </w:r>
      <w:r w:rsidR="009263D2" w:rsidRPr="00B83C6F">
        <w:rPr>
          <w:rFonts w:ascii="Arial Narrow" w:hAnsi="Arial Narrow"/>
          <w:b/>
          <w:bCs/>
          <w:sz w:val="16"/>
          <w:szCs w:val="16"/>
        </w:rPr>
        <w:t xml:space="preserve"> </w:t>
      </w:r>
      <w:r w:rsidRPr="00B83C6F">
        <w:rPr>
          <w:rFonts w:ascii="Arial Narrow" w:hAnsi="Arial Narrow"/>
          <w:b/>
          <w:bCs/>
          <w:sz w:val="16"/>
          <w:szCs w:val="16"/>
        </w:rPr>
        <w:t>DE TACNA</w:t>
      </w:r>
    </w:p>
    <w:p w14:paraId="56F6B758" w14:textId="77777777" w:rsidR="002C69BC" w:rsidRPr="00B83C6F" w:rsidRDefault="002C69BC" w:rsidP="000A1B18">
      <w:pPr>
        <w:spacing w:after="0" w:line="0" w:lineRule="atLeast"/>
        <w:jc w:val="center"/>
        <w:rPr>
          <w:rFonts w:ascii="Arial Narrow" w:hAnsi="Arial Narrow"/>
          <w:b/>
          <w:bCs/>
          <w:sz w:val="16"/>
          <w:szCs w:val="16"/>
        </w:rPr>
      </w:pPr>
    </w:p>
    <w:p w14:paraId="50AF1CE5" w14:textId="5F4E393D" w:rsidR="002F18D4" w:rsidRPr="00B83C6F" w:rsidRDefault="002F18D4" w:rsidP="000A1B18">
      <w:pPr>
        <w:spacing w:after="0" w:line="0" w:lineRule="atLeast"/>
        <w:jc w:val="center"/>
        <w:rPr>
          <w:rFonts w:ascii="Arial Narrow" w:hAnsi="Arial Narrow"/>
          <w:b/>
          <w:bCs/>
          <w:sz w:val="16"/>
          <w:szCs w:val="16"/>
        </w:rPr>
      </w:pPr>
      <w:r w:rsidRPr="00B83C6F">
        <w:rPr>
          <w:rFonts w:ascii="Arial Narrow" w:hAnsi="Arial Narrow"/>
          <w:b/>
          <w:bCs/>
          <w:sz w:val="16"/>
          <w:szCs w:val="16"/>
        </w:rPr>
        <w:t xml:space="preserve">NOTIFICACIÓN ADMINISTRATIVA </w:t>
      </w:r>
    </w:p>
    <w:p w14:paraId="36DE5A9A" w14:textId="77777777" w:rsidR="00980A71" w:rsidRDefault="00980A71" w:rsidP="00980A71">
      <w:pPr>
        <w:spacing w:after="0" w:line="240" w:lineRule="auto"/>
        <w:ind w:left="1843" w:right="1835"/>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22.</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68F460EB" w14:textId="77777777" w:rsidR="002F18D4" w:rsidRPr="00261AC9" w:rsidRDefault="002F18D4" w:rsidP="000A1B18">
      <w:pPr>
        <w:spacing w:after="0" w:line="0" w:lineRule="atLeast"/>
        <w:jc w:val="center"/>
        <w:rPr>
          <w:rFonts w:ascii="Arial Narrow" w:hAnsi="Arial Narrow"/>
          <w:sz w:val="16"/>
          <w:szCs w:val="16"/>
        </w:rPr>
      </w:pPr>
    </w:p>
    <w:p w14:paraId="02370E83" w14:textId="77777777" w:rsidR="002F18D4" w:rsidRPr="00261AC9" w:rsidRDefault="002F18D4" w:rsidP="000A1B18">
      <w:pPr>
        <w:spacing w:after="0" w:line="0" w:lineRule="atLeast"/>
        <w:jc w:val="both"/>
        <w:rPr>
          <w:rFonts w:ascii="Arial Narrow" w:hAnsi="Arial Narrow"/>
          <w:sz w:val="16"/>
          <w:szCs w:val="16"/>
        </w:rPr>
      </w:pPr>
      <w:r w:rsidRPr="00261AC9">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7F175F5B" w14:textId="0F979EDA" w:rsidR="002F18D4" w:rsidRDefault="002F18D4" w:rsidP="000A1B18">
      <w:pPr>
        <w:spacing w:after="0" w:line="0" w:lineRule="atLeast"/>
        <w:jc w:val="both"/>
        <w:rPr>
          <w:rFonts w:ascii="Arial Narrow" w:hAnsi="Arial Narrow"/>
          <w:sz w:val="16"/>
          <w:szCs w:val="16"/>
        </w:rPr>
      </w:pPr>
      <w:r w:rsidRPr="00261AC9">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38622395" w14:textId="77777777" w:rsidR="00B83C6F" w:rsidRPr="00261AC9" w:rsidRDefault="00B83C6F" w:rsidP="000A1B18">
      <w:pPr>
        <w:spacing w:after="0" w:line="0" w:lineRule="atLeast"/>
        <w:jc w:val="both"/>
        <w:rPr>
          <w:rFonts w:ascii="Arial Narrow" w:hAnsi="Arial Narrow"/>
          <w:sz w:val="16"/>
          <w:szCs w:val="16"/>
        </w:rPr>
      </w:pPr>
    </w:p>
    <w:tbl>
      <w:tblPr>
        <w:tblStyle w:val="Tablaconcuadrculaclara"/>
        <w:tblW w:w="5000" w:type="pct"/>
        <w:tblLook w:val="04A0" w:firstRow="1" w:lastRow="0" w:firstColumn="1" w:lastColumn="0" w:noHBand="0" w:noVBand="1"/>
      </w:tblPr>
      <w:tblGrid>
        <w:gridCol w:w="959"/>
        <w:gridCol w:w="1166"/>
        <w:gridCol w:w="1228"/>
        <w:gridCol w:w="1175"/>
        <w:gridCol w:w="9422"/>
      </w:tblGrid>
      <w:tr w:rsidR="00FE35D3" w:rsidRPr="00261AC9" w14:paraId="216BCCC8" w14:textId="77777777" w:rsidTr="00FE35D3">
        <w:trPr>
          <w:trHeight w:val="20"/>
        </w:trPr>
        <w:tc>
          <w:tcPr>
            <w:tcW w:w="344" w:type="pct"/>
            <w:hideMark/>
          </w:tcPr>
          <w:p w14:paraId="3EB218D9"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eastAsia="Times New Roman" w:hAnsi="Arial Narrow" w:cs="Arial"/>
                <w:color w:val="000000"/>
                <w:sz w:val="16"/>
                <w:szCs w:val="16"/>
                <w:lang w:eastAsia="es-PE"/>
              </w:rPr>
              <w:t>Infractor</w:t>
            </w:r>
          </w:p>
        </w:tc>
        <w:tc>
          <w:tcPr>
            <w:tcW w:w="418" w:type="pct"/>
            <w:hideMark/>
          </w:tcPr>
          <w:p w14:paraId="51702129"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eastAsia="Times New Roman" w:hAnsi="Arial Narrow" w:cs="Arial"/>
                <w:color w:val="000000"/>
                <w:sz w:val="16"/>
                <w:szCs w:val="16"/>
                <w:lang w:eastAsia="es-PE"/>
              </w:rPr>
              <w:t>Documento de Identificación</w:t>
            </w:r>
          </w:p>
        </w:tc>
        <w:tc>
          <w:tcPr>
            <w:tcW w:w="440" w:type="pct"/>
            <w:hideMark/>
          </w:tcPr>
          <w:p w14:paraId="55B5040D"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eastAsia="Times New Roman" w:hAnsi="Arial Narrow" w:cs="Arial"/>
                <w:color w:val="000000"/>
                <w:sz w:val="16"/>
                <w:szCs w:val="16"/>
                <w:lang w:eastAsia="es-PE"/>
              </w:rPr>
              <w:t>Acta de INCAUTACION</w:t>
            </w:r>
          </w:p>
        </w:tc>
        <w:tc>
          <w:tcPr>
            <w:tcW w:w="421" w:type="pct"/>
            <w:hideMark/>
          </w:tcPr>
          <w:p w14:paraId="1C693E9E"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eastAsia="Times New Roman" w:hAnsi="Arial Narrow" w:cs="Arial"/>
                <w:color w:val="000000"/>
                <w:sz w:val="16"/>
                <w:szCs w:val="16"/>
                <w:lang w:eastAsia="es-PE"/>
              </w:rPr>
              <w:t>Resolución de División</w:t>
            </w:r>
          </w:p>
        </w:tc>
        <w:tc>
          <w:tcPr>
            <w:tcW w:w="3377" w:type="pct"/>
            <w:noWrap/>
            <w:hideMark/>
          </w:tcPr>
          <w:p w14:paraId="0C93E95A"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eastAsia="Times New Roman" w:hAnsi="Arial Narrow" w:cs="Arial"/>
                <w:color w:val="000000"/>
                <w:sz w:val="16"/>
                <w:szCs w:val="16"/>
                <w:lang w:eastAsia="es-PE"/>
              </w:rPr>
              <w:t>Determinación</w:t>
            </w:r>
          </w:p>
        </w:tc>
      </w:tr>
      <w:tr w:rsidR="00FE35D3" w:rsidRPr="00261AC9" w14:paraId="3738932D" w14:textId="77777777" w:rsidTr="00FE35D3">
        <w:trPr>
          <w:trHeight w:val="20"/>
        </w:trPr>
        <w:tc>
          <w:tcPr>
            <w:tcW w:w="344" w:type="pct"/>
          </w:tcPr>
          <w:p w14:paraId="3F9BD924"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hAnsi="Arial Narrow"/>
                <w:sz w:val="16"/>
                <w:szCs w:val="16"/>
              </w:rPr>
              <w:t>OSCAR ZAVALA VELIZ</w:t>
            </w:r>
          </w:p>
        </w:tc>
        <w:tc>
          <w:tcPr>
            <w:tcW w:w="418" w:type="pct"/>
          </w:tcPr>
          <w:p w14:paraId="58E614AA" w14:textId="77777777" w:rsidR="002F18D4" w:rsidRPr="00261AC9" w:rsidRDefault="002F18D4" w:rsidP="000A1B18">
            <w:pPr>
              <w:spacing w:line="0" w:lineRule="atLeast"/>
              <w:jc w:val="center"/>
              <w:rPr>
                <w:rFonts w:ascii="Arial Narrow" w:hAnsi="Arial Narrow"/>
                <w:sz w:val="16"/>
                <w:szCs w:val="16"/>
              </w:rPr>
            </w:pPr>
            <w:r w:rsidRPr="00261AC9">
              <w:rPr>
                <w:rFonts w:ascii="Arial Narrow" w:hAnsi="Arial Narrow"/>
                <w:sz w:val="16"/>
                <w:szCs w:val="16"/>
              </w:rPr>
              <w:t>Cedula de Identidad Chilena N°</w:t>
            </w:r>
          </w:p>
          <w:p w14:paraId="0DB3AEC1" w14:textId="77777777" w:rsidR="002F18D4" w:rsidRPr="00261AC9" w:rsidRDefault="002F18D4" w:rsidP="000A1B18">
            <w:pPr>
              <w:spacing w:line="0" w:lineRule="atLeast"/>
              <w:jc w:val="center"/>
              <w:rPr>
                <w:rFonts w:ascii="Arial Narrow" w:hAnsi="Arial Narrow" w:cs="Arial"/>
                <w:sz w:val="16"/>
                <w:szCs w:val="16"/>
              </w:rPr>
            </w:pPr>
            <w:r w:rsidRPr="00261AC9">
              <w:rPr>
                <w:rFonts w:ascii="Arial Narrow" w:hAnsi="Arial Narrow"/>
                <w:sz w:val="16"/>
                <w:szCs w:val="16"/>
              </w:rPr>
              <w:t xml:space="preserve"> 11 .813 .371 - 4</w:t>
            </w:r>
          </w:p>
        </w:tc>
        <w:tc>
          <w:tcPr>
            <w:tcW w:w="440" w:type="pct"/>
          </w:tcPr>
          <w:p w14:paraId="4143D24B" w14:textId="77777777" w:rsidR="002F18D4" w:rsidRPr="00261AC9" w:rsidRDefault="002F18D4" w:rsidP="000A1B18">
            <w:pPr>
              <w:spacing w:line="0" w:lineRule="atLeast"/>
              <w:jc w:val="center"/>
              <w:rPr>
                <w:rFonts w:ascii="Arial Narrow" w:hAnsi="Arial Narrow" w:cs="Arial"/>
                <w:sz w:val="16"/>
                <w:szCs w:val="16"/>
              </w:rPr>
            </w:pPr>
            <w:r w:rsidRPr="00261AC9">
              <w:rPr>
                <w:rFonts w:ascii="Arial Narrow" w:hAnsi="Arial Narrow"/>
                <w:sz w:val="16"/>
                <w:szCs w:val="16"/>
              </w:rPr>
              <w:t>172-0204-2024-000688</w:t>
            </w:r>
          </w:p>
        </w:tc>
        <w:tc>
          <w:tcPr>
            <w:tcW w:w="421" w:type="pct"/>
          </w:tcPr>
          <w:p w14:paraId="61E75937" w14:textId="77777777" w:rsidR="002F18D4" w:rsidRPr="00261AC9" w:rsidRDefault="002F18D4" w:rsidP="000A1B18">
            <w:pPr>
              <w:spacing w:line="0" w:lineRule="atLeast"/>
              <w:jc w:val="center"/>
              <w:rPr>
                <w:rFonts w:ascii="Arial Narrow" w:eastAsia="Times New Roman" w:hAnsi="Arial Narrow" w:cs="Arial"/>
                <w:color w:val="000000"/>
                <w:sz w:val="16"/>
                <w:szCs w:val="16"/>
                <w:lang w:eastAsia="es-PE"/>
              </w:rPr>
            </w:pPr>
            <w:r w:rsidRPr="00261AC9">
              <w:rPr>
                <w:rFonts w:ascii="Arial Narrow" w:hAnsi="Arial Narrow"/>
                <w:sz w:val="16"/>
                <w:szCs w:val="16"/>
              </w:rPr>
              <w:t>N.º 000180-2024-SUNAT/3G0800</w:t>
            </w:r>
          </w:p>
        </w:tc>
        <w:tc>
          <w:tcPr>
            <w:tcW w:w="3377" w:type="pct"/>
          </w:tcPr>
          <w:p w14:paraId="36606BBE" w14:textId="47A883D6" w:rsidR="002F18D4" w:rsidRPr="00261AC9" w:rsidRDefault="002F18D4" w:rsidP="000A1B18">
            <w:pPr>
              <w:autoSpaceDE w:val="0"/>
              <w:autoSpaceDN w:val="0"/>
              <w:adjustRightInd w:val="0"/>
              <w:spacing w:line="0" w:lineRule="atLeast"/>
              <w:jc w:val="both"/>
              <w:rPr>
                <w:rFonts w:ascii="Arial Narrow" w:hAnsi="Arial Narrow"/>
                <w:sz w:val="16"/>
                <w:szCs w:val="16"/>
              </w:rPr>
            </w:pPr>
            <w:r w:rsidRPr="00261AC9">
              <w:rPr>
                <w:rFonts w:ascii="Arial Narrow" w:hAnsi="Arial Narrow"/>
                <w:sz w:val="16"/>
                <w:szCs w:val="16"/>
              </w:rPr>
              <w:t>ARTICULO PRIMERO: Declarar IMPROCEDENTE la solicitud de devolución de mercancías respecto de la mercancía incautada mediante el Acta de Incautación N° 172 -0204 -2024 -000688, presentada por OSCAR ZAVALA VELIZ identificado con CEDULA N° 118133714 a través del Expediente N° 172 -URD999 -2024 -1110723 de fecha 08 /11 /202 4, en atención a los fundamentos expuestos en l a presente resolución.</w:t>
            </w:r>
          </w:p>
          <w:p w14:paraId="4CDF8D32" w14:textId="4431F7CF" w:rsidR="002F18D4" w:rsidRPr="00261AC9" w:rsidRDefault="002F18D4" w:rsidP="000A1B18">
            <w:pPr>
              <w:autoSpaceDE w:val="0"/>
              <w:autoSpaceDN w:val="0"/>
              <w:adjustRightInd w:val="0"/>
              <w:spacing w:line="0" w:lineRule="atLeast"/>
              <w:jc w:val="both"/>
              <w:rPr>
                <w:rFonts w:ascii="Arial Narrow" w:hAnsi="Arial Narrow"/>
                <w:sz w:val="16"/>
                <w:szCs w:val="16"/>
              </w:rPr>
            </w:pPr>
            <w:r w:rsidRPr="00261AC9">
              <w:rPr>
                <w:rFonts w:ascii="Arial Narrow" w:hAnsi="Arial Narrow"/>
                <w:sz w:val="16"/>
                <w:szCs w:val="16"/>
              </w:rPr>
              <w:t>ARTICULO SEGUNDO: Sancionar con COMISO de la mercancía incautada a través del Acta de Incautación N° 172 -0204 -2024 -000688, de conformidad con lo establecido en el inciso b) del artículo 200° de la Ley General de Aduanas y el Código CO 2 de la Tabla de Sanciones.</w:t>
            </w:r>
          </w:p>
        </w:tc>
      </w:tr>
      <w:tr w:rsidR="00FE35D3" w:rsidRPr="00261AC9" w14:paraId="60ED3845" w14:textId="77777777" w:rsidTr="00FE35D3">
        <w:trPr>
          <w:trHeight w:val="20"/>
        </w:trPr>
        <w:tc>
          <w:tcPr>
            <w:tcW w:w="344" w:type="pct"/>
            <w:vAlign w:val="center"/>
          </w:tcPr>
          <w:p w14:paraId="1EEC7ACB" w14:textId="58786803" w:rsidR="00C077F8" w:rsidRPr="00261AC9" w:rsidRDefault="00C077F8" w:rsidP="00C077F8">
            <w:pPr>
              <w:spacing w:line="0" w:lineRule="atLeast"/>
              <w:jc w:val="center"/>
              <w:rPr>
                <w:rFonts w:ascii="Arial Narrow" w:hAnsi="Arial Narrow"/>
                <w:sz w:val="16"/>
                <w:szCs w:val="16"/>
              </w:rPr>
            </w:pPr>
            <w:r w:rsidRPr="00261AC9">
              <w:rPr>
                <w:rFonts w:ascii="Arial Narrow" w:hAnsi="Arial Narrow" w:cstheme="minorHAnsi"/>
                <w:sz w:val="16"/>
                <w:szCs w:val="16"/>
              </w:rPr>
              <w:t>BRAYAN OLIVER LUPACA QUISPE</w:t>
            </w:r>
          </w:p>
        </w:tc>
        <w:tc>
          <w:tcPr>
            <w:tcW w:w="418" w:type="pct"/>
            <w:vAlign w:val="center"/>
          </w:tcPr>
          <w:p w14:paraId="712F7D6F" w14:textId="1E3B2EC8" w:rsidR="00C077F8" w:rsidRPr="00261AC9" w:rsidRDefault="00C077F8" w:rsidP="00C077F8">
            <w:pPr>
              <w:spacing w:line="0" w:lineRule="atLeast"/>
              <w:jc w:val="center"/>
              <w:rPr>
                <w:rFonts w:ascii="Arial Narrow" w:hAnsi="Arial Narrow"/>
                <w:sz w:val="16"/>
                <w:szCs w:val="16"/>
              </w:rPr>
            </w:pPr>
            <w:r w:rsidRPr="00261AC9">
              <w:rPr>
                <w:rFonts w:ascii="Arial Narrow" w:hAnsi="Arial Narrow" w:cstheme="minorHAnsi"/>
                <w:sz w:val="16"/>
                <w:szCs w:val="16"/>
              </w:rPr>
              <w:t>DNI N° 73745562</w:t>
            </w:r>
          </w:p>
        </w:tc>
        <w:tc>
          <w:tcPr>
            <w:tcW w:w="440" w:type="pct"/>
            <w:vAlign w:val="center"/>
          </w:tcPr>
          <w:p w14:paraId="45EBF44C" w14:textId="5F7E7384" w:rsidR="00C077F8" w:rsidRPr="00261AC9" w:rsidRDefault="00C077F8" w:rsidP="00C077F8">
            <w:pPr>
              <w:spacing w:line="0" w:lineRule="atLeast"/>
              <w:jc w:val="center"/>
              <w:rPr>
                <w:rFonts w:ascii="Arial Narrow" w:hAnsi="Arial Narrow"/>
                <w:sz w:val="16"/>
                <w:szCs w:val="16"/>
              </w:rPr>
            </w:pPr>
            <w:r w:rsidRPr="00261AC9">
              <w:rPr>
                <w:rFonts w:ascii="Arial Narrow" w:hAnsi="Arial Narrow" w:cstheme="minorHAnsi"/>
                <w:sz w:val="16"/>
                <w:szCs w:val="16"/>
              </w:rPr>
              <w:t>172-0400-2024-000076</w:t>
            </w:r>
          </w:p>
        </w:tc>
        <w:tc>
          <w:tcPr>
            <w:tcW w:w="421" w:type="pct"/>
            <w:vAlign w:val="center"/>
          </w:tcPr>
          <w:p w14:paraId="11226606" w14:textId="77777777" w:rsidR="00C077F8" w:rsidRPr="00261AC9" w:rsidRDefault="00C077F8" w:rsidP="00C077F8">
            <w:pPr>
              <w:spacing w:line="0" w:lineRule="atLeast"/>
              <w:jc w:val="center"/>
              <w:rPr>
                <w:rFonts w:ascii="Arial Narrow" w:hAnsi="Arial Narrow" w:cstheme="minorHAnsi"/>
                <w:sz w:val="16"/>
                <w:szCs w:val="16"/>
              </w:rPr>
            </w:pPr>
            <w:r w:rsidRPr="00261AC9">
              <w:rPr>
                <w:rFonts w:ascii="Arial Narrow" w:hAnsi="Arial Narrow" w:cstheme="minorHAnsi"/>
                <w:sz w:val="16"/>
                <w:szCs w:val="16"/>
              </w:rPr>
              <w:t>000549-2024-SUNAT/3G0500</w:t>
            </w:r>
          </w:p>
          <w:p w14:paraId="0807F3E2" w14:textId="6FB0AA33" w:rsidR="00C077F8" w:rsidRPr="00261AC9" w:rsidRDefault="00C077F8" w:rsidP="00C077F8">
            <w:pPr>
              <w:spacing w:line="0" w:lineRule="atLeast"/>
              <w:jc w:val="center"/>
              <w:rPr>
                <w:rFonts w:ascii="Arial Narrow" w:hAnsi="Arial Narrow"/>
                <w:sz w:val="16"/>
                <w:szCs w:val="16"/>
              </w:rPr>
            </w:pPr>
            <w:r w:rsidRPr="00261AC9">
              <w:rPr>
                <w:rFonts w:ascii="Arial Narrow" w:hAnsi="Arial Narrow" w:cstheme="minorHAnsi"/>
                <w:sz w:val="16"/>
                <w:szCs w:val="16"/>
              </w:rPr>
              <w:t>del 12.09.2024</w:t>
            </w:r>
          </w:p>
        </w:tc>
        <w:tc>
          <w:tcPr>
            <w:tcW w:w="3377" w:type="pct"/>
            <w:vAlign w:val="center"/>
          </w:tcPr>
          <w:p w14:paraId="677E654E" w14:textId="77777777" w:rsidR="00C077F8" w:rsidRPr="00261AC9" w:rsidRDefault="00C077F8" w:rsidP="00C077F8">
            <w:pPr>
              <w:spacing w:line="0" w:lineRule="atLeast"/>
              <w:contextualSpacing/>
              <w:jc w:val="both"/>
              <w:rPr>
                <w:rFonts w:ascii="Arial Narrow" w:hAnsi="Arial Narrow" w:cstheme="minorHAnsi"/>
                <w:sz w:val="16"/>
                <w:szCs w:val="16"/>
                <w:lang w:eastAsia="es-PE"/>
              </w:rPr>
            </w:pPr>
            <w:r w:rsidRPr="00261AC9">
              <w:rPr>
                <w:rFonts w:ascii="Arial Narrow" w:hAnsi="Arial Narrow" w:cstheme="minorHAnsi"/>
                <w:sz w:val="16"/>
                <w:szCs w:val="16"/>
                <w:lang w:eastAsia="es-PE"/>
              </w:rPr>
              <w:t>ARTÍCULO PRIMERO. - Declarar IMPROCEDENTE la solicitud de devolución presentado por ISAIAS MAMANI PEREZ con DNI N° 42436029, mediante Expediente N° 172-URD119-2024-733753-1 de fecha 31.07.2024.</w:t>
            </w:r>
          </w:p>
          <w:p w14:paraId="7701480F" w14:textId="77777777" w:rsidR="00C077F8" w:rsidRPr="00261AC9" w:rsidRDefault="00C077F8" w:rsidP="00C077F8">
            <w:pPr>
              <w:spacing w:line="0" w:lineRule="atLeast"/>
              <w:contextualSpacing/>
              <w:jc w:val="both"/>
              <w:rPr>
                <w:rFonts w:ascii="Arial Narrow" w:hAnsi="Arial Narrow" w:cstheme="minorHAnsi"/>
                <w:sz w:val="16"/>
                <w:szCs w:val="16"/>
                <w:lang w:eastAsia="es-PE"/>
              </w:rPr>
            </w:pPr>
            <w:r w:rsidRPr="00261AC9">
              <w:rPr>
                <w:rFonts w:ascii="Arial Narrow" w:hAnsi="Arial Narrow" w:cstheme="minorHAnsi"/>
                <w:sz w:val="16"/>
                <w:szCs w:val="16"/>
                <w:lang w:eastAsia="es-PE"/>
              </w:rPr>
              <w:t>ARTÍCULO SEGUNDO. - Declarar el COMISO de la mercancía descrita en el Acta de Incautación N° 172-0400-2024-000076 de fecha 27.06.2024; de conformidad con los fundamentos de hecho y de derecho expuestos en la presente resolución.</w:t>
            </w:r>
          </w:p>
          <w:p w14:paraId="073668C7" w14:textId="77777777" w:rsidR="00C077F8" w:rsidRPr="00261AC9" w:rsidRDefault="00C077F8" w:rsidP="00C077F8">
            <w:pPr>
              <w:spacing w:line="0" w:lineRule="atLeast"/>
              <w:contextualSpacing/>
              <w:jc w:val="both"/>
              <w:rPr>
                <w:rFonts w:ascii="Arial Narrow" w:hAnsi="Arial Narrow" w:cstheme="minorHAnsi"/>
                <w:sz w:val="16"/>
                <w:szCs w:val="16"/>
              </w:rPr>
            </w:pPr>
            <w:r w:rsidRPr="00261AC9">
              <w:rPr>
                <w:rFonts w:ascii="Arial Narrow" w:hAnsi="Arial Narrow" w:cstheme="minorHAnsi"/>
                <w:sz w:val="16"/>
                <w:szCs w:val="16"/>
              </w:rPr>
              <w:t>ARTICULO TERCERO. - Sancionar con el INTERNAMIENTO TEMPORAL al vehículo con placa de rodaje APW-156, por el periodo de sesenta (60) días calendario; de conformidad con el artículo 41° inciso a) de la Ley N° 28008; sanción</w:t>
            </w:r>
          </w:p>
          <w:p w14:paraId="4D5E618D" w14:textId="77777777" w:rsidR="00C077F8" w:rsidRPr="00261AC9" w:rsidRDefault="00C077F8" w:rsidP="00C077F8">
            <w:pPr>
              <w:spacing w:line="0" w:lineRule="atLeast"/>
              <w:contextualSpacing/>
              <w:jc w:val="both"/>
              <w:rPr>
                <w:rFonts w:ascii="Arial Narrow" w:hAnsi="Arial Narrow" w:cstheme="minorHAnsi"/>
                <w:sz w:val="16"/>
                <w:szCs w:val="16"/>
              </w:rPr>
            </w:pPr>
            <w:r w:rsidRPr="00261AC9">
              <w:rPr>
                <w:rFonts w:ascii="Arial Narrow" w:hAnsi="Arial Narrow" w:cstheme="minorHAnsi"/>
                <w:sz w:val="16"/>
                <w:szCs w:val="16"/>
              </w:rPr>
              <w:t>que se computará desde el 27.06.2024 al 25.08.2024, por lo que, el propietario deberá apersonarse ante la Dirección de Transportes y Comunicaciones de Tacna, con la resolución de sanción de internamiento, a fin de solicitar la liberación del vehículo;</w:t>
            </w:r>
          </w:p>
          <w:p w14:paraId="3423EAA3" w14:textId="38D12E19" w:rsidR="00C077F8" w:rsidRPr="00261AC9" w:rsidRDefault="00C077F8" w:rsidP="00C077F8">
            <w:pPr>
              <w:autoSpaceDE w:val="0"/>
              <w:autoSpaceDN w:val="0"/>
              <w:adjustRightInd w:val="0"/>
              <w:spacing w:line="0" w:lineRule="atLeast"/>
              <w:jc w:val="both"/>
              <w:rPr>
                <w:rFonts w:ascii="Arial Narrow" w:hAnsi="Arial Narrow"/>
                <w:sz w:val="16"/>
                <w:szCs w:val="16"/>
              </w:rPr>
            </w:pPr>
            <w:r w:rsidRPr="00261AC9">
              <w:rPr>
                <w:rFonts w:ascii="Arial Narrow" w:hAnsi="Arial Narrow" w:cstheme="minorHAnsi"/>
                <w:sz w:val="16"/>
                <w:szCs w:val="16"/>
              </w:rPr>
              <w:t>ARTÍCULO CUARTO.- Oficiar a la Dirección Regional de Transportes y Comunicaciones de Tacna, una vez consentida o firme la presente resolución, a efectos de que se aplique la sanción de SUSPENSIÓN de licencia de conducir de BRAYAN OLIVER LUPACA QUISPE identificado con DNI N° 73745562 por el término de un (01) año; así como considerar la sanción como antecedentes en el registro de conductores, conforme a los considerandos expuestos en la presente resolución, debiéndose proceder con levantar la sanción impuesta una vez cumplido el período descrito.</w:t>
            </w:r>
          </w:p>
        </w:tc>
      </w:tr>
    </w:tbl>
    <w:p w14:paraId="060CB0CF" w14:textId="3D9C0F6E" w:rsidR="00261AC9" w:rsidRPr="00261AC9" w:rsidRDefault="00261AC9" w:rsidP="00261AC9">
      <w:pPr>
        <w:spacing w:after="0" w:line="0" w:lineRule="atLeast"/>
        <w:jc w:val="both"/>
        <w:rPr>
          <w:rFonts w:ascii="Arial Narrow" w:hAnsi="Arial Narrow"/>
          <w:sz w:val="16"/>
          <w:szCs w:val="16"/>
        </w:rPr>
      </w:pPr>
    </w:p>
    <w:tbl>
      <w:tblPr>
        <w:tblStyle w:val="Tablaconcuadrculaclara"/>
        <w:tblW w:w="14029" w:type="dxa"/>
        <w:tblLook w:val="04A0" w:firstRow="1" w:lastRow="0" w:firstColumn="1" w:lastColumn="0" w:noHBand="0" w:noVBand="1"/>
      </w:tblPr>
      <w:tblGrid>
        <w:gridCol w:w="1413"/>
        <w:gridCol w:w="1559"/>
        <w:gridCol w:w="11057"/>
      </w:tblGrid>
      <w:tr w:rsidR="00FE35D3" w:rsidRPr="00261AC9" w14:paraId="3D495D1E" w14:textId="77777777" w:rsidTr="00FE35D3">
        <w:trPr>
          <w:trHeight w:val="20"/>
        </w:trPr>
        <w:tc>
          <w:tcPr>
            <w:tcW w:w="1413" w:type="dxa"/>
            <w:hideMark/>
          </w:tcPr>
          <w:p w14:paraId="2FE79C2A" w14:textId="77777777" w:rsidR="00261AC9" w:rsidRPr="00261AC9" w:rsidRDefault="00261AC9" w:rsidP="00B83C6F">
            <w:pPr>
              <w:pStyle w:val="Sinespaciado"/>
              <w:spacing w:line="0" w:lineRule="atLeast"/>
              <w:jc w:val="center"/>
              <w:rPr>
                <w:rFonts w:ascii="Arial Narrow" w:hAnsi="Arial Narrow"/>
                <w:sz w:val="16"/>
                <w:szCs w:val="16"/>
              </w:rPr>
            </w:pPr>
            <w:r w:rsidRPr="00261AC9">
              <w:rPr>
                <w:rFonts w:ascii="Arial Narrow" w:hAnsi="Arial Narrow"/>
                <w:sz w:val="16"/>
                <w:szCs w:val="16"/>
              </w:rPr>
              <w:t>Acta de Incautación</w:t>
            </w:r>
          </w:p>
        </w:tc>
        <w:tc>
          <w:tcPr>
            <w:tcW w:w="1559" w:type="dxa"/>
            <w:hideMark/>
          </w:tcPr>
          <w:p w14:paraId="635EBC1D" w14:textId="77777777" w:rsidR="00261AC9" w:rsidRPr="00261AC9" w:rsidRDefault="00261AC9" w:rsidP="00B83C6F">
            <w:pPr>
              <w:pStyle w:val="Sinespaciado"/>
              <w:spacing w:line="0" w:lineRule="atLeast"/>
              <w:jc w:val="center"/>
              <w:rPr>
                <w:rFonts w:ascii="Arial Narrow" w:hAnsi="Arial Narrow"/>
                <w:sz w:val="16"/>
                <w:szCs w:val="16"/>
              </w:rPr>
            </w:pPr>
            <w:r w:rsidRPr="00261AC9">
              <w:rPr>
                <w:rFonts w:ascii="Arial Narrow" w:hAnsi="Arial Narrow"/>
                <w:sz w:val="16"/>
                <w:szCs w:val="16"/>
              </w:rPr>
              <w:t>Resolución de División</w:t>
            </w:r>
          </w:p>
        </w:tc>
        <w:tc>
          <w:tcPr>
            <w:tcW w:w="11057" w:type="dxa"/>
            <w:noWrap/>
            <w:hideMark/>
          </w:tcPr>
          <w:p w14:paraId="4463A1F7" w14:textId="77777777" w:rsidR="00261AC9" w:rsidRPr="00261AC9" w:rsidRDefault="00261AC9" w:rsidP="00B83C6F">
            <w:pPr>
              <w:pStyle w:val="Sinespaciado"/>
              <w:spacing w:line="0" w:lineRule="atLeast"/>
              <w:jc w:val="center"/>
              <w:rPr>
                <w:rFonts w:ascii="Arial Narrow" w:hAnsi="Arial Narrow"/>
                <w:sz w:val="16"/>
                <w:szCs w:val="16"/>
              </w:rPr>
            </w:pPr>
            <w:r w:rsidRPr="00261AC9">
              <w:rPr>
                <w:rFonts w:ascii="Arial Narrow" w:hAnsi="Arial Narrow"/>
                <w:sz w:val="16"/>
                <w:szCs w:val="16"/>
              </w:rPr>
              <w:t>Determinación</w:t>
            </w:r>
          </w:p>
        </w:tc>
      </w:tr>
      <w:tr w:rsidR="00FE35D3" w:rsidRPr="00261AC9" w14:paraId="1D4ED4B9" w14:textId="77777777" w:rsidTr="00FE35D3">
        <w:trPr>
          <w:trHeight w:val="20"/>
        </w:trPr>
        <w:tc>
          <w:tcPr>
            <w:tcW w:w="1413" w:type="dxa"/>
            <w:vAlign w:val="center"/>
          </w:tcPr>
          <w:p w14:paraId="51F8A8F3" w14:textId="0B5C788D"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172-0204-2024-000712 de fecha 31.10.2024</w:t>
            </w:r>
          </w:p>
        </w:tc>
        <w:tc>
          <w:tcPr>
            <w:tcW w:w="1559" w:type="dxa"/>
            <w:vAlign w:val="center"/>
          </w:tcPr>
          <w:p w14:paraId="4B7640F4" w14:textId="75895D1C"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000181-2024-SUNAT/3G0800 de fecha 19.11.2024</w:t>
            </w:r>
          </w:p>
        </w:tc>
        <w:tc>
          <w:tcPr>
            <w:tcW w:w="11057" w:type="dxa"/>
            <w:vAlign w:val="center"/>
          </w:tcPr>
          <w:p w14:paraId="31C5FB9A" w14:textId="77777777"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 xml:space="preserve">ARTÍCULO PRIMERO: Declarar IMPROCEDENTE la solicitud de devolución de mercancías incautadas mediante el Acta de Incautación N° 172-0204-202- 000712, presentada por Fernando Muro Enriquez identificado con DNI N° 17575636 a través del Expediente N° 000-URD010-2024-1115602 en fecha 08.11.2024, en atención a los fundamentos expuestos en la parte considerativa de la presente resolución. </w:t>
            </w:r>
          </w:p>
          <w:p w14:paraId="13520350" w14:textId="77777777"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 xml:space="preserve">ARTÍCULO SEGUNDO: Declarar el COMISO de la mercancía incautada a través del Acta de Incautación N° 172-0204-2024-000712, de conformidad con lo establecido en el antepenúltimo párrafo del artículo 200 de la Ley General de Aduanas y el Código CO13 de la Sección IV de la Tabla de Sanciones. </w:t>
            </w:r>
          </w:p>
          <w:p w14:paraId="12A69FD8" w14:textId="4C55C8A9"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ARTÍCULO TERCERO: Notificar la presente resolución mediante publicación en el Diario Oficial El Peruano, de conformidad con el numeral 2) del inciso e) del artículo 104° del Texto Único Ordenado del Código Tributario, aprobado por Decreto Supremo N° 133-2013-EF.</w:t>
            </w:r>
          </w:p>
        </w:tc>
      </w:tr>
      <w:tr w:rsidR="00FE35D3" w:rsidRPr="00261AC9" w14:paraId="6EABD106" w14:textId="77777777" w:rsidTr="00FE35D3">
        <w:trPr>
          <w:trHeight w:val="20"/>
        </w:trPr>
        <w:tc>
          <w:tcPr>
            <w:tcW w:w="1413" w:type="dxa"/>
            <w:vAlign w:val="center"/>
          </w:tcPr>
          <w:p w14:paraId="380F0FD5" w14:textId="3BD2B323"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172-0204-2024-000701 de fecha 26.10.2024</w:t>
            </w:r>
          </w:p>
        </w:tc>
        <w:tc>
          <w:tcPr>
            <w:tcW w:w="1559" w:type="dxa"/>
            <w:vAlign w:val="center"/>
          </w:tcPr>
          <w:p w14:paraId="34DF2D21" w14:textId="1D2F1EA8"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000182-2024-SUNAT/3G0800 de fecha 19.11.2024</w:t>
            </w:r>
          </w:p>
        </w:tc>
        <w:tc>
          <w:tcPr>
            <w:tcW w:w="11057" w:type="dxa"/>
            <w:vAlign w:val="center"/>
          </w:tcPr>
          <w:p w14:paraId="33B7DDD0" w14:textId="77777777"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 xml:space="preserve">ARTÍCULO PRIMERO: Declarar IMPROCEDENTE la solicitud de devolución de mercancías respecto de la mercancía incautada mediante el Acta de Incautación N° 172-0204-2024-000701 de fecha 26.10.2024, presentada por Alexander Kalet Flores Rivera identificado con CIP N° 21917102-1 a través del Expediente N° 172-URD999-2024-1118177 en fecha 10.11.2024, en atención a los fundamentos expuestos en la parte considerativa de la presente resolución. ARTÍCULO SEGUNDO: Declarar el COMISO de la mercancía incautada a través del Acta de Incautación N° 172-0204-2024-000701, de conformidad con lo establecido en el antepenúltimo párrafo del artículo 200 de la Ley General de Aduanas y el Código CO13 de la Sección IV de la Tabla de Sanciones. </w:t>
            </w:r>
          </w:p>
          <w:p w14:paraId="70D32127" w14:textId="2FC532AE"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ARTÍCULO TERCERO: Notificar la presente resolución mediante publicación en el Diario Oficial El Peruano, de conformidad con el numeral 2) del inciso e) del artículo 104° del Texto Único Ordenado del Código Tributario, aprobado por Decreto Supremo N° 133-2013-EF.</w:t>
            </w:r>
          </w:p>
        </w:tc>
      </w:tr>
      <w:tr w:rsidR="00FE35D3" w:rsidRPr="00261AC9" w14:paraId="3798E8FD" w14:textId="77777777" w:rsidTr="00FE35D3">
        <w:trPr>
          <w:trHeight w:val="20"/>
        </w:trPr>
        <w:tc>
          <w:tcPr>
            <w:tcW w:w="1413" w:type="dxa"/>
            <w:hideMark/>
          </w:tcPr>
          <w:p w14:paraId="2E9283CA" w14:textId="35758012"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172-0400-2020-000042 de fecha 08.02.2020</w:t>
            </w:r>
          </w:p>
        </w:tc>
        <w:tc>
          <w:tcPr>
            <w:tcW w:w="1559" w:type="dxa"/>
            <w:hideMark/>
          </w:tcPr>
          <w:p w14:paraId="45D6B759" w14:textId="77777777" w:rsidR="00FE35D3" w:rsidRPr="00261AC9" w:rsidRDefault="00FE35D3" w:rsidP="00FE35D3">
            <w:pPr>
              <w:pStyle w:val="Sinespaciado"/>
              <w:spacing w:line="0" w:lineRule="atLeast"/>
              <w:jc w:val="center"/>
              <w:rPr>
                <w:rFonts w:ascii="Arial Narrow" w:hAnsi="Arial Narrow"/>
                <w:sz w:val="16"/>
                <w:szCs w:val="16"/>
              </w:rPr>
            </w:pPr>
            <w:r w:rsidRPr="00261AC9">
              <w:rPr>
                <w:rFonts w:ascii="Arial Narrow" w:hAnsi="Arial Narrow"/>
                <w:sz w:val="16"/>
                <w:szCs w:val="16"/>
              </w:rPr>
              <w:t>N.º 000836-2024-SUNAT/3G0500 de fecha 19.11.2024</w:t>
            </w:r>
          </w:p>
        </w:tc>
        <w:tc>
          <w:tcPr>
            <w:tcW w:w="11057" w:type="dxa"/>
          </w:tcPr>
          <w:p w14:paraId="59449870" w14:textId="77777777" w:rsidR="00FE35D3" w:rsidRPr="00261AC9" w:rsidRDefault="00FE35D3" w:rsidP="00FE35D3">
            <w:pPr>
              <w:pStyle w:val="Sinespaciado"/>
              <w:spacing w:line="0" w:lineRule="atLeast"/>
              <w:jc w:val="both"/>
              <w:rPr>
                <w:rFonts w:ascii="Arial Narrow" w:hAnsi="Arial Narrow"/>
                <w:sz w:val="16"/>
                <w:szCs w:val="16"/>
              </w:rPr>
            </w:pPr>
            <w:r w:rsidRPr="00261AC9">
              <w:rPr>
                <w:rFonts w:ascii="Arial Narrow" w:hAnsi="Arial Narrow"/>
                <w:sz w:val="16"/>
                <w:szCs w:val="16"/>
              </w:rPr>
              <w:t>ARTÍCULO ÚNICO. - Declarar el COMISO de las mercancías consignadas en el Acta de Incautación N° 172 -0400 -2020 -000042 del 08.02.2020, conforme a los fundamentos de hecho y derechos expuestos en la parte considerativa de la presente.</w:t>
            </w:r>
          </w:p>
        </w:tc>
      </w:tr>
    </w:tbl>
    <w:p w14:paraId="5ABB9417" w14:textId="4626CB8F" w:rsidR="00E66346" w:rsidRPr="00261AC9" w:rsidRDefault="00E66346" w:rsidP="000A1B18">
      <w:pPr>
        <w:spacing w:after="0" w:line="0" w:lineRule="atLeast"/>
        <w:jc w:val="center"/>
        <w:rPr>
          <w:rFonts w:ascii="Arial Narrow" w:hAnsi="Arial Narrow"/>
          <w:sz w:val="16"/>
          <w:szCs w:val="16"/>
        </w:rPr>
      </w:pPr>
    </w:p>
    <w:sectPr w:rsidR="00E66346" w:rsidRPr="00261AC9" w:rsidSect="00FE35D3">
      <w:pgSz w:w="16840" w:h="11900" w:orient="landscape"/>
      <w:pgMar w:top="107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47D4" w14:textId="77777777" w:rsidR="00D774FB" w:rsidRDefault="00D774FB" w:rsidP="005319CE">
      <w:pPr>
        <w:spacing w:after="0" w:line="240" w:lineRule="auto"/>
      </w:pPr>
      <w:r>
        <w:separator/>
      </w:r>
    </w:p>
  </w:endnote>
  <w:endnote w:type="continuationSeparator" w:id="0">
    <w:p w14:paraId="24D248C0" w14:textId="77777777" w:rsidR="00D774FB" w:rsidRDefault="00D774FB"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CC85" w14:textId="77777777" w:rsidR="00D774FB" w:rsidRDefault="00D774FB" w:rsidP="005319CE">
      <w:pPr>
        <w:spacing w:after="0" w:line="240" w:lineRule="auto"/>
      </w:pPr>
      <w:r>
        <w:separator/>
      </w:r>
    </w:p>
  </w:footnote>
  <w:footnote w:type="continuationSeparator" w:id="0">
    <w:p w14:paraId="4EA8BE11" w14:textId="77777777" w:rsidR="00D774FB" w:rsidRDefault="00D774FB"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A101D"/>
    <w:rsid w:val="000A1B18"/>
    <w:rsid w:val="000B5EBC"/>
    <w:rsid w:val="000D08D4"/>
    <w:rsid w:val="000D5A8F"/>
    <w:rsid w:val="000D76D9"/>
    <w:rsid w:val="000E1982"/>
    <w:rsid w:val="000E7934"/>
    <w:rsid w:val="000F3EE5"/>
    <w:rsid w:val="00107F95"/>
    <w:rsid w:val="00122B93"/>
    <w:rsid w:val="001435FD"/>
    <w:rsid w:val="001740A0"/>
    <w:rsid w:val="001838EE"/>
    <w:rsid w:val="001A7DF9"/>
    <w:rsid w:val="001C7EE6"/>
    <w:rsid w:val="001F3673"/>
    <w:rsid w:val="00203523"/>
    <w:rsid w:val="00232496"/>
    <w:rsid w:val="00235118"/>
    <w:rsid w:val="0024134F"/>
    <w:rsid w:val="00247717"/>
    <w:rsid w:val="00261AC9"/>
    <w:rsid w:val="00280B1A"/>
    <w:rsid w:val="002A34CA"/>
    <w:rsid w:val="002A3C6F"/>
    <w:rsid w:val="002B08A0"/>
    <w:rsid w:val="002C17BF"/>
    <w:rsid w:val="002C69BC"/>
    <w:rsid w:val="002D69AC"/>
    <w:rsid w:val="002F18D4"/>
    <w:rsid w:val="00310D76"/>
    <w:rsid w:val="00311C8C"/>
    <w:rsid w:val="00316AA1"/>
    <w:rsid w:val="00335B64"/>
    <w:rsid w:val="0037423B"/>
    <w:rsid w:val="0037573A"/>
    <w:rsid w:val="00375B00"/>
    <w:rsid w:val="003D4101"/>
    <w:rsid w:val="00407E6F"/>
    <w:rsid w:val="00436209"/>
    <w:rsid w:val="004421C2"/>
    <w:rsid w:val="004555A8"/>
    <w:rsid w:val="004718F9"/>
    <w:rsid w:val="004A54D3"/>
    <w:rsid w:val="004D64C9"/>
    <w:rsid w:val="004D7099"/>
    <w:rsid w:val="004E21D2"/>
    <w:rsid w:val="004E2231"/>
    <w:rsid w:val="004F0A73"/>
    <w:rsid w:val="004F3A5E"/>
    <w:rsid w:val="0051464E"/>
    <w:rsid w:val="005319CE"/>
    <w:rsid w:val="005550B5"/>
    <w:rsid w:val="00571AC5"/>
    <w:rsid w:val="00575D6D"/>
    <w:rsid w:val="005937AE"/>
    <w:rsid w:val="005A5276"/>
    <w:rsid w:val="005B21D1"/>
    <w:rsid w:val="005B6463"/>
    <w:rsid w:val="005C13CB"/>
    <w:rsid w:val="005D0B5C"/>
    <w:rsid w:val="005E3435"/>
    <w:rsid w:val="00602D8E"/>
    <w:rsid w:val="00612EA5"/>
    <w:rsid w:val="00624B06"/>
    <w:rsid w:val="00632AFA"/>
    <w:rsid w:val="00654B20"/>
    <w:rsid w:val="00673016"/>
    <w:rsid w:val="00682FF5"/>
    <w:rsid w:val="00683F39"/>
    <w:rsid w:val="0069120F"/>
    <w:rsid w:val="006947FC"/>
    <w:rsid w:val="006A057D"/>
    <w:rsid w:val="006B6933"/>
    <w:rsid w:val="006C5431"/>
    <w:rsid w:val="007141F9"/>
    <w:rsid w:val="00721041"/>
    <w:rsid w:val="00741332"/>
    <w:rsid w:val="00796BD9"/>
    <w:rsid w:val="007C0315"/>
    <w:rsid w:val="007D7C47"/>
    <w:rsid w:val="007F5F37"/>
    <w:rsid w:val="00801EC2"/>
    <w:rsid w:val="00802FE8"/>
    <w:rsid w:val="00813866"/>
    <w:rsid w:val="00823836"/>
    <w:rsid w:val="00843AC9"/>
    <w:rsid w:val="008443C4"/>
    <w:rsid w:val="00882A6C"/>
    <w:rsid w:val="008B6D02"/>
    <w:rsid w:val="008C2CF4"/>
    <w:rsid w:val="008C7AFF"/>
    <w:rsid w:val="008F0D2A"/>
    <w:rsid w:val="00923EFA"/>
    <w:rsid w:val="009263D2"/>
    <w:rsid w:val="00936528"/>
    <w:rsid w:val="00980A71"/>
    <w:rsid w:val="00991A03"/>
    <w:rsid w:val="009B4CF7"/>
    <w:rsid w:val="009D2812"/>
    <w:rsid w:val="009D4370"/>
    <w:rsid w:val="009E0B92"/>
    <w:rsid w:val="009E3233"/>
    <w:rsid w:val="00A12EF5"/>
    <w:rsid w:val="00A220BD"/>
    <w:rsid w:val="00A30FBE"/>
    <w:rsid w:val="00A36837"/>
    <w:rsid w:val="00A42CDE"/>
    <w:rsid w:val="00A44E43"/>
    <w:rsid w:val="00A50480"/>
    <w:rsid w:val="00A57027"/>
    <w:rsid w:val="00A751F1"/>
    <w:rsid w:val="00A9458F"/>
    <w:rsid w:val="00AB2C18"/>
    <w:rsid w:val="00AB68CE"/>
    <w:rsid w:val="00AC414B"/>
    <w:rsid w:val="00AD075A"/>
    <w:rsid w:val="00AF6E78"/>
    <w:rsid w:val="00B12B85"/>
    <w:rsid w:val="00B221DE"/>
    <w:rsid w:val="00B245CD"/>
    <w:rsid w:val="00B3560A"/>
    <w:rsid w:val="00B80FB2"/>
    <w:rsid w:val="00B83C6F"/>
    <w:rsid w:val="00B977AB"/>
    <w:rsid w:val="00BC0897"/>
    <w:rsid w:val="00BD48E1"/>
    <w:rsid w:val="00BE5E5D"/>
    <w:rsid w:val="00BF660F"/>
    <w:rsid w:val="00C077F8"/>
    <w:rsid w:val="00C21FB6"/>
    <w:rsid w:val="00C70A2E"/>
    <w:rsid w:val="00C7519F"/>
    <w:rsid w:val="00C85E18"/>
    <w:rsid w:val="00CC2E69"/>
    <w:rsid w:val="00CC43FF"/>
    <w:rsid w:val="00CC7E62"/>
    <w:rsid w:val="00CE3D42"/>
    <w:rsid w:val="00D24CDB"/>
    <w:rsid w:val="00D42EC5"/>
    <w:rsid w:val="00D62B70"/>
    <w:rsid w:val="00D65E78"/>
    <w:rsid w:val="00D76FDB"/>
    <w:rsid w:val="00D774FB"/>
    <w:rsid w:val="00D96A95"/>
    <w:rsid w:val="00DB2646"/>
    <w:rsid w:val="00DB7A3E"/>
    <w:rsid w:val="00DC2038"/>
    <w:rsid w:val="00DC3AB7"/>
    <w:rsid w:val="00DC6533"/>
    <w:rsid w:val="00DD5293"/>
    <w:rsid w:val="00DE1F79"/>
    <w:rsid w:val="00E007AF"/>
    <w:rsid w:val="00E0375F"/>
    <w:rsid w:val="00E05425"/>
    <w:rsid w:val="00E37AD5"/>
    <w:rsid w:val="00E66346"/>
    <w:rsid w:val="00E777A1"/>
    <w:rsid w:val="00E845EE"/>
    <w:rsid w:val="00E96574"/>
    <w:rsid w:val="00EA1B83"/>
    <w:rsid w:val="00EB7DF0"/>
    <w:rsid w:val="00F107AD"/>
    <w:rsid w:val="00F7623D"/>
    <w:rsid w:val="00FB0B54"/>
    <w:rsid w:val="00FD600A"/>
    <w:rsid w:val="00FE3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D4AA"/>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1">
    <w:name w:val="heading 1"/>
    <w:basedOn w:val="Normal"/>
    <w:next w:val="Normal"/>
    <w:link w:val="Ttulo1Car"/>
    <w:uiPriority w:val="9"/>
    <w:qFormat/>
    <w:rsid w:val="00DC3A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3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1clara">
    <w:name w:val="Grid Table 1 Light"/>
    <w:basedOn w:val="Tablanormal"/>
    <w:uiPriority w:val="46"/>
    <w:rsid w:val="00FB0B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3AB7"/>
    <w:rPr>
      <w:rFonts w:asciiTheme="majorHAnsi" w:eastAsiaTheme="majorEastAsia" w:hAnsiTheme="majorHAnsi" w:cstheme="majorBidi"/>
      <w:color w:val="365F91" w:themeColor="accent1" w:themeShade="BF"/>
      <w:sz w:val="32"/>
      <w:szCs w:val="32"/>
      <w:lang w:val="es-PE"/>
    </w:rPr>
  </w:style>
  <w:style w:type="table" w:styleId="Tablaconcuadrculaclara">
    <w:name w:val="Grid Table Light"/>
    <w:basedOn w:val="Tablanormal"/>
    <w:uiPriority w:val="40"/>
    <w:rsid w:val="00714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4</cp:revision>
  <cp:lastPrinted>2024-11-20T21:09:00Z</cp:lastPrinted>
  <dcterms:created xsi:type="dcterms:W3CDTF">2024-11-20T21:09:00Z</dcterms:created>
  <dcterms:modified xsi:type="dcterms:W3CDTF">2024-11-20T21:22:00Z</dcterms:modified>
</cp:coreProperties>
</file>