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21BF1ABD" w:rsidR="00107F95" w:rsidRPr="00BA3BA3" w:rsidRDefault="00107F95" w:rsidP="00584E9B">
      <w:pPr>
        <w:spacing w:after="0" w:line="0" w:lineRule="atLeast"/>
        <w:ind w:left="-284" w:right="-357"/>
        <w:jc w:val="center"/>
        <w:rPr>
          <w:rFonts w:ascii="Arial Narrow" w:hAnsi="Arial Narrow"/>
          <w:b/>
          <w:bCs/>
          <w:sz w:val="16"/>
          <w:szCs w:val="16"/>
        </w:rPr>
      </w:pPr>
      <w:r w:rsidRPr="00BA3BA3">
        <w:rPr>
          <w:rFonts w:ascii="Arial Narrow" w:hAnsi="Arial Narrow"/>
          <w:b/>
          <w:bCs/>
          <w:sz w:val="16"/>
          <w:szCs w:val="16"/>
        </w:rPr>
        <w:t>SUPERINTENDENCIA NACIONAL DE ADUANAS Y</w:t>
      </w:r>
      <w:r w:rsidR="000D53DC" w:rsidRPr="00BA3BA3">
        <w:rPr>
          <w:rFonts w:ascii="Arial Narrow" w:hAnsi="Arial Narrow"/>
          <w:b/>
          <w:bCs/>
          <w:sz w:val="16"/>
          <w:szCs w:val="16"/>
        </w:rPr>
        <w:t xml:space="preserve"> DE</w:t>
      </w:r>
      <w:r w:rsidRPr="00BA3BA3">
        <w:rPr>
          <w:rFonts w:ascii="Arial Narrow" w:hAnsi="Arial Narrow"/>
          <w:b/>
          <w:bCs/>
          <w:sz w:val="16"/>
          <w:szCs w:val="16"/>
        </w:rPr>
        <w:t xml:space="preserve"> ADMINISTRACION TRIBUTARIA</w:t>
      </w:r>
    </w:p>
    <w:p w14:paraId="5600198A" w14:textId="77777777" w:rsidR="00107F95" w:rsidRPr="00BA3BA3" w:rsidRDefault="00107F95" w:rsidP="00584E9B">
      <w:pPr>
        <w:spacing w:after="0" w:line="0" w:lineRule="atLeast"/>
        <w:ind w:left="-284" w:right="-357"/>
        <w:jc w:val="center"/>
        <w:rPr>
          <w:rFonts w:ascii="Arial Narrow" w:hAnsi="Arial Narrow"/>
          <w:b/>
          <w:bCs/>
          <w:sz w:val="16"/>
          <w:szCs w:val="16"/>
        </w:rPr>
      </w:pPr>
      <w:r w:rsidRPr="00BA3BA3">
        <w:rPr>
          <w:rFonts w:ascii="Arial Narrow" w:hAnsi="Arial Narrow"/>
          <w:b/>
          <w:bCs/>
          <w:sz w:val="16"/>
          <w:szCs w:val="16"/>
        </w:rPr>
        <w:t>INTENDENCIA DE ADUANA</w:t>
      </w:r>
      <w:r w:rsidR="009263D2" w:rsidRPr="00BA3BA3">
        <w:rPr>
          <w:rFonts w:ascii="Arial Narrow" w:hAnsi="Arial Narrow"/>
          <w:b/>
          <w:bCs/>
          <w:sz w:val="16"/>
          <w:szCs w:val="16"/>
        </w:rPr>
        <w:t xml:space="preserve"> </w:t>
      </w:r>
      <w:r w:rsidRPr="00BA3BA3">
        <w:rPr>
          <w:rFonts w:ascii="Arial Narrow" w:hAnsi="Arial Narrow"/>
          <w:b/>
          <w:bCs/>
          <w:sz w:val="16"/>
          <w:szCs w:val="16"/>
        </w:rPr>
        <w:t>DE TACNA</w:t>
      </w:r>
    </w:p>
    <w:p w14:paraId="76FF6C0C" w14:textId="77777777" w:rsidR="00BA3BA3" w:rsidRPr="002E62E9" w:rsidRDefault="00BA3BA3" w:rsidP="00584E9B">
      <w:pPr>
        <w:spacing w:after="0" w:line="0" w:lineRule="atLeast"/>
        <w:ind w:left="-284" w:right="-357"/>
        <w:jc w:val="center"/>
        <w:rPr>
          <w:rFonts w:ascii="Arial Narrow" w:hAnsi="Arial Narrow"/>
          <w:b/>
          <w:bCs/>
          <w:sz w:val="10"/>
          <w:szCs w:val="10"/>
        </w:rPr>
      </w:pPr>
    </w:p>
    <w:p w14:paraId="6FBA6AF2" w14:textId="77777777" w:rsidR="002E62E9" w:rsidRDefault="002E62E9" w:rsidP="002E62E9">
      <w:pPr>
        <w:spacing w:after="0" w:line="0" w:lineRule="atLeast"/>
        <w:ind w:left="1701" w:right="1552"/>
        <w:jc w:val="center"/>
        <w:rPr>
          <w:rFonts w:ascii="Arial Narrow" w:hAnsi="Arial Narrow"/>
          <w:sz w:val="16"/>
          <w:szCs w:val="16"/>
        </w:rPr>
      </w:pPr>
      <w:r>
        <w:rPr>
          <w:rFonts w:ascii="Arial Narrow" w:hAnsi="Arial Narrow"/>
          <w:sz w:val="16"/>
          <w:szCs w:val="16"/>
        </w:rPr>
        <w:t>(Publicada en el Boletín del Diario Oficial El Peruano el 10.10.2024)</w:t>
      </w:r>
    </w:p>
    <w:p w14:paraId="287A1D15" w14:textId="77777777" w:rsidR="002E62E9" w:rsidRPr="002E62E9" w:rsidRDefault="002E62E9" w:rsidP="00584E9B">
      <w:pPr>
        <w:spacing w:after="0" w:line="0" w:lineRule="atLeast"/>
        <w:ind w:left="-284" w:right="-357"/>
        <w:jc w:val="center"/>
        <w:rPr>
          <w:rFonts w:ascii="Arial Narrow" w:hAnsi="Arial Narrow"/>
          <w:b/>
          <w:bCs/>
          <w:sz w:val="10"/>
          <w:szCs w:val="10"/>
        </w:rPr>
      </w:pPr>
    </w:p>
    <w:p w14:paraId="67CFFF1E" w14:textId="77777777" w:rsidR="00744CB1" w:rsidRPr="00BA3BA3" w:rsidRDefault="00744CB1" w:rsidP="00584E9B">
      <w:pPr>
        <w:spacing w:after="0" w:line="0" w:lineRule="atLeast"/>
        <w:ind w:left="-284" w:right="-357"/>
        <w:jc w:val="center"/>
        <w:rPr>
          <w:rFonts w:ascii="Arial Narrow" w:hAnsi="Arial Narrow"/>
          <w:b/>
          <w:bCs/>
          <w:sz w:val="16"/>
          <w:szCs w:val="16"/>
        </w:rPr>
      </w:pPr>
      <w:r w:rsidRPr="00BA3BA3">
        <w:rPr>
          <w:rFonts w:ascii="Arial Narrow" w:hAnsi="Arial Narrow"/>
          <w:b/>
          <w:bCs/>
          <w:sz w:val="16"/>
          <w:szCs w:val="16"/>
        </w:rPr>
        <w:t>NOTIFICACIÓN ADMINISTRATIVA</w:t>
      </w:r>
    </w:p>
    <w:p w14:paraId="317B1B82" w14:textId="77777777" w:rsidR="00744CB1" w:rsidRPr="005F71DC" w:rsidRDefault="00744CB1" w:rsidP="00584E9B">
      <w:pPr>
        <w:spacing w:after="0" w:line="0" w:lineRule="atLeast"/>
        <w:ind w:left="-284" w:right="-357"/>
        <w:jc w:val="center"/>
        <w:rPr>
          <w:rFonts w:ascii="Arial Narrow" w:hAnsi="Arial Narrow"/>
          <w:sz w:val="16"/>
          <w:szCs w:val="16"/>
        </w:rPr>
      </w:pPr>
    </w:p>
    <w:p w14:paraId="5ADB1C7F" w14:textId="77777777" w:rsidR="00744CB1" w:rsidRPr="005F71DC" w:rsidRDefault="00744CB1" w:rsidP="00584E9B">
      <w:pPr>
        <w:spacing w:after="0" w:line="0" w:lineRule="atLeast"/>
        <w:ind w:left="-284" w:right="-357"/>
        <w:jc w:val="both"/>
        <w:rPr>
          <w:rFonts w:ascii="Arial Narrow" w:hAnsi="Arial Narrow"/>
          <w:sz w:val="16"/>
          <w:szCs w:val="16"/>
        </w:rPr>
      </w:pPr>
      <w:r w:rsidRPr="005F71DC">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se cumple con NOTIFICAR a las personas naturales y/o jurídicas, que la Intendencia de Aduana de Tacna, en aplicación del Artículo 1°, y el Decreto Legislativo N° 1053 – Ley General de Aduanas, ha decretado los siguientes actos administrativos mediante Resolución de División, en relación a la mercancía descrita en el acta de incautación señalada en la presente notificación.</w:t>
      </w:r>
    </w:p>
    <w:p w14:paraId="22E11EE9" w14:textId="0B221ADD" w:rsidR="00744CB1" w:rsidRPr="005F71DC" w:rsidRDefault="00744CB1" w:rsidP="00584E9B">
      <w:pPr>
        <w:spacing w:after="0" w:line="0" w:lineRule="atLeast"/>
        <w:ind w:left="-284" w:right="-357"/>
        <w:jc w:val="both"/>
        <w:rPr>
          <w:rFonts w:ascii="Arial Narrow" w:hAnsi="Arial Narrow"/>
          <w:sz w:val="16"/>
          <w:szCs w:val="16"/>
        </w:rPr>
      </w:pPr>
      <w:r w:rsidRPr="005F71DC">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w:t>
      </w:r>
      <w:r w:rsidR="005C723F">
        <w:rPr>
          <w:rFonts w:ascii="Arial Narrow" w:hAnsi="Arial Narrow"/>
          <w:sz w:val="16"/>
          <w:szCs w:val="16"/>
        </w:rPr>
        <w:t xml:space="preserve"> </w:t>
      </w:r>
      <w:r w:rsidRPr="005F71DC">
        <w:rPr>
          <w:rFonts w:ascii="Arial Narrow" w:hAnsi="Arial Narrow"/>
          <w:sz w:val="16"/>
          <w:szCs w:val="16"/>
        </w:rPr>
        <w:t>presente publicación, caso contrario, la mercancía consignada podrá ser objeto de disposición por la Administración aduanera en conformidad con lo indicado</w:t>
      </w:r>
      <w:r w:rsidR="005C723F">
        <w:rPr>
          <w:rFonts w:ascii="Arial Narrow" w:hAnsi="Arial Narrow"/>
          <w:sz w:val="16"/>
          <w:szCs w:val="16"/>
        </w:rPr>
        <w:t xml:space="preserve"> </w:t>
      </w:r>
      <w:r w:rsidRPr="005F71DC">
        <w:rPr>
          <w:rFonts w:ascii="Arial Narrow" w:hAnsi="Arial Narrow"/>
          <w:sz w:val="16"/>
          <w:szCs w:val="16"/>
        </w:rPr>
        <w:t>en los artículo 180° y 186° de la Ley General de Aduanas, aprobado por el Decreto Legislativo N° 1053, concordante con los artículos 235° , 242° y 243° de su Reglamento aprobado por Decreto Supremo N° 010-2009-EF.</w:t>
      </w:r>
    </w:p>
    <w:tbl>
      <w:tblPr>
        <w:tblStyle w:val="Tablaconcuadrculaclara"/>
        <w:tblW w:w="14596" w:type="dxa"/>
        <w:tblInd w:w="-289" w:type="dxa"/>
        <w:tblLook w:val="04A0" w:firstRow="1" w:lastRow="0" w:firstColumn="1" w:lastColumn="0" w:noHBand="0" w:noVBand="1"/>
      </w:tblPr>
      <w:tblGrid>
        <w:gridCol w:w="988"/>
        <w:gridCol w:w="1134"/>
        <w:gridCol w:w="984"/>
        <w:gridCol w:w="933"/>
        <w:gridCol w:w="1155"/>
        <w:gridCol w:w="1166"/>
        <w:gridCol w:w="8236"/>
      </w:tblGrid>
      <w:tr w:rsidR="00584E9B" w:rsidRPr="005F71DC" w14:paraId="6898AD29" w14:textId="77777777" w:rsidTr="00584E9B">
        <w:trPr>
          <w:trHeight w:val="20"/>
        </w:trPr>
        <w:tc>
          <w:tcPr>
            <w:tcW w:w="988" w:type="dxa"/>
            <w:vAlign w:val="center"/>
          </w:tcPr>
          <w:p w14:paraId="316BA444"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Interesado</w:t>
            </w:r>
          </w:p>
        </w:tc>
        <w:tc>
          <w:tcPr>
            <w:tcW w:w="1134" w:type="dxa"/>
            <w:vAlign w:val="center"/>
          </w:tcPr>
          <w:p w14:paraId="09899375"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Documento de Identificación</w:t>
            </w:r>
          </w:p>
        </w:tc>
        <w:tc>
          <w:tcPr>
            <w:tcW w:w="984" w:type="dxa"/>
            <w:vAlign w:val="center"/>
          </w:tcPr>
          <w:p w14:paraId="7DEA9F4E"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Condición</w:t>
            </w:r>
          </w:p>
        </w:tc>
        <w:tc>
          <w:tcPr>
            <w:tcW w:w="933" w:type="dxa"/>
            <w:vAlign w:val="center"/>
          </w:tcPr>
          <w:p w14:paraId="2CEE6F32"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Fecha de Intervención</w:t>
            </w:r>
          </w:p>
        </w:tc>
        <w:tc>
          <w:tcPr>
            <w:tcW w:w="1155" w:type="dxa"/>
            <w:vAlign w:val="center"/>
          </w:tcPr>
          <w:p w14:paraId="522C8E61"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Acta de Incautación</w:t>
            </w:r>
          </w:p>
        </w:tc>
        <w:tc>
          <w:tcPr>
            <w:tcW w:w="1166" w:type="dxa"/>
            <w:vAlign w:val="center"/>
          </w:tcPr>
          <w:p w14:paraId="125F0871"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Resolución de División</w:t>
            </w:r>
          </w:p>
        </w:tc>
        <w:tc>
          <w:tcPr>
            <w:tcW w:w="8236" w:type="dxa"/>
            <w:vAlign w:val="center"/>
          </w:tcPr>
          <w:p w14:paraId="62D38B6D"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Determinación</w:t>
            </w:r>
          </w:p>
        </w:tc>
      </w:tr>
      <w:tr w:rsidR="00584E9B" w:rsidRPr="005F71DC" w14:paraId="56B71C05" w14:textId="77777777" w:rsidTr="00584E9B">
        <w:trPr>
          <w:trHeight w:val="182"/>
        </w:trPr>
        <w:tc>
          <w:tcPr>
            <w:tcW w:w="988" w:type="dxa"/>
            <w:vAlign w:val="center"/>
          </w:tcPr>
          <w:p w14:paraId="4437F28F" w14:textId="77777777" w:rsidR="00744CB1" w:rsidRPr="005F71DC" w:rsidRDefault="00744CB1" w:rsidP="005F71DC">
            <w:pPr>
              <w:autoSpaceDE w:val="0"/>
              <w:autoSpaceDN w:val="0"/>
              <w:adjustRightInd w:val="0"/>
              <w:spacing w:line="0" w:lineRule="atLeast"/>
              <w:jc w:val="center"/>
              <w:rPr>
                <w:rFonts w:ascii="Arial Narrow" w:hAnsi="Arial Narrow"/>
                <w:sz w:val="16"/>
                <w:szCs w:val="16"/>
              </w:rPr>
            </w:pPr>
            <w:r w:rsidRPr="005F71DC">
              <w:rPr>
                <w:rFonts w:ascii="Arial Narrow" w:hAnsi="Arial Narrow"/>
                <w:sz w:val="16"/>
                <w:szCs w:val="16"/>
              </w:rPr>
              <w:t>Patricia Ana Perez Medina</w:t>
            </w:r>
          </w:p>
        </w:tc>
        <w:tc>
          <w:tcPr>
            <w:tcW w:w="1134" w:type="dxa"/>
            <w:vAlign w:val="center"/>
          </w:tcPr>
          <w:p w14:paraId="31612AAC"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Documento de identidad extranjero N° 16225589-4</w:t>
            </w:r>
          </w:p>
        </w:tc>
        <w:tc>
          <w:tcPr>
            <w:tcW w:w="984" w:type="dxa"/>
            <w:vAlign w:val="center"/>
          </w:tcPr>
          <w:p w14:paraId="77AED056"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Intervenido/ Dueño de la mercancía</w:t>
            </w:r>
          </w:p>
        </w:tc>
        <w:tc>
          <w:tcPr>
            <w:tcW w:w="933" w:type="dxa"/>
            <w:vAlign w:val="center"/>
          </w:tcPr>
          <w:p w14:paraId="087B7ADE"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28.06.2024</w:t>
            </w:r>
          </w:p>
        </w:tc>
        <w:tc>
          <w:tcPr>
            <w:tcW w:w="1155" w:type="dxa"/>
            <w:vAlign w:val="center"/>
          </w:tcPr>
          <w:p w14:paraId="04254170"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Acta de Incautación N° 172-0204-2024-000398</w:t>
            </w:r>
          </w:p>
        </w:tc>
        <w:tc>
          <w:tcPr>
            <w:tcW w:w="1166" w:type="dxa"/>
            <w:vAlign w:val="center"/>
          </w:tcPr>
          <w:p w14:paraId="244C0E4D" w14:textId="77777777" w:rsidR="00744CB1" w:rsidRPr="005F71DC" w:rsidRDefault="00744CB1" w:rsidP="005F71DC">
            <w:pPr>
              <w:spacing w:line="0" w:lineRule="atLeast"/>
              <w:jc w:val="center"/>
              <w:rPr>
                <w:rFonts w:ascii="Arial Narrow" w:hAnsi="Arial Narrow"/>
                <w:sz w:val="16"/>
                <w:szCs w:val="16"/>
              </w:rPr>
            </w:pPr>
            <w:r w:rsidRPr="005F71DC">
              <w:rPr>
                <w:rFonts w:ascii="Arial Narrow" w:hAnsi="Arial Narrow"/>
                <w:sz w:val="16"/>
                <w:szCs w:val="16"/>
              </w:rPr>
              <w:t>Resolución de División N° 000153-2024-SUNAT/3G0800</w:t>
            </w:r>
          </w:p>
        </w:tc>
        <w:tc>
          <w:tcPr>
            <w:tcW w:w="8236" w:type="dxa"/>
            <w:vAlign w:val="center"/>
          </w:tcPr>
          <w:p w14:paraId="14CD64AF" w14:textId="77777777" w:rsidR="00744CB1" w:rsidRPr="005F71DC" w:rsidRDefault="00744CB1" w:rsidP="005F71DC">
            <w:pPr>
              <w:spacing w:line="0" w:lineRule="atLeast"/>
              <w:jc w:val="both"/>
              <w:rPr>
                <w:rFonts w:ascii="Arial Narrow" w:hAnsi="Arial Narrow"/>
                <w:sz w:val="16"/>
                <w:szCs w:val="16"/>
              </w:rPr>
            </w:pPr>
            <w:r w:rsidRPr="005F71DC">
              <w:rPr>
                <w:rFonts w:ascii="Arial Narrow" w:hAnsi="Arial Narrow"/>
                <w:sz w:val="16"/>
                <w:szCs w:val="16"/>
              </w:rPr>
              <w:t>ARTÍCULO PRIMERO: Declarar el COMISO de la mercancía incautada a través del Acta de Incautación N° 172-0204-2024-000398, de conformidad con lo establecido en el antepenúltimo párrafo del artículo 200 de la Ley General de Aduanas y el Código CO13 de la Sección IV de la Tabla de Sanciones.</w:t>
            </w:r>
          </w:p>
          <w:p w14:paraId="269C56B5" w14:textId="77777777" w:rsidR="00744CB1" w:rsidRPr="005F71DC" w:rsidRDefault="00744CB1" w:rsidP="005F71DC">
            <w:pPr>
              <w:spacing w:line="0" w:lineRule="atLeast"/>
              <w:jc w:val="both"/>
              <w:rPr>
                <w:rFonts w:ascii="Arial Narrow" w:hAnsi="Arial Narrow"/>
                <w:sz w:val="16"/>
                <w:szCs w:val="16"/>
              </w:rPr>
            </w:pPr>
            <w:r w:rsidRPr="005F71DC">
              <w:rPr>
                <w:rFonts w:ascii="Arial Narrow" w:hAnsi="Arial Narrow"/>
                <w:sz w:val="16"/>
                <w:szCs w:val="16"/>
              </w:rPr>
              <w:t>ARTÍCULO SEGUNDO: Notificar la presente resolución mediante publicación en el Diario Oficial El Peruano, de conformidad con el numeral 2) del inciso e) del artículo 104° del Texto Único Ordenado del Código Tributario, aprobado por Decreto Supremo N° 133-2013-EF.</w:t>
            </w:r>
          </w:p>
        </w:tc>
      </w:tr>
      <w:tr w:rsidR="00584E9B" w:rsidRPr="005F71DC" w14:paraId="55D15D39" w14:textId="77777777" w:rsidTr="00584E9B">
        <w:trPr>
          <w:trHeight w:val="182"/>
        </w:trPr>
        <w:tc>
          <w:tcPr>
            <w:tcW w:w="988" w:type="dxa"/>
            <w:vAlign w:val="center"/>
          </w:tcPr>
          <w:p w14:paraId="65C1A49B" w14:textId="3FE53F6E" w:rsidR="00110A8E" w:rsidRPr="005F71DC" w:rsidRDefault="00110A8E" w:rsidP="00110A8E">
            <w:pPr>
              <w:autoSpaceDE w:val="0"/>
              <w:autoSpaceDN w:val="0"/>
              <w:adjustRightInd w:val="0"/>
              <w:spacing w:line="0" w:lineRule="atLeast"/>
              <w:jc w:val="center"/>
              <w:rPr>
                <w:rFonts w:ascii="Arial Narrow" w:hAnsi="Arial Narrow"/>
                <w:sz w:val="16"/>
                <w:szCs w:val="16"/>
              </w:rPr>
            </w:pPr>
            <w:r w:rsidRPr="005F71DC">
              <w:rPr>
                <w:rFonts w:ascii="Arial Narrow" w:hAnsi="Arial Narrow"/>
                <w:sz w:val="16"/>
                <w:szCs w:val="16"/>
              </w:rPr>
              <w:t>Jorge Gabriel Arellano Álvarez</w:t>
            </w:r>
          </w:p>
        </w:tc>
        <w:tc>
          <w:tcPr>
            <w:tcW w:w="1134" w:type="dxa"/>
            <w:vAlign w:val="center"/>
          </w:tcPr>
          <w:p w14:paraId="50D4ACA5" w14:textId="58BF270A" w:rsidR="00110A8E" w:rsidRPr="005F71DC" w:rsidRDefault="00110A8E" w:rsidP="00110A8E">
            <w:pPr>
              <w:spacing w:line="0" w:lineRule="atLeast"/>
              <w:jc w:val="center"/>
              <w:rPr>
                <w:rFonts w:ascii="Arial Narrow" w:hAnsi="Arial Narrow"/>
                <w:sz w:val="16"/>
                <w:szCs w:val="16"/>
              </w:rPr>
            </w:pPr>
            <w:r w:rsidRPr="005F71DC">
              <w:rPr>
                <w:rFonts w:ascii="Arial Narrow" w:hAnsi="Arial Narrow"/>
                <w:sz w:val="16"/>
                <w:szCs w:val="16"/>
              </w:rPr>
              <w:t>Documento de identidad extranjero N° 20971833-2</w:t>
            </w:r>
          </w:p>
        </w:tc>
        <w:tc>
          <w:tcPr>
            <w:tcW w:w="984" w:type="dxa"/>
            <w:vAlign w:val="center"/>
          </w:tcPr>
          <w:p w14:paraId="09F003B8" w14:textId="3849A0CC" w:rsidR="00110A8E" w:rsidRPr="005F71DC" w:rsidRDefault="00110A8E" w:rsidP="00110A8E">
            <w:pPr>
              <w:spacing w:line="0" w:lineRule="atLeast"/>
              <w:jc w:val="center"/>
              <w:rPr>
                <w:rFonts w:ascii="Arial Narrow" w:hAnsi="Arial Narrow"/>
                <w:sz w:val="16"/>
                <w:szCs w:val="16"/>
              </w:rPr>
            </w:pPr>
            <w:r w:rsidRPr="005F71DC">
              <w:rPr>
                <w:rFonts w:ascii="Arial Narrow" w:hAnsi="Arial Narrow"/>
                <w:sz w:val="16"/>
                <w:szCs w:val="16"/>
              </w:rPr>
              <w:t>Intervenido/ Dueño de la mercancía</w:t>
            </w:r>
          </w:p>
        </w:tc>
        <w:tc>
          <w:tcPr>
            <w:tcW w:w="933" w:type="dxa"/>
            <w:vAlign w:val="center"/>
          </w:tcPr>
          <w:p w14:paraId="57CB7226" w14:textId="7BAA76BE" w:rsidR="00110A8E" w:rsidRPr="005F71DC" w:rsidRDefault="00110A8E" w:rsidP="00110A8E">
            <w:pPr>
              <w:spacing w:line="0" w:lineRule="atLeast"/>
              <w:jc w:val="center"/>
              <w:rPr>
                <w:rFonts w:ascii="Arial Narrow" w:hAnsi="Arial Narrow"/>
                <w:sz w:val="16"/>
                <w:szCs w:val="16"/>
              </w:rPr>
            </w:pPr>
            <w:r w:rsidRPr="005F71DC">
              <w:rPr>
                <w:rFonts w:ascii="Arial Narrow" w:hAnsi="Arial Narrow"/>
                <w:sz w:val="16"/>
                <w:szCs w:val="16"/>
              </w:rPr>
              <w:t>15.06.2024</w:t>
            </w:r>
          </w:p>
        </w:tc>
        <w:tc>
          <w:tcPr>
            <w:tcW w:w="1155" w:type="dxa"/>
            <w:vAlign w:val="center"/>
          </w:tcPr>
          <w:p w14:paraId="32E70082" w14:textId="559A3F8C" w:rsidR="00110A8E" w:rsidRPr="005F71DC" w:rsidRDefault="00110A8E" w:rsidP="00110A8E">
            <w:pPr>
              <w:spacing w:line="0" w:lineRule="atLeast"/>
              <w:jc w:val="center"/>
              <w:rPr>
                <w:rFonts w:ascii="Arial Narrow" w:hAnsi="Arial Narrow"/>
                <w:sz w:val="16"/>
                <w:szCs w:val="16"/>
              </w:rPr>
            </w:pPr>
            <w:r w:rsidRPr="005F71DC">
              <w:rPr>
                <w:rFonts w:ascii="Arial Narrow" w:hAnsi="Arial Narrow"/>
                <w:sz w:val="16"/>
                <w:szCs w:val="16"/>
              </w:rPr>
              <w:t>Acta de Incautación N° 172-0204-2024-000361</w:t>
            </w:r>
          </w:p>
        </w:tc>
        <w:tc>
          <w:tcPr>
            <w:tcW w:w="1166" w:type="dxa"/>
            <w:vAlign w:val="center"/>
          </w:tcPr>
          <w:p w14:paraId="630B59DC" w14:textId="1984C6B0" w:rsidR="00110A8E" w:rsidRPr="005F71DC" w:rsidRDefault="00110A8E" w:rsidP="00110A8E">
            <w:pPr>
              <w:spacing w:line="0" w:lineRule="atLeast"/>
              <w:jc w:val="center"/>
              <w:rPr>
                <w:rFonts w:ascii="Arial Narrow" w:hAnsi="Arial Narrow"/>
                <w:sz w:val="16"/>
                <w:szCs w:val="16"/>
              </w:rPr>
            </w:pPr>
            <w:r w:rsidRPr="005F71DC">
              <w:rPr>
                <w:rFonts w:ascii="Arial Narrow" w:hAnsi="Arial Narrow"/>
                <w:sz w:val="16"/>
                <w:szCs w:val="16"/>
              </w:rPr>
              <w:t>Resolución de División N° 000154-2024-SUNAT/3G0800</w:t>
            </w:r>
          </w:p>
        </w:tc>
        <w:tc>
          <w:tcPr>
            <w:tcW w:w="8236" w:type="dxa"/>
            <w:vAlign w:val="center"/>
          </w:tcPr>
          <w:p w14:paraId="15C705D6" w14:textId="77777777" w:rsidR="00110A8E" w:rsidRPr="005F71DC" w:rsidRDefault="00110A8E" w:rsidP="00110A8E">
            <w:pPr>
              <w:spacing w:line="0" w:lineRule="atLeast"/>
              <w:jc w:val="both"/>
              <w:rPr>
                <w:rFonts w:ascii="Arial Narrow" w:hAnsi="Arial Narrow"/>
                <w:sz w:val="16"/>
                <w:szCs w:val="16"/>
              </w:rPr>
            </w:pPr>
            <w:r w:rsidRPr="005F71DC">
              <w:rPr>
                <w:rFonts w:ascii="Arial Narrow" w:hAnsi="Arial Narrow"/>
                <w:sz w:val="16"/>
                <w:szCs w:val="16"/>
              </w:rPr>
              <w:t>ARTÍCULO PRIMERO: Declarar el COMISO de la mercancía incautada a través del Acta de Incautación N° 172-0204-2024-000361, de conformidad con lo establecido en el antepenúltimo párrafo del artículo 200 de la Ley General de Aduanas y el Código CO13 de la Sección IV de la Tabla de Sanciones.</w:t>
            </w:r>
          </w:p>
          <w:p w14:paraId="45833692" w14:textId="0F37A98D" w:rsidR="00110A8E" w:rsidRPr="005F71DC" w:rsidRDefault="00110A8E" w:rsidP="00110A8E">
            <w:pPr>
              <w:spacing w:line="0" w:lineRule="atLeast"/>
              <w:jc w:val="both"/>
              <w:rPr>
                <w:rFonts w:ascii="Arial Narrow" w:hAnsi="Arial Narrow"/>
                <w:sz w:val="16"/>
                <w:szCs w:val="16"/>
              </w:rPr>
            </w:pPr>
            <w:r w:rsidRPr="005F71DC">
              <w:rPr>
                <w:rFonts w:ascii="Arial Narrow" w:hAnsi="Arial Narrow"/>
                <w:sz w:val="16"/>
                <w:szCs w:val="16"/>
              </w:rPr>
              <w:t>ARTÍCULO SEGUNDO: Notificar la presente resolución mediante publicación en el Diario Oficial El Peruano, de conformidad con el numeral 2) del inciso e) del artículo 104° del Texto Único Ordenado del Código Tributario, aprobado por Decreto Supremo N° 133-2013-EF.</w:t>
            </w:r>
          </w:p>
        </w:tc>
      </w:tr>
    </w:tbl>
    <w:p w14:paraId="39E0DE46" w14:textId="11B30256" w:rsidR="008C1183" w:rsidRPr="005F71DC" w:rsidRDefault="008C1183" w:rsidP="00584E9B">
      <w:pPr>
        <w:spacing w:after="0" w:line="0" w:lineRule="atLeast"/>
        <w:ind w:left="-284" w:right="-357"/>
        <w:rPr>
          <w:rFonts w:ascii="Arial Narrow" w:hAnsi="Arial Narrow"/>
          <w:sz w:val="16"/>
          <w:szCs w:val="16"/>
        </w:rPr>
      </w:pPr>
    </w:p>
    <w:p w14:paraId="5F31D312" w14:textId="77777777" w:rsidR="00A55167" w:rsidRPr="00473E6F" w:rsidRDefault="00A55167" w:rsidP="00584E9B">
      <w:pPr>
        <w:spacing w:after="0" w:line="0" w:lineRule="atLeast"/>
        <w:ind w:left="-284" w:right="-357"/>
        <w:jc w:val="center"/>
        <w:rPr>
          <w:rFonts w:ascii="Arial Narrow" w:hAnsi="Arial Narrow"/>
          <w:b/>
          <w:bCs/>
          <w:sz w:val="16"/>
          <w:szCs w:val="16"/>
        </w:rPr>
      </w:pPr>
      <w:r w:rsidRPr="00473E6F">
        <w:rPr>
          <w:rFonts w:ascii="Arial Narrow" w:hAnsi="Arial Narrow"/>
          <w:b/>
          <w:bCs/>
          <w:sz w:val="16"/>
          <w:szCs w:val="16"/>
        </w:rPr>
        <w:t xml:space="preserve">NOTIFICACION ADMINISTRATIVA </w:t>
      </w:r>
    </w:p>
    <w:p w14:paraId="157B328F" w14:textId="77777777" w:rsidR="00A55167" w:rsidRPr="005F71DC" w:rsidRDefault="00A55167" w:rsidP="00584E9B">
      <w:pPr>
        <w:spacing w:after="0" w:line="0" w:lineRule="atLeast"/>
        <w:ind w:left="-284" w:right="-357"/>
        <w:jc w:val="center"/>
        <w:rPr>
          <w:rFonts w:ascii="Arial Narrow" w:hAnsi="Arial Narrow"/>
          <w:sz w:val="16"/>
          <w:szCs w:val="16"/>
        </w:rPr>
      </w:pPr>
    </w:p>
    <w:p w14:paraId="324F4355" w14:textId="77777777" w:rsidR="00A55167" w:rsidRPr="005F71DC" w:rsidRDefault="00A55167" w:rsidP="00584E9B">
      <w:pPr>
        <w:spacing w:after="0" w:line="0" w:lineRule="atLeast"/>
        <w:ind w:left="-284" w:right="-357"/>
        <w:jc w:val="both"/>
        <w:rPr>
          <w:rFonts w:ascii="Arial Narrow" w:hAnsi="Arial Narrow"/>
          <w:sz w:val="16"/>
          <w:szCs w:val="16"/>
        </w:rPr>
      </w:pPr>
      <w:r w:rsidRPr="005F71DC">
        <w:rPr>
          <w:rFonts w:ascii="Arial Narrow" w:hAnsi="Arial Narrow"/>
          <w:sz w:val="16"/>
          <w:szCs w:val="16"/>
        </w:rPr>
        <w:t>De conformidad con lo dispuesto en el artículo 104° inciso e) del Texto Único Ordenado del Código Tributario, aprobado por DS N° 133-2013-EF y su modificatoria Ley 30264, Ley de Procedimientos Administrativos General-Ley N° 27444, cumple con NOTIFICAR a las personas naturales y/o jurídicas, que la Intendencia de Aduanas de Tacna, ha decretado los siguientes actos administrativos mediante Resolución Jefatural de División abajo indicadas, así como las sanciones correspondientes, de las mercancías descritas en la acta de incautación indicadas en la presente notificación, las mismas que fueron intervenidas en merito a los fundamentos de hecho y de derecho expuestos en los considerados de la presente resolución.</w:t>
      </w:r>
    </w:p>
    <w:p w14:paraId="42649244" w14:textId="3FACCB40" w:rsidR="00A55167" w:rsidRPr="005F71DC" w:rsidRDefault="00A55167" w:rsidP="00584E9B">
      <w:pPr>
        <w:spacing w:after="0" w:line="0" w:lineRule="atLeast"/>
        <w:ind w:left="-284" w:right="-357"/>
        <w:jc w:val="both"/>
        <w:rPr>
          <w:rFonts w:ascii="Arial Narrow" w:hAnsi="Arial Narrow"/>
          <w:sz w:val="16"/>
          <w:szCs w:val="16"/>
        </w:rPr>
      </w:pPr>
      <w:r w:rsidRPr="005F71DC">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w:t>
      </w:r>
      <w:r w:rsidR="005C723F">
        <w:rPr>
          <w:rFonts w:ascii="Arial Narrow" w:hAnsi="Arial Narrow"/>
          <w:sz w:val="16"/>
          <w:szCs w:val="16"/>
        </w:rPr>
        <w:t xml:space="preserve"> </w:t>
      </w:r>
      <w:r w:rsidRPr="005F71DC">
        <w:rPr>
          <w:rFonts w:ascii="Arial Narrow" w:hAnsi="Arial Narrow"/>
          <w:sz w:val="16"/>
          <w:szCs w:val="16"/>
        </w:rPr>
        <w:t>presente publicación, caso contrario, la mercancía consignada podrá ser objeto de disposición por la Administración aduanera en conformidad con lo indicado</w:t>
      </w:r>
      <w:r w:rsidR="005C723F">
        <w:rPr>
          <w:rFonts w:ascii="Arial Narrow" w:hAnsi="Arial Narrow"/>
          <w:sz w:val="16"/>
          <w:szCs w:val="16"/>
        </w:rPr>
        <w:t xml:space="preserve"> </w:t>
      </w:r>
      <w:r w:rsidRPr="005F71DC">
        <w:rPr>
          <w:rFonts w:ascii="Arial Narrow" w:hAnsi="Arial Narrow"/>
          <w:sz w:val="16"/>
          <w:szCs w:val="16"/>
        </w:rPr>
        <w:t>en los artículo 180° y 186° de la Ley General de Aduanas, aprobado por el Decreto Legislativo N° 1053, concordante con los artículos 235° , 242° y 243° de su Reglamento aprobado por Decreto Supremo N° 010-2009-EF.</w:t>
      </w:r>
    </w:p>
    <w:p w14:paraId="274C06D5" w14:textId="77777777" w:rsidR="00A55167" w:rsidRPr="005F71DC" w:rsidRDefault="00A55167" w:rsidP="00584E9B">
      <w:pPr>
        <w:spacing w:after="0" w:line="0" w:lineRule="atLeast"/>
        <w:ind w:left="-284" w:right="-357"/>
        <w:jc w:val="both"/>
        <w:rPr>
          <w:rFonts w:ascii="Arial Narrow" w:hAnsi="Arial Narrow"/>
          <w:sz w:val="16"/>
          <w:szCs w:val="16"/>
        </w:rPr>
      </w:pPr>
      <w:r w:rsidRPr="005F71DC">
        <w:rPr>
          <w:rFonts w:ascii="Arial Narrow" w:hAnsi="Arial Narrow"/>
          <w:sz w:val="16"/>
          <w:szCs w:val="16"/>
        </w:rPr>
        <w:t xml:space="preserve">Resolución de Jefatural de División N° 000511-2024-SUNAT/3G0500 de fecha 22.8.2024 </w:t>
      </w:r>
    </w:p>
    <w:p w14:paraId="2AAEE1D6" w14:textId="77777777" w:rsidR="00A55167" w:rsidRDefault="00A55167" w:rsidP="00584E9B">
      <w:pPr>
        <w:spacing w:after="0" w:line="0" w:lineRule="atLeast"/>
        <w:ind w:left="-284" w:right="-357"/>
        <w:jc w:val="both"/>
        <w:rPr>
          <w:rFonts w:ascii="Arial Narrow" w:hAnsi="Arial Narrow"/>
          <w:sz w:val="16"/>
          <w:szCs w:val="16"/>
        </w:rPr>
      </w:pPr>
      <w:r w:rsidRPr="005F71DC">
        <w:rPr>
          <w:rFonts w:ascii="Arial Narrow" w:hAnsi="Arial Narrow"/>
          <w:sz w:val="16"/>
          <w:szCs w:val="16"/>
        </w:rPr>
        <w:t>Resolución de Multa N° 8720020004611 de fecha 05.9.2024</w:t>
      </w:r>
    </w:p>
    <w:tbl>
      <w:tblPr>
        <w:tblStyle w:val="Tablaconcuadrculaclara"/>
        <w:tblW w:w="14601" w:type="dxa"/>
        <w:tblInd w:w="-289" w:type="dxa"/>
        <w:tblLook w:val="04A0" w:firstRow="1" w:lastRow="0" w:firstColumn="1" w:lastColumn="0" w:noHBand="0" w:noVBand="1"/>
      </w:tblPr>
      <w:tblGrid>
        <w:gridCol w:w="851"/>
        <w:gridCol w:w="1019"/>
        <w:gridCol w:w="1108"/>
        <w:gridCol w:w="1164"/>
        <w:gridCol w:w="1417"/>
        <w:gridCol w:w="9042"/>
      </w:tblGrid>
      <w:tr w:rsidR="00397CD5" w14:paraId="4100A22F" w14:textId="77777777" w:rsidTr="00D049B8">
        <w:tc>
          <w:tcPr>
            <w:tcW w:w="851" w:type="dxa"/>
            <w:vAlign w:val="center"/>
          </w:tcPr>
          <w:p w14:paraId="614A84D4" w14:textId="17F01896" w:rsidR="00E86CE6" w:rsidRDefault="00E86CE6" w:rsidP="003A6F88">
            <w:pPr>
              <w:spacing w:line="0" w:lineRule="atLeast"/>
              <w:jc w:val="center"/>
              <w:rPr>
                <w:rFonts w:ascii="Arial Narrow" w:hAnsi="Arial Narrow"/>
                <w:sz w:val="16"/>
                <w:szCs w:val="16"/>
              </w:rPr>
            </w:pPr>
            <w:r w:rsidRPr="005F71DC">
              <w:rPr>
                <w:rFonts w:ascii="Arial Narrow" w:eastAsia="Times New Roman" w:hAnsi="Arial Narrow" w:cstheme="minorHAnsi"/>
                <w:color w:val="000000"/>
                <w:sz w:val="16"/>
                <w:szCs w:val="16"/>
                <w:lang w:eastAsia="es-PE"/>
              </w:rPr>
              <w:t>USUARIO</w:t>
            </w:r>
          </w:p>
        </w:tc>
        <w:tc>
          <w:tcPr>
            <w:tcW w:w="1019" w:type="dxa"/>
            <w:vAlign w:val="center"/>
          </w:tcPr>
          <w:p w14:paraId="02D69F26" w14:textId="70EBE212" w:rsidR="00E86CE6" w:rsidRDefault="00E86CE6" w:rsidP="003A6F88">
            <w:pPr>
              <w:spacing w:line="0" w:lineRule="atLeast"/>
              <w:jc w:val="center"/>
              <w:rPr>
                <w:rFonts w:ascii="Arial Narrow" w:hAnsi="Arial Narrow"/>
                <w:sz w:val="16"/>
                <w:szCs w:val="16"/>
              </w:rPr>
            </w:pPr>
            <w:r w:rsidRPr="005F71DC">
              <w:rPr>
                <w:rFonts w:ascii="Arial Narrow" w:eastAsia="Times New Roman" w:hAnsi="Arial Narrow" w:cstheme="minorHAnsi"/>
                <w:color w:val="000000"/>
                <w:sz w:val="16"/>
                <w:szCs w:val="16"/>
                <w:lang w:eastAsia="es-PE"/>
              </w:rPr>
              <w:t>Documento de Identidad</w:t>
            </w:r>
          </w:p>
        </w:tc>
        <w:tc>
          <w:tcPr>
            <w:tcW w:w="1108" w:type="dxa"/>
            <w:vAlign w:val="center"/>
          </w:tcPr>
          <w:p w14:paraId="7EA41804" w14:textId="244CB37E" w:rsidR="00E86CE6" w:rsidRDefault="00E86CE6" w:rsidP="003A6F88">
            <w:pPr>
              <w:spacing w:line="0" w:lineRule="atLeast"/>
              <w:jc w:val="center"/>
              <w:rPr>
                <w:rFonts w:ascii="Arial Narrow" w:hAnsi="Arial Narrow"/>
                <w:sz w:val="16"/>
                <w:szCs w:val="16"/>
              </w:rPr>
            </w:pPr>
            <w:r w:rsidRPr="005F71DC">
              <w:rPr>
                <w:rFonts w:ascii="Arial Narrow" w:eastAsia="Times New Roman" w:hAnsi="Arial Narrow" w:cstheme="minorHAnsi"/>
                <w:color w:val="000000"/>
                <w:sz w:val="16"/>
                <w:szCs w:val="16"/>
                <w:lang w:eastAsia="es-PE"/>
              </w:rPr>
              <w:t>Acta de Incautación</w:t>
            </w:r>
          </w:p>
        </w:tc>
        <w:tc>
          <w:tcPr>
            <w:tcW w:w="1164" w:type="dxa"/>
            <w:vAlign w:val="center"/>
          </w:tcPr>
          <w:p w14:paraId="783A5FE4" w14:textId="2D8EB26E" w:rsidR="00E86CE6" w:rsidRDefault="00E86CE6" w:rsidP="003A6F88">
            <w:pPr>
              <w:spacing w:line="0" w:lineRule="atLeast"/>
              <w:jc w:val="center"/>
              <w:rPr>
                <w:rFonts w:ascii="Arial Narrow" w:hAnsi="Arial Narrow"/>
                <w:sz w:val="16"/>
                <w:szCs w:val="16"/>
              </w:rPr>
            </w:pPr>
            <w:r w:rsidRPr="005F71DC">
              <w:rPr>
                <w:rFonts w:ascii="Arial Narrow" w:eastAsia="Times New Roman" w:hAnsi="Arial Narrow" w:cstheme="minorHAnsi"/>
                <w:noProof/>
                <w:color w:val="000000"/>
                <w:sz w:val="16"/>
                <w:szCs w:val="16"/>
                <w:lang w:eastAsia="es-PE"/>
              </w:rPr>
              <w:t>Resolución Jefatural de División</w:t>
            </w:r>
          </w:p>
        </w:tc>
        <w:tc>
          <w:tcPr>
            <w:tcW w:w="1417" w:type="dxa"/>
            <w:vAlign w:val="center"/>
          </w:tcPr>
          <w:p w14:paraId="727DAA22" w14:textId="565FEEA4" w:rsidR="00E86CE6" w:rsidRDefault="00E86CE6" w:rsidP="003A6F88">
            <w:pPr>
              <w:spacing w:line="0" w:lineRule="atLeast"/>
              <w:jc w:val="center"/>
              <w:rPr>
                <w:rFonts w:ascii="Arial Narrow" w:hAnsi="Arial Narrow"/>
                <w:sz w:val="16"/>
                <w:szCs w:val="16"/>
              </w:rPr>
            </w:pPr>
            <w:r w:rsidRPr="005F71DC">
              <w:rPr>
                <w:rFonts w:ascii="Arial Narrow" w:eastAsia="Times New Roman" w:hAnsi="Arial Narrow" w:cstheme="minorHAnsi"/>
                <w:color w:val="000000"/>
                <w:sz w:val="16"/>
                <w:szCs w:val="16"/>
                <w:lang w:eastAsia="es-PE"/>
              </w:rPr>
              <w:t>RESOLUCIÓN DE MULTA N° 8720020004611</w:t>
            </w:r>
          </w:p>
        </w:tc>
        <w:tc>
          <w:tcPr>
            <w:tcW w:w="9042" w:type="dxa"/>
            <w:vAlign w:val="center"/>
          </w:tcPr>
          <w:p w14:paraId="59F4C160" w14:textId="3952EAC3" w:rsidR="00E86CE6" w:rsidRDefault="00E86CE6" w:rsidP="003A6F88">
            <w:pPr>
              <w:spacing w:line="0" w:lineRule="atLeast"/>
              <w:jc w:val="center"/>
              <w:rPr>
                <w:rFonts w:ascii="Arial Narrow" w:hAnsi="Arial Narrow"/>
                <w:sz w:val="16"/>
                <w:szCs w:val="16"/>
              </w:rPr>
            </w:pPr>
            <w:r w:rsidRPr="005F71DC">
              <w:rPr>
                <w:rFonts w:ascii="Arial Narrow" w:eastAsia="Times New Roman" w:hAnsi="Arial Narrow" w:cstheme="minorHAnsi"/>
                <w:color w:val="000000"/>
                <w:sz w:val="16"/>
                <w:szCs w:val="16"/>
                <w:lang w:eastAsia="es-PE"/>
              </w:rPr>
              <w:t>Determinación</w:t>
            </w:r>
          </w:p>
        </w:tc>
      </w:tr>
      <w:tr w:rsidR="00397CD5" w14:paraId="3F4C3C75" w14:textId="77777777" w:rsidTr="00397CD5">
        <w:tc>
          <w:tcPr>
            <w:tcW w:w="851" w:type="dxa"/>
          </w:tcPr>
          <w:p w14:paraId="3563C500" w14:textId="6AB82E57" w:rsidR="00E86CE6" w:rsidRPr="005F71DC" w:rsidRDefault="00E86CE6" w:rsidP="00E86CE6">
            <w:pPr>
              <w:spacing w:line="0" w:lineRule="atLeast"/>
              <w:jc w:val="both"/>
              <w:rPr>
                <w:rFonts w:ascii="Arial Narrow" w:eastAsia="Times New Roman" w:hAnsi="Arial Narrow" w:cstheme="minorHAnsi"/>
                <w:color w:val="000000"/>
                <w:sz w:val="16"/>
                <w:szCs w:val="16"/>
                <w:lang w:eastAsia="es-PE"/>
              </w:rPr>
            </w:pPr>
            <w:r w:rsidRPr="005F71DC">
              <w:rPr>
                <w:rFonts w:ascii="Arial Narrow" w:hAnsi="Arial Narrow" w:cstheme="minorHAnsi"/>
                <w:color w:val="000000"/>
                <w:sz w:val="16"/>
                <w:szCs w:val="16"/>
              </w:rPr>
              <w:t>JAIME JOSE GALDOS QUISPE</w:t>
            </w:r>
          </w:p>
        </w:tc>
        <w:tc>
          <w:tcPr>
            <w:tcW w:w="1019" w:type="dxa"/>
          </w:tcPr>
          <w:p w14:paraId="4F895615" w14:textId="36D6B7A4" w:rsidR="00E86CE6" w:rsidRPr="005F71DC" w:rsidRDefault="00E86CE6" w:rsidP="00E86CE6">
            <w:pPr>
              <w:spacing w:line="0" w:lineRule="atLeast"/>
              <w:jc w:val="both"/>
              <w:rPr>
                <w:rFonts w:ascii="Arial Narrow" w:eastAsia="Times New Roman" w:hAnsi="Arial Narrow" w:cstheme="minorHAnsi"/>
                <w:color w:val="000000"/>
                <w:sz w:val="16"/>
                <w:szCs w:val="16"/>
                <w:lang w:eastAsia="es-PE"/>
              </w:rPr>
            </w:pPr>
            <w:r w:rsidRPr="005F71DC">
              <w:rPr>
                <w:rFonts w:ascii="Arial Narrow" w:hAnsi="Arial Narrow" w:cstheme="minorHAnsi"/>
                <w:color w:val="000000"/>
                <w:sz w:val="16"/>
                <w:szCs w:val="16"/>
              </w:rPr>
              <w:t>10004739642</w:t>
            </w:r>
          </w:p>
        </w:tc>
        <w:tc>
          <w:tcPr>
            <w:tcW w:w="1108" w:type="dxa"/>
          </w:tcPr>
          <w:p w14:paraId="664FE7F7" w14:textId="77777777" w:rsidR="00E86CE6" w:rsidRPr="005F71DC" w:rsidRDefault="00E86CE6" w:rsidP="00E86CE6">
            <w:pPr>
              <w:spacing w:line="0" w:lineRule="atLeast"/>
              <w:jc w:val="center"/>
              <w:rPr>
                <w:rFonts w:ascii="Arial Narrow" w:hAnsi="Arial Narrow" w:cstheme="minorHAnsi"/>
                <w:color w:val="000000"/>
                <w:sz w:val="16"/>
                <w:szCs w:val="16"/>
              </w:rPr>
            </w:pPr>
            <w:r w:rsidRPr="005F71DC">
              <w:rPr>
                <w:rFonts w:ascii="Arial Narrow" w:hAnsi="Arial Narrow" w:cstheme="minorHAnsi"/>
                <w:color w:val="000000"/>
                <w:sz w:val="16"/>
                <w:szCs w:val="16"/>
              </w:rPr>
              <w:t>N° 172-0201-2024-000022</w:t>
            </w:r>
          </w:p>
          <w:p w14:paraId="62B84F99" w14:textId="2282E352" w:rsidR="00E86CE6" w:rsidRPr="005F71DC" w:rsidRDefault="00E86CE6" w:rsidP="00E86CE6">
            <w:pPr>
              <w:spacing w:line="0" w:lineRule="atLeast"/>
              <w:jc w:val="both"/>
              <w:rPr>
                <w:rFonts w:ascii="Arial Narrow" w:eastAsia="Times New Roman" w:hAnsi="Arial Narrow" w:cstheme="minorHAnsi"/>
                <w:color w:val="000000"/>
                <w:sz w:val="16"/>
                <w:szCs w:val="16"/>
                <w:lang w:eastAsia="es-PE"/>
              </w:rPr>
            </w:pPr>
            <w:r w:rsidRPr="005F71DC">
              <w:rPr>
                <w:rFonts w:ascii="Arial Narrow" w:hAnsi="Arial Narrow" w:cstheme="minorHAnsi"/>
                <w:color w:val="000000"/>
                <w:sz w:val="16"/>
                <w:szCs w:val="16"/>
              </w:rPr>
              <w:t>DEL 23.1.2024</w:t>
            </w:r>
          </w:p>
        </w:tc>
        <w:tc>
          <w:tcPr>
            <w:tcW w:w="1164" w:type="dxa"/>
          </w:tcPr>
          <w:p w14:paraId="53D296F8" w14:textId="6369E145" w:rsidR="00E86CE6" w:rsidRPr="00397CD5" w:rsidRDefault="00E86CE6" w:rsidP="00397CD5">
            <w:pPr>
              <w:spacing w:line="0" w:lineRule="atLeast"/>
              <w:jc w:val="center"/>
              <w:rPr>
                <w:rFonts w:ascii="Arial Narrow" w:hAnsi="Arial Narrow" w:cstheme="minorHAnsi"/>
                <w:sz w:val="16"/>
                <w:szCs w:val="16"/>
              </w:rPr>
            </w:pPr>
            <w:r w:rsidRPr="005F71DC">
              <w:rPr>
                <w:rFonts w:ascii="Arial Narrow" w:hAnsi="Arial Narrow" w:cstheme="minorHAnsi"/>
                <w:sz w:val="16"/>
                <w:szCs w:val="16"/>
              </w:rPr>
              <w:t>N° 000511-2024-SUNAT/3G0500</w:t>
            </w:r>
          </w:p>
        </w:tc>
        <w:tc>
          <w:tcPr>
            <w:tcW w:w="1417" w:type="dxa"/>
          </w:tcPr>
          <w:p w14:paraId="50F681A2" w14:textId="43B77C79" w:rsidR="00E86CE6" w:rsidRPr="005F71DC" w:rsidRDefault="00E86CE6" w:rsidP="00E86CE6">
            <w:pPr>
              <w:spacing w:line="0" w:lineRule="atLeast"/>
              <w:jc w:val="both"/>
              <w:rPr>
                <w:rFonts w:ascii="Arial Narrow" w:eastAsia="Times New Roman" w:hAnsi="Arial Narrow" w:cstheme="minorHAnsi"/>
                <w:color w:val="000000"/>
                <w:sz w:val="16"/>
                <w:szCs w:val="16"/>
                <w:lang w:eastAsia="es-PE"/>
              </w:rPr>
            </w:pPr>
            <w:r w:rsidRPr="005F71DC">
              <w:rPr>
                <w:rFonts w:ascii="Arial Narrow" w:hAnsi="Arial Narrow" w:cstheme="minorHAnsi"/>
                <w:sz w:val="16"/>
                <w:szCs w:val="16"/>
              </w:rPr>
              <w:t>Monto: S/ 2,979.00</w:t>
            </w:r>
          </w:p>
        </w:tc>
        <w:tc>
          <w:tcPr>
            <w:tcW w:w="9042" w:type="dxa"/>
          </w:tcPr>
          <w:p w14:paraId="355922A0" w14:textId="4E169274" w:rsidR="00E86CE6" w:rsidRPr="005F71DC" w:rsidRDefault="00E86CE6" w:rsidP="00E86CE6">
            <w:pPr>
              <w:autoSpaceDE w:val="0"/>
              <w:autoSpaceDN w:val="0"/>
              <w:adjustRightInd w:val="0"/>
              <w:spacing w:line="0" w:lineRule="atLeast"/>
              <w:jc w:val="both"/>
              <w:rPr>
                <w:rFonts w:ascii="Arial Narrow" w:hAnsi="Arial Narrow" w:cs="Arial"/>
                <w:sz w:val="16"/>
                <w:szCs w:val="16"/>
              </w:rPr>
            </w:pPr>
            <w:r w:rsidRPr="005F71DC">
              <w:rPr>
                <w:rFonts w:ascii="Arial Narrow" w:hAnsi="Arial Narrow" w:cs="Arial"/>
                <w:sz w:val="16"/>
                <w:szCs w:val="16"/>
              </w:rPr>
              <w:t>ARTÍCULO PRIMERO.- Declarar IMPROCEDENTE la solicitud de devolución de mercancías consignadas en el Acta de Incautación</w:t>
            </w:r>
            <w:r w:rsidR="005C723F">
              <w:rPr>
                <w:rFonts w:ascii="Arial Narrow" w:hAnsi="Arial Narrow" w:cs="Arial"/>
                <w:sz w:val="16"/>
                <w:szCs w:val="16"/>
              </w:rPr>
              <w:t xml:space="preserve"> </w:t>
            </w:r>
            <w:r w:rsidRPr="005F71DC">
              <w:rPr>
                <w:rFonts w:ascii="Arial Narrow" w:hAnsi="Arial Narrow" w:cs="Arial"/>
                <w:sz w:val="16"/>
                <w:szCs w:val="16"/>
              </w:rPr>
              <w:t xml:space="preserve"> N° 172-0201-2024-000022 de fecha 23.1.2024, presentada por TRANSPORTES Y SERVICIOS AFARAYA E.I.R.L., identificado con N° RUC N° 20602198074, mediante el Expediente N° 172-URD119-2024-91736 de fecha 29.1.2024.</w:t>
            </w:r>
          </w:p>
          <w:p w14:paraId="1BD80004" w14:textId="544E806B" w:rsidR="00E86CE6" w:rsidRPr="00E86CE6" w:rsidRDefault="00E86CE6" w:rsidP="00E86CE6">
            <w:pPr>
              <w:autoSpaceDE w:val="0"/>
              <w:autoSpaceDN w:val="0"/>
              <w:adjustRightInd w:val="0"/>
              <w:spacing w:line="0" w:lineRule="atLeast"/>
              <w:jc w:val="both"/>
              <w:rPr>
                <w:rFonts w:ascii="Arial Narrow" w:hAnsi="Arial Narrow" w:cs="Arial"/>
                <w:sz w:val="16"/>
                <w:szCs w:val="16"/>
              </w:rPr>
            </w:pPr>
            <w:r w:rsidRPr="005F71DC">
              <w:rPr>
                <w:rFonts w:ascii="Arial Narrow" w:hAnsi="Arial Narrow" w:cs="Arial"/>
                <w:sz w:val="16"/>
                <w:szCs w:val="16"/>
              </w:rPr>
              <w:t xml:space="preserve">ARTÍCULO SEGUNDO.- Declarar el COMISO de las mercancías descritas en el Acta de Incautación N° 172-0201-2024-000022 de fecha 23.1.2024, conforme al artículo 38° de la Ley de los Delitos Aduaneros – Ley N° 28008. </w:t>
            </w:r>
          </w:p>
        </w:tc>
      </w:tr>
    </w:tbl>
    <w:p w14:paraId="315860C0" w14:textId="77777777" w:rsidR="00110A8E" w:rsidRDefault="00110A8E" w:rsidP="00397CD5">
      <w:pPr>
        <w:spacing w:after="0" w:line="0" w:lineRule="atLeast"/>
        <w:ind w:left="-284" w:right="-357"/>
        <w:jc w:val="both"/>
        <w:rPr>
          <w:rFonts w:ascii="Arial Narrow" w:hAnsi="Arial Narrow"/>
          <w:sz w:val="16"/>
          <w:szCs w:val="16"/>
        </w:rPr>
      </w:pPr>
    </w:p>
    <w:p w14:paraId="2B4BCDA7" w14:textId="77777777" w:rsidR="00406A05" w:rsidRPr="00473E6F" w:rsidRDefault="00406A05" w:rsidP="00397CD5">
      <w:pPr>
        <w:spacing w:after="0" w:line="0" w:lineRule="atLeast"/>
        <w:ind w:left="-284" w:right="-357"/>
        <w:jc w:val="center"/>
        <w:rPr>
          <w:rFonts w:ascii="Arial Narrow" w:hAnsi="Arial Narrow"/>
          <w:b/>
          <w:bCs/>
          <w:sz w:val="16"/>
          <w:szCs w:val="16"/>
        </w:rPr>
      </w:pPr>
      <w:r w:rsidRPr="00473E6F">
        <w:rPr>
          <w:rFonts w:ascii="Arial Narrow" w:hAnsi="Arial Narrow"/>
          <w:b/>
          <w:bCs/>
          <w:sz w:val="16"/>
          <w:szCs w:val="16"/>
        </w:rPr>
        <w:t xml:space="preserve">NOTIFICACIÓN ADMINISTRATIVA </w:t>
      </w:r>
    </w:p>
    <w:p w14:paraId="161D4115" w14:textId="77777777" w:rsidR="00406A05" w:rsidRPr="005F71DC" w:rsidRDefault="00406A05" w:rsidP="00397CD5">
      <w:pPr>
        <w:spacing w:after="0" w:line="0" w:lineRule="atLeast"/>
        <w:ind w:left="-284" w:right="-357"/>
        <w:jc w:val="center"/>
        <w:rPr>
          <w:rFonts w:ascii="Arial Narrow" w:hAnsi="Arial Narrow"/>
          <w:sz w:val="16"/>
          <w:szCs w:val="16"/>
        </w:rPr>
      </w:pPr>
    </w:p>
    <w:p w14:paraId="7B568C0E" w14:textId="0A6E721B" w:rsidR="00406A05" w:rsidRPr="005F71DC" w:rsidRDefault="00406A05" w:rsidP="00397CD5">
      <w:pPr>
        <w:spacing w:after="0" w:line="0" w:lineRule="atLeast"/>
        <w:ind w:left="-284" w:right="-357"/>
        <w:jc w:val="both"/>
        <w:rPr>
          <w:rFonts w:ascii="Arial Narrow" w:hAnsi="Arial Narrow"/>
          <w:sz w:val="16"/>
          <w:szCs w:val="16"/>
        </w:rPr>
      </w:pPr>
      <w:r w:rsidRPr="005F71DC">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w:t>
      </w:r>
      <w:r w:rsidR="005C723F">
        <w:rPr>
          <w:rFonts w:ascii="Arial Narrow" w:hAnsi="Arial Narrow"/>
          <w:sz w:val="16"/>
          <w:szCs w:val="16"/>
        </w:rPr>
        <w:t xml:space="preserve"> </w:t>
      </w:r>
      <w:r w:rsidRPr="005F71DC">
        <w:rPr>
          <w:rFonts w:ascii="Arial Narrow" w:hAnsi="Arial Narrow"/>
          <w:sz w:val="16"/>
          <w:szCs w:val="16"/>
        </w:rPr>
        <w:t>mercancías descritas en el actas de incautación indicada en la presente notificación.</w:t>
      </w:r>
    </w:p>
    <w:p w14:paraId="4247F597" w14:textId="6961FEF7" w:rsidR="00406A05" w:rsidRPr="005F71DC" w:rsidRDefault="00406A05" w:rsidP="00397CD5">
      <w:pPr>
        <w:spacing w:after="0" w:line="0" w:lineRule="atLeast"/>
        <w:ind w:left="-284" w:right="-357"/>
        <w:jc w:val="both"/>
        <w:rPr>
          <w:rFonts w:ascii="Arial Narrow" w:hAnsi="Arial Narrow"/>
          <w:sz w:val="16"/>
          <w:szCs w:val="16"/>
        </w:rPr>
      </w:pPr>
      <w:r w:rsidRPr="005F71DC">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w:t>
      </w:r>
      <w:r w:rsidR="005C723F">
        <w:rPr>
          <w:rFonts w:ascii="Arial Narrow" w:hAnsi="Arial Narrow"/>
          <w:sz w:val="16"/>
          <w:szCs w:val="16"/>
        </w:rPr>
        <w:t xml:space="preserve"> </w:t>
      </w:r>
      <w:r w:rsidRPr="005F71DC">
        <w:rPr>
          <w:rFonts w:ascii="Arial Narrow" w:hAnsi="Arial Narrow"/>
          <w:sz w:val="16"/>
          <w:szCs w:val="16"/>
        </w:rPr>
        <w:t>presente publicación, caso contrario, la mercancía consignada podrá ser objeto de disposición por la Administración aduanera en conformidad con lo indicado</w:t>
      </w:r>
      <w:r w:rsidR="005C723F">
        <w:rPr>
          <w:rFonts w:ascii="Arial Narrow" w:hAnsi="Arial Narrow"/>
          <w:sz w:val="16"/>
          <w:szCs w:val="16"/>
        </w:rPr>
        <w:t xml:space="preserve"> </w:t>
      </w:r>
      <w:r w:rsidRPr="005F71DC">
        <w:rPr>
          <w:rFonts w:ascii="Arial Narrow" w:hAnsi="Arial Narrow"/>
          <w:sz w:val="16"/>
          <w:szCs w:val="16"/>
        </w:rPr>
        <w:t>en los artículo 180° y 186° de la Ley General de Aduanas, aprobado por el Decreto Legislativo N° 1053, concordante con los artículos 235° , 242° y 243° de su Reglamento aprobado por Decreto Supremo N° 010-2009-EF.</w:t>
      </w:r>
    </w:p>
    <w:p w14:paraId="78AC80BE" w14:textId="61D6AB50" w:rsidR="00406A05" w:rsidRPr="005F71DC" w:rsidRDefault="00406A05" w:rsidP="005F71DC">
      <w:pPr>
        <w:spacing w:after="0" w:line="0" w:lineRule="atLeast"/>
        <w:jc w:val="both"/>
        <w:rPr>
          <w:rFonts w:ascii="Arial Narrow" w:hAnsi="Arial Narrow"/>
          <w:sz w:val="16"/>
          <w:szCs w:val="16"/>
        </w:rPr>
      </w:pPr>
    </w:p>
    <w:tbl>
      <w:tblPr>
        <w:tblStyle w:val="Tablaconcuadrculaclara"/>
        <w:tblW w:w="14601" w:type="dxa"/>
        <w:tblInd w:w="-289" w:type="dxa"/>
        <w:tblLayout w:type="fixed"/>
        <w:tblLook w:val="04A0" w:firstRow="1" w:lastRow="0" w:firstColumn="1" w:lastColumn="0" w:noHBand="0" w:noVBand="1"/>
      </w:tblPr>
      <w:tblGrid>
        <w:gridCol w:w="988"/>
        <w:gridCol w:w="1218"/>
        <w:gridCol w:w="1050"/>
        <w:gridCol w:w="1417"/>
        <w:gridCol w:w="9928"/>
      </w:tblGrid>
      <w:tr w:rsidR="00397CD5" w:rsidRPr="005F71DC" w14:paraId="685F2182" w14:textId="77777777" w:rsidTr="00397CD5">
        <w:trPr>
          <w:trHeight w:val="20"/>
        </w:trPr>
        <w:tc>
          <w:tcPr>
            <w:tcW w:w="988" w:type="dxa"/>
            <w:hideMark/>
          </w:tcPr>
          <w:p w14:paraId="0CD403CB"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eastAsia="Times New Roman" w:hAnsi="Arial Narrow" w:cs="Calibri"/>
                <w:color w:val="000000"/>
                <w:sz w:val="16"/>
                <w:szCs w:val="16"/>
                <w:lang w:eastAsia="es-PE"/>
              </w:rPr>
              <w:t>Infractor</w:t>
            </w:r>
          </w:p>
        </w:tc>
        <w:tc>
          <w:tcPr>
            <w:tcW w:w="1218" w:type="dxa"/>
            <w:hideMark/>
          </w:tcPr>
          <w:p w14:paraId="3CA24582"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eastAsia="Times New Roman" w:hAnsi="Arial Narrow" w:cs="Calibri"/>
                <w:color w:val="000000"/>
                <w:sz w:val="16"/>
                <w:szCs w:val="16"/>
                <w:lang w:eastAsia="es-PE"/>
              </w:rPr>
              <w:t>Documento de Identidad/DNI</w:t>
            </w:r>
          </w:p>
        </w:tc>
        <w:tc>
          <w:tcPr>
            <w:tcW w:w="1050" w:type="dxa"/>
            <w:hideMark/>
          </w:tcPr>
          <w:p w14:paraId="38515FFF"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eastAsia="Times New Roman" w:hAnsi="Arial Narrow" w:cs="Calibri"/>
                <w:color w:val="000000"/>
                <w:sz w:val="16"/>
                <w:szCs w:val="16"/>
                <w:lang w:eastAsia="es-PE"/>
              </w:rPr>
              <w:t>Acta de Incautación</w:t>
            </w:r>
          </w:p>
        </w:tc>
        <w:tc>
          <w:tcPr>
            <w:tcW w:w="1417" w:type="dxa"/>
            <w:hideMark/>
          </w:tcPr>
          <w:p w14:paraId="24DC9653"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eastAsia="Times New Roman" w:hAnsi="Arial Narrow" w:cs="Calibri"/>
                <w:color w:val="000000"/>
                <w:sz w:val="16"/>
                <w:szCs w:val="16"/>
                <w:lang w:eastAsia="es-PE"/>
              </w:rPr>
              <w:t>Resolución Jefatural de División</w:t>
            </w:r>
          </w:p>
        </w:tc>
        <w:tc>
          <w:tcPr>
            <w:tcW w:w="9928" w:type="dxa"/>
            <w:noWrap/>
            <w:hideMark/>
          </w:tcPr>
          <w:p w14:paraId="3D7FBC14" w14:textId="5EA0EF7A"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eastAsia="Times New Roman" w:hAnsi="Arial Narrow" w:cs="Calibri"/>
                <w:color w:val="000000"/>
                <w:sz w:val="16"/>
                <w:szCs w:val="16"/>
                <w:lang w:eastAsia="es-PE"/>
              </w:rPr>
              <w:t>Determinación</w:t>
            </w:r>
          </w:p>
        </w:tc>
      </w:tr>
      <w:tr w:rsidR="00397CD5" w:rsidRPr="005F71DC" w14:paraId="76741C4F" w14:textId="77777777" w:rsidTr="00397CD5">
        <w:trPr>
          <w:trHeight w:val="20"/>
        </w:trPr>
        <w:tc>
          <w:tcPr>
            <w:tcW w:w="988" w:type="dxa"/>
            <w:hideMark/>
          </w:tcPr>
          <w:p w14:paraId="249554B1"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hAnsi="Arial Narrow"/>
                <w:sz w:val="16"/>
                <w:szCs w:val="16"/>
              </w:rPr>
              <w:t>MONTOYA MAMANI YANETH</w:t>
            </w:r>
          </w:p>
        </w:tc>
        <w:tc>
          <w:tcPr>
            <w:tcW w:w="1218" w:type="dxa"/>
            <w:hideMark/>
          </w:tcPr>
          <w:p w14:paraId="0FDEC353"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hAnsi="Arial Narrow"/>
                <w:sz w:val="16"/>
                <w:szCs w:val="16"/>
              </w:rPr>
              <w:t>4669571 9</w:t>
            </w:r>
          </w:p>
        </w:tc>
        <w:tc>
          <w:tcPr>
            <w:tcW w:w="1050" w:type="dxa"/>
            <w:hideMark/>
          </w:tcPr>
          <w:p w14:paraId="6FF80364"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hAnsi="Arial Narrow"/>
                <w:sz w:val="16"/>
                <w:szCs w:val="16"/>
              </w:rPr>
              <w:t>172-0400-2020-000059 del 23.7.2020</w:t>
            </w:r>
          </w:p>
        </w:tc>
        <w:tc>
          <w:tcPr>
            <w:tcW w:w="1417" w:type="dxa"/>
            <w:hideMark/>
          </w:tcPr>
          <w:p w14:paraId="18A71508"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eastAsia="Times New Roman" w:hAnsi="Arial Narrow" w:cs="Calibri"/>
                <w:color w:val="000000"/>
                <w:sz w:val="16"/>
                <w:szCs w:val="16"/>
                <w:lang w:eastAsia="es-PE"/>
              </w:rPr>
              <w:t>172-3G0500/2024-000535 del</w:t>
            </w:r>
          </w:p>
          <w:p w14:paraId="5CDE9791" w14:textId="77777777" w:rsidR="00406A05" w:rsidRPr="005F71DC" w:rsidRDefault="00406A05" w:rsidP="005F71DC">
            <w:pPr>
              <w:spacing w:line="0" w:lineRule="atLeast"/>
              <w:jc w:val="center"/>
              <w:rPr>
                <w:rFonts w:ascii="Arial Narrow" w:eastAsia="Times New Roman" w:hAnsi="Arial Narrow" w:cs="Calibri"/>
                <w:color w:val="000000"/>
                <w:sz w:val="16"/>
                <w:szCs w:val="16"/>
                <w:lang w:eastAsia="es-PE"/>
              </w:rPr>
            </w:pPr>
            <w:r w:rsidRPr="005F71DC">
              <w:rPr>
                <w:rFonts w:ascii="Arial Narrow" w:eastAsia="Times New Roman" w:hAnsi="Arial Narrow" w:cs="Calibri"/>
                <w:color w:val="000000"/>
                <w:sz w:val="16"/>
                <w:szCs w:val="16"/>
                <w:lang w:eastAsia="es-PE"/>
              </w:rPr>
              <w:t>03.9.2024</w:t>
            </w:r>
          </w:p>
        </w:tc>
        <w:tc>
          <w:tcPr>
            <w:tcW w:w="9928" w:type="dxa"/>
          </w:tcPr>
          <w:p w14:paraId="62697056" w14:textId="2AC83CA5" w:rsidR="00406A05" w:rsidRPr="005F71DC" w:rsidRDefault="00406A05" w:rsidP="005F71DC">
            <w:pPr>
              <w:spacing w:line="0" w:lineRule="atLeast"/>
              <w:jc w:val="both"/>
              <w:rPr>
                <w:rFonts w:ascii="Arial Narrow" w:hAnsi="Arial Narrow"/>
                <w:sz w:val="16"/>
                <w:szCs w:val="16"/>
              </w:rPr>
            </w:pPr>
            <w:r w:rsidRPr="005F71DC">
              <w:rPr>
                <w:rFonts w:ascii="Arial Narrow" w:hAnsi="Arial Narrow"/>
                <w:sz w:val="16"/>
                <w:szCs w:val="16"/>
              </w:rPr>
              <w:t xml:space="preserve">ARTÍCULO PRIMERO.- Declarar el COMISO de la mercancía consignada en el Acta de Incautación N° 172-0400-2020-000059 de fecha 23.7.2020, conforme a los considerandos expuestos de la presente resolución. </w:t>
            </w:r>
          </w:p>
          <w:p w14:paraId="02078B35" w14:textId="77777777" w:rsidR="00406A05" w:rsidRPr="005F71DC" w:rsidRDefault="00406A05" w:rsidP="005F71DC">
            <w:pPr>
              <w:spacing w:line="0" w:lineRule="atLeast"/>
              <w:jc w:val="both"/>
              <w:rPr>
                <w:rFonts w:ascii="Arial Narrow" w:eastAsia="Times New Roman" w:hAnsi="Arial Narrow" w:cstheme="minorHAnsi"/>
                <w:color w:val="000000"/>
                <w:sz w:val="16"/>
                <w:szCs w:val="16"/>
                <w:lang w:val="es-ES_tradnl" w:eastAsia="es-PE"/>
              </w:rPr>
            </w:pPr>
            <w:r w:rsidRPr="005F71DC">
              <w:rPr>
                <w:rFonts w:ascii="Arial Narrow" w:hAnsi="Arial Narrow"/>
                <w:sz w:val="16"/>
                <w:szCs w:val="16"/>
              </w:rPr>
              <w:t>ARTÍCULO SEGUNDO.- Sancionar con CIERRE TEMPORAL del establecimiento ubicado en el inmueble en la Asociación de Vivienda Santa Maria Mza. A, lote 08 -Distrito Gregorio Albarracín Lanchipa - Tacna – Tacna.</w:t>
            </w:r>
          </w:p>
        </w:tc>
      </w:tr>
    </w:tbl>
    <w:p w14:paraId="2793993B" w14:textId="1034326D" w:rsidR="00D31BF1" w:rsidRPr="005F71DC" w:rsidRDefault="00D31BF1" w:rsidP="005F71DC">
      <w:pPr>
        <w:spacing w:after="0" w:line="0" w:lineRule="atLeast"/>
        <w:jc w:val="both"/>
        <w:rPr>
          <w:rFonts w:ascii="Arial Narrow" w:hAnsi="Arial Narrow"/>
          <w:sz w:val="16"/>
          <w:szCs w:val="16"/>
        </w:rPr>
      </w:pPr>
    </w:p>
    <w:tbl>
      <w:tblPr>
        <w:tblStyle w:val="Tablaconcuadrculaclara"/>
        <w:tblW w:w="5210" w:type="pct"/>
        <w:tblInd w:w="-289" w:type="dxa"/>
        <w:tblLayout w:type="fixed"/>
        <w:tblLook w:val="04A0" w:firstRow="1" w:lastRow="0" w:firstColumn="1" w:lastColumn="0" w:noHBand="0" w:noVBand="1"/>
      </w:tblPr>
      <w:tblGrid>
        <w:gridCol w:w="991"/>
        <w:gridCol w:w="1137"/>
        <w:gridCol w:w="1584"/>
        <w:gridCol w:w="1047"/>
        <w:gridCol w:w="4172"/>
        <w:gridCol w:w="5605"/>
      </w:tblGrid>
      <w:tr w:rsidR="00397CD5" w:rsidRPr="005F71DC" w14:paraId="7BAE3736" w14:textId="77777777" w:rsidTr="00397CD5">
        <w:trPr>
          <w:trHeight w:val="20"/>
        </w:trPr>
        <w:tc>
          <w:tcPr>
            <w:tcW w:w="341" w:type="pct"/>
            <w:hideMark/>
          </w:tcPr>
          <w:p w14:paraId="646A2B39" w14:textId="77777777" w:rsidR="00D31BF1" w:rsidRPr="005F71DC" w:rsidRDefault="00D31BF1" w:rsidP="005F71DC">
            <w:pPr>
              <w:spacing w:line="0" w:lineRule="atLeast"/>
              <w:jc w:val="center"/>
              <w:rPr>
                <w:rFonts w:ascii="Arial Narrow" w:eastAsia="Times New Roman" w:hAnsi="Arial Narrow" w:cs="Arial"/>
                <w:color w:val="000000"/>
                <w:sz w:val="16"/>
                <w:szCs w:val="16"/>
                <w:lang w:eastAsia="es-PE"/>
              </w:rPr>
            </w:pPr>
            <w:r w:rsidRPr="005F71DC">
              <w:rPr>
                <w:rFonts w:ascii="Arial Narrow" w:eastAsia="Times New Roman" w:hAnsi="Arial Narrow" w:cs="Arial"/>
                <w:color w:val="000000"/>
                <w:sz w:val="16"/>
                <w:szCs w:val="16"/>
                <w:lang w:eastAsia="es-PE"/>
              </w:rPr>
              <w:t>Infractor</w:t>
            </w:r>
          </w:p>
        </w:tc>
        <w:tc>
          <w:tcPr>
            <w:tcW w:w="391" w:type="pct"/>
            <w:hideMark/>
          </w:tcPr>
          <w:p w14:paraId="58090BC9" w14:textId="77777777" w:rsidR="00D31BF1" w:rsidRPr="005F71DC" w:rsidRDefault="00D31BF1" w:rsidP="005F71DC">
            <w:pPr>
              <w:spacing w:line="0" w:lineRule="atLeast"/>
              <w:jc w:val="center"/>
              <w:rPr>
                <w:rFonts w:ascii="Arial Narrow" w:eastAsia="Times New Roman" w:hAnsi="Arial Narrow" w:cs="Arial"/>
                <w:color w:val="000000"/>
                <w:sz w:val="16"/>
                <w:szCs w:val="16"/>
                <w:lang w:eastAsia="es-PE"/>
              </w:rPr>
            </w:pPr>
            <w:r w:rsidRPr="005F71DC">
              <w:rPr>
                <w:rFonts w:ascii="Arial Narrow" w:eastAsia="Times New Roman" w:hAnsi="Arial Narrow" w:cs="Arial"/>
                <w:color w:val="000000"/>
                <w:sz w:val="16"/>
                <w:szCs w:val="16"/>
                <w:lang w:eastAsia="es-PE"/>
              </w:rPr>
              <w:t>Documento de Identificación</w:t>
            </w:r>
          </w:p>
        </w:tc>
        <w:tc>
          <w:tcPr>
            <w:tcW w:w="545" w:type="pct"/>
            <w:hideMark/>
          </w:tcPr>
          <w:p w14:paraId="6E16154E" w14:textId="77777777" w:rsidR="00D31BF1" w:rsidRPr="005F71DC" w:rsidRDefault="00D31BF1" w:rsidP="005F71DC">
            <w:pPr>
              <w:spacing w:line="0" w:lineRule="atLeast"/>
              <w:jc w:val="center"/>
              <w:rPr>
                <w:rFonts w:ascii="Arial Narrow" w:eastAsia="Times New Roman" w:hAnsi="Arial Narrow" w:cs="Arial"/>
                <w:color w:val="000000"/>
                <w:sz w:val="16"/>
                <w:szCs w:val="16"/>
                <w:lang w:eastAsia="es-PE"/>
              </w:rPr>
            </w:pPr>
            <w:r w:rsidRPr="005F71DC">
              <w:rPr>
                <w:rFonts w:ascii="Arial Narrow" w:eastAsia="Times New Roman" w:hAnsi="Arial Narrow" w:cs="Arial"/>
                <w:color w:val="000000"/>
                <w:sz w:val="16"/>
                <w:szCs w:val="16"/>
                <w:lang w:eastAsia="es-PE"/>
              </w:rPr>
              <w:t>Acta de Incautación</w:t>
            </w:r>
          </w:p>
        </w:tc>
        <w:tc>
          <w:tcPr>
            <w:tcW w:w="360" w:type="pct"/>
            <w:hideMark/>
          </w:tcPr>
          <w:p w14:paraId="603C31C4" w14:textId="77777777" w:rsidR="00D31BF1" w:rsidRPr="005F71DC" w:rsidRDefault="00D31BF1" w:rsidP="005F71DC">
            <w:pPr>
              <w:spacing w:line="0" w:lineRule="atLeast"/>
              <w:jc w:val="center"/>
              <w:rPr>
                <w:rFonts w:ascii="Arial Narrow" w:eastAsia="Times New Roman" w:hAnsi="Arial Narrow" w:cs="Arial"/>
                <w:color w:val="000000"/>
                <w:sz w:val="16"/>
                <w:szCs w:val="16"/>
                <w:lang w:eastAsia="es-PE"/>
              </w:rPr>
            </w:pPr>
            <w:r w:rsidRPr="005F71DC">
              <w:rPr>
                <w:rFonts w:ascii="Arial Narrow" w:eastAsia="Times New Roman" w:hAnsi="Arial Narrow" w:cs="Arial"/>
                <w:color w:val="000000"/>
                <w:sz w:val="16"/>
                <w:szCs w:val="16"/>
                <w:lang w:eastAsia="es-PE"/>
              </w:rPr>
              <w:t>Resolución de División</w:t>
            </w:r>
          </w:p>
        </w:tc>
        <w:tc>
          <w:tcPr>
            <w:tcW w:w="1435" w:type="pct"/>
            <w:noWrap/>
            <w:hideMark/>
          </w:tcPr>
          <w:p w14:paraId="004E23B8" w14:textId="77777777" w:rsidR="00D31BF1" w:rsidRPr="005F71DC" w:rsidRDefault="00D31BF1" w:rsidP="005F71DC">
            <w:pPr>
              <w:spacing w:line="0" w:lineRule="atLeast"/>
              <w:jc w:val="center"/>
              <w:rPr>
                <w:rFonts w:ascii="Arial Narrow" w:eastAsia="Times New Roman" w:hAnsi="Arial Narrow" w:cs="Arial"/>
                <w:color w:val="000000"/>
                <w:sz w:val="16"/>
                <w:szCs w:val="16"/>
                <w:lang w:eastAsia="es-PE"/>
              </w:rPr>
            </w:pPr>
            <w:r w:rsidRPr="005F71DC">
              <w:rPr>
                <w:rFonts w:ascii="Arial Narrow" w:eastAsia="Times New Roman" w:hAnsi="Arial Narrow" w:cs="Arial"/>
                <w:color w:val="000000"/>
                <w:sz w:val="16"/>
                <w:szCs w:val="16"/>
                <w:lang w:eastAsia="es-PE"/>
              </w:rPr>
              <w:t>Determinación – Resolución de División N.º 000134-2024-SUNAT/3G0800</w:t>
            </w:r>
          </w:p>
        </w:tc>
        <w:tc>
          <w:tcPr>
            <w:tcW w:w="1928" w:type="pct"/>
          </w:tcPr>
          <w:p w14:paraId="50BCF274" w14:textId="01CE96F6" w:rsidR="00D31BF1" w:rsidRPr="005F71DC" w:rsidRDefault="00D31BF1" w:rsidP="005F71DC">
            <w:pPr>
              <w:spacing w:line="0" w:lineRule="atLeast"/>
              <w:jc w:val="center"/>
              <w:rPr>
                <w:rFonts w:ascii="Arial Narrow" w:eastAsia="Times New Roman" w:hAnsi="Arial Narrow" w:cs="Arial"/>
                <w:color w:val="000000"/>
                <w:sz w:val="16"/>
                <w:szCs w:val="16"/>
                <w:lang w:eastAsia="es-PE"/>
              </w:rPr>
            </w:pPr>
            <w:r w:rsidRPr="005F71DC">
              <w:rPr>
                <w:rFonts w:ascii="Arial Narrow" w:eastAsia="Times New Roman" w:hAnsi="Arial Narrow" w:cs="Arial"/>
                <w:color w:val="000000"/>
                <w:sz w:val="16"/>
                <w:szCs w:val="16"/>
                <w:lang w:eastAsia="es-PE"/>
              </w:rPr>
              <w:t>Determinación – Resolución de División N.º 000141-2024-SUNAT/3G0800</w:t>
            </w:r>
          </w:p>
        </w:tc>
      </w:tr>
      <w:tr w:rsidR="00397CD5" w:rsidRPr="005F71DC" w14:paraId="5C6756F8" w14:textId="77777777" w:rsidTr="00397CD5">
        <w:trPr>
          <w:trHeight w:val="20"/>
        </w:trPr>
        <w:tc>
          <w:tcPr>
            <w:tcW w:w="341" w:type="pct"/>
            <w:vMerge w:val="restart"/>
          </w:tcPr>
          <w:p w14:paraId="6589107F" w14:textId="77777777" w:rsidR="00D31BF1" w:rsidRPr="005F71DC" w:rsidRDefault="00D31BF1" w:rsidP="005F71DC">
            <w:pPr>
              <w:spacing w:line="0" w:lineRule="atLeast"/>
              <w:jc w:val="center"/>
              <w:rPr>
                <w:rFonts w:ascii="Arial Narrow" w:hAnsi="Arial Narrow" w:cs="Arial"/>
                <w:sz w:val="16"/>
                <w:szCs w:val="16"/>
              </w:rPr>
            </w:pPr>
            <w:r w:rsidRPr="005F71DC">
              <w:rPr>
                <w:rFonts w:ascii="Arial Narrow" w:hAnsi="Arial Narrow" w:cs="Arial"/>
                <w:sz w:val="16"/>
                <w:szCs w:val="16"/>
              </w:rPr>
              <w:t>WALTER</w:t>
            </w:r>
          </w:p>
          <w:p w14:paraId="564AB7F8" w14:textId="77777777" w:rsidR="00D31BF1" w:rsidRPr="005F71DC" w:rsidRDefault="00D31BF1" w:rsidP="005F71DC">
            <w:pPr>
              <w:spacing w:line="0" w:lineRule="atLeast"/>
              <w:jc w:val="center"/>
              <w:rPr>
                <w:rFonts w:ascii="Arial Narrow" w:hAnsi="Arial Narrow" w:cs="Arial"/>
                <w:sz w:val="16"/>
                <w:szCs w:val="16"/>
              </w:rPr>
            </w:pPr>
            <w:r w:rsidRPr="005F71DC">
              <w:rPr>
                <w:rFonts w:ascii="Arial Narrow" w:hAnsi="Arial Narrow" w:cs="Arial"/>
                <w:sz w:val="16"/>
                <w:szCs w:val="16"/>
              </w:rPr>
              <w:t>ALONSO</w:t>
            </w:r>
          </w:p>
          <w:p w14:paraId="0B808B26" w14:textId="77777777" w:rsidR="00D31BF1" w:rsidRPr="005F71DC" w:rsidRDefault="00D31BF1" w:rsidP="005F71DC">
            <w:pPr>
              <w:spacing w:line="0" w:lineRule="atLeast"/>
              <w:jc w:val="center"/>
              <w:rPr>
                <w:rFonts w:ascii="Arial Narrow" w:hAnsi="Arial Narrow" w:cs="Arial"/>
                <w:sz w:val="16"/>
                <w:szCs w:val="16"/>
              </w:rPr>
            </w:pPr>
            <w:r w:rsidRPr="005F71DC">
              <w:rPr>
                <w:rFonts w:ascii="Arial Narrow" w:hAnsi="Arial Narrow" w:cs="Arial"/>
                <w:sz w:val="16"/>
                <w:szCs w:val="16"/>
              </w:rPr>
              <w:t>LISARAZO</w:t>
            </w:r>
          </w:p>
          <w:p w14:paraId="5D66F36A" w14:textId="77777777" w:rsidR="00D31BF1" w:rsidRPr="005F71DC" w:rsidRDefault="00D31BF1" w:rsidP="005F71DC">
            <w:pPr>
              <w:spacing w:line="0" w:lineRule="atLeast"/>
              <w:jc w:val="center"/>
              <w:rPr>
                <w:rFonts w:ascii="Arial Narrow" w:hAnsi="Arial Narrow" w:cs="Arial"/>
                <w:sz w:val="16"/>
                <w:szCs w:val="16"/>
              </w:rPr>
            </w:pPr>
            <w:r w:rsidRPr="005F71DC">
              <w:rPr>
                <w:rFonts w:ascii="Arial Narrow" w:hAnsi="Arial Narrow" w:cs="Arial"/>
                <w:sz w:val="16"/>
                <w:szCs w:val="16"/>
              </w:rPr>
              <w:t>VEGA</w:t>
            </w:r>
          </w:p>
        </w:tc>
        <w:tc>
          <w:tcPr>
            <w:tcW w:w="391" w:type="pct"/>
            <w:vMerge w:val="restart"/>
          </w:tcPr>
          <w:p w14:paraId="519515B4" w14:textId="77777777" w:rsidR="00D31BF1" w:rsidRPr="005F71DC" w:rsidRDefault="00D31BF1" w:rsidP="005F71DC">
            <w:pPr>
              <w:spacing w:line="0" w:lineRule="atLeast"/>
              <w:jc w:val="center"/>
              <w:rPr>
                <w:rFonts w:ascii="Arial Narrow" w:hAnsi="Arial Narrow" w:cs="Arial"/>
                <w:sz w:val="16"/>
                <w:szCs w:val="16"/>
              </w:rPr>
            </w:pPr>
            <w:r w:rsidRPr="005F71DC">
              <w:rPr>
                <w:rFonts w:ascii="Arial Narrow" w:hAnsi="Arial Narrow" w:cs="Arial"/>
                <w:sz w:val="16"/>
                <w:szCs w:val="16"/>
              </w:rPr>
              <w:t>DNI N° 47635074</w:t>
            </w:r>
          </w:p>
        </w:tc>
        <w:tc>
          <w:tcPr>
            <w:tcW w:w="545" w:type="pct"/>
            <w:vMerge w:val="restart"/>
          </w:tcPr>
          <w:p w14:paraId="5F6E7F51" w14:textId="77777777" w:rsidR="00D31BF1" w:rsidRPr="005F71DC" w:rsidRDefault="00D31BF1" w:rsidP="005F71DC">
            <w:pPr>
              <w:spacing w:line="0" w:lineRule="atLeast"/>
              <w:jc w:val="center"/>
              <w:rPr>
                <w:rFonts w:ascii="Arial Narrow" w:hAnsi="Arial Narrow" w:cs="Arial"/>
                <w:sz w:val="16"/>
                <w:szCs w:val="16"/>
              </w:rPr>
            </w:pPr>
            <w:r w:rsidRPr="005F71DC">
              <w:rPr>
                <w:rFonts w:ascii="Arial Narrow" w:hAnsi="Arial Narrow" w:cs="Arial"/>
                <w:sz w:val="16"/>
                <w:szCs w:val="16"/>
              </w:rPr>
              <w:t>N° 172-0204-2024-001085 (detallada en el Anexo I de la R.D. Nº 000134-2024-SUNAT/3G0800 y Cuadro N° 02: ANEXO I de la R.D. N° 000141-2024-SUNAT/3G0800).</w:t>
            </w:r>
          </w:p>
        </w:tc>
        <w:tc>
          <w:tcPr>
            <w:tcW w:w="360" w:type="pct"/>
            <w:vMerge w:val="restart"/>
          </w:tcPr>
          <w:p w14:paraId="2D1739F7" w14:textId="77777777" w:rsidR="00D31BF1" w:rsidRPr="005F71DC" w:rsidRDefault="00D31BF1" w:rsidP="005F71DC">
            <w:pPr>
              <w:spacing w:line="0" w:lineRule="atLeast"/>
              <w:jc w:val="center"/>
              <w:rPr>
                <w:rFonts w:ascii="Arial Narrow" w:hAnsi="Arial Narrow" w:cs="Arial"/>
                <w:sz w:val="16"/>
                <w:szCs w:val="16"/>
                <w:lang w:val="en-US"/>
              </w:rPr>
            </w:pPr>
            <w:proofErr w:type="gramStart"/>
            <w:r w:rsidRPr="005F71DC">
              <w:rPr>
                <w:rFonts w:ascii="Arial Narrow" w:hAnsi="Arial Narrow" w:cs="Arial"/>
                <w:sz w:val="16"/>
                <w:szCs w:val="16"/>
                <w:lang w:val="en-US"/>
              </w:rPr>
              <w:t>N.º</w:t>
            </w:r>
            <w:proofErr w:type="gramEnd"/>
            <w:r w:rsidRPr="005F71DC">
              <w:rPr>
                <w:rFonts w:ascii="Arial Narrow" w:hAnsi="Arial Narrow" w:cs="Arial"/>
                <w:sz w:val="16"/>
                <w:szCs w:val="16"/>
                <w:lang w:val="en-US"/>
              </w:rPr>
              <w:t xml:space="preserve"> 000134-2024-SUNAT/3G0800 y N.º 000141-2024-SUNAT/3G0800</w:t>
            </w:r>
          </w:p>
        </w:tc>
        <w:tc>
          <w:tcPr>
            <w:tcW w:w="1435" w:type="pct"/>
            <w:vMerge w:val="restart"/>
          </w:tcPr>
          <w:p w14:paraId="6F179603" w14:textId="6DA3BE70" w:rsidR="00D31BF1" w:rsidRPr="005F71DC" w:rsidRDefault="00D31BF1" w:rsidP="005F71DC">
            <w:pPr>
              <w:autoSpaceDE w:val="0"/>
              <w:autoSpaceDN w:val="0"/>
              <w:adjustRightInd w:val="0"/>
              <w:spacing w:line="0" w:lineRule="atLeast"/>
              <w:jc w:val="both"/>
              <w:rPr>
                <w:rFonts w:ascii="Arial Narrow" w:eastAsia="Times New Roman" w:hAnsi="Arial Narrow" w:cs="Arial"/>
                <w:color w:val="000000"/>
                <w:sz w:val="16"/>
                <w:szCs w:val="16"/>
                <w:lang w:eastAsia="es-PE"/>
              </w:rPr>
            </w:pPr>
            <w:r w:rsidRPr="005F71DC">
              <w:rPr>
                <w:rFonts w:ascii="Arial Narrow" w:eastAsia="Times New Roman" w:hAnsi="Arial Narrow" w:cs="Arial"/>
                <w:color w:val="000000"/>
                <w:sz w:val="16"/>
                <w:szCs w:val="16"/>
                <w:lang w:eastAsia="es-PE"/>
              </w:rPr>
              <w:t>ARTÍCULO ÚNICO : Declarar el COMISO de las mercancía s incautadas descritas en las doce (12) actas de incautación detalladas en el Anexo I - ACTAS DE INCAUTACIÓN DE MERCANCÍAS NO DECLARADAS CON INFRACTOR IDENTIFICADO , elaboradas por personal de la División de Atención Fronteriza de la Intendencia de Aduana de Tacna entre el 24.11.2023 y el 30.12.2023, de conformidad con lo establecido en el inciso j) del artículo 200° de la Ley General de Aduanas y el Código CO10 de la Sección IV de la Tabla de Sanciones</w:t>
            </w:r>
            <w:r w:rsidR="00397CD5">
              <w:rPr>
                <w:rFonts w:ascii="Arial Narrow" w:eastAsia="Times New Roman" w:hAnsi="Arial Narrow" w:cs="Arial"/>
                <w:color w:val="000000"/>
                <w:sz w:val="16"/>
                <w:szCs w:val="16"/>
                <w:lang w:eastAsia="es-PE"/>
              </w:rPr>
              <w:t>.</w:t>
            </w:r>
          </w:p>
        </w:tc>
        <w:tc>
          <w:tcPr>
            <w:tcW w:w="1928" w:type="pct"/>
          </w:tcPr>
          <w:p w14:paraId="7C217279" w14:textId="1E8F3A89" w:rsidR="00D31BF1" w:rsidRPr="005F71DC" w:rsidRDefault="00D31BF1" w:rsidP="005F71DC">
            <w:pPr>
              <w:autoSpaceDE w:val="0"/>
              <w:autoSpaceDN w:val="0"/>
              <w:adjustRightInd w:val="0"/>
              <w:spacing w:line="0" w:lineRule="atLeast"/>
              <w:jc w:val="both"/>
              <w:rPr>
                <w:rFonts w:ascii="Arial Narrow" w:hAnsi="Arial Narrow" w:cs="Arial"/>
                <w:sz w:val="16"/>
                <w:szCs w:val="16"/>
              </w:rPr>
            </w:pPr>
            <w:r w:rsidRPr="005F71DC">
              <w:rPr>
                <w:rFonts w:ascii="Arial Narrow" w:hAnsi="Arial Narrow" w:cs="Arial"/>
                <w:sz w:val="16"/>
                <w:szCs w:val="16"/>
              </w:rPr>
              <w:t>ARTÍCULO PRIMERO: RECTIFICAR el año de las doce (12) actas de incautación consignadas en el Anexo I de la Resolución de División N° 000134 -2024 - SUNAT/3G0800 de fecha 20.08.2024, de la siguiente forma:</w:t>
            </w:r>
          </w:p>
          <w:p w14:paraId="2A3191DB" w14:textId="77777777" w:rsidR="00D31BF1" w:rsidRPr="005F71DC" w:rsidRDefault="00D31BF1" w:rsidP="005F71DC">
            <w:pPr>
              <w:autoSpaceDE w:val="0"/>
              <w:autoSpaceDN w:val="0"/>
              <w:adjustRightInd w:val="0"/>
              <w:spacing w:line="0" w:lineRule="atLeast"/>
              <w:ind w:firstLine="199"/>
              <w:jc w:val="both"/>
              <w:rPr>
                <w:rFonts w:ascii="Arial Narrow" w:hAnsi="Arial Narrow" w:cs="Arial"/>
                <w:sz w:val="16"/>
                <w:szCs w:val="16"/>
              </w:rPr>
            </w:pPr>
            <w:r w:rsidRPr="005F71DC">
              <w:rPr>
                <w:rFonts w:ascii="Arial Narrow" w:hAnsi="Arial Narrow" w:cs="Arial"/>
                <w:sz w:val="16"/>
                <w:szCs w:val="16"/>
              </w:rPr>
              <w:t>DONDE DICE:</w:t>
            </w:r>
          </w:p>
          <w:p w14:paraId="27B72DA1" w14:textId="5DC194C8" w:rsidR="00D31BF1" w:rsidRPr="005F71DC" w:rsidRDefault="00D31BF1" w:rsidP="00473E6F">
            <w:pPr>
              <w:autoSpaceDE w:val="0"/>
              <w:autoSpaceDN w:val="0"/>
              <w:adjustRightInd w:val="0"/>
              <w:spacing w:line="0" w:lineRule="atLeast"/>
              <w:ind w:firstLine="199"/>
              <w:jc w:val="both"/>
              <w:rPr>
                <w:rFonts w:ascii="Arial Narrow" w:hAnsi="Arial Narrow" w:cs="Arial"/>
                <w:sz w:val="16"/>
                <w:szCs w:val="16"/>
              </w:rPr>
            </w:pPr>
            <w:r w:rsidRPr="005F71DC">
              <w:rPr>
                <w:rFonts w:ascii="Arial Narrow" w:hAnsi="Arial Narrow" w:cs="Arial"/>
                <w:sz w:val="16"/>
                <w:szCs w:val="16"/>
              </w:rPr>
              <w:t>Acta de Incautación N° 172-0204-2024-001085</w:t>
            </w:r>
          </w:p>
          <w:p w14:paraId="395E39B4" w14:textId="77777777" w:rsidR="00D31BF1" w:rsidRPr="005F71DC" w:rsidRDefault="00D31BF1" w:rsidP="005F71DC">
            <w:pPr>
              <w:autoSpaceDE w:val="0"/>
              <w:autoSpaceDN w:val="0"/>
              <w:adjustRightInd w:val="0"/>
              <w:spacing w:line="0" w:lineRule="atLeast"/>
              <w:ind w:firstLine="199"/>
              <w:jc w:val="both"/>
              <w:rPr>
                <w:rFonts w:ascii="Arial Narrow" w:hAnsi="Arial Narrow" w:cs="Arial"/>
                <w:sz w:val="16"/>
                <w:szCs w:val="16"/>
              </w:rPr>
            </w:pPr>
            <w:r w:rsidRPr="005F71DC">
              <w:rPr>
                <w:rFonts w:ascii="Arial Narrow" w:hAnsi="Arial Narrow" w:cs="Arial"/>
                <w:sz w:val="16"/>
                <w:szCs w:val="16"/>
              </w:rPr>
              <w:t>DEBE DECIR:</w:t>
            </w:r>
          </w:p>
          <w:p w14:paraId="02038739" w14:textId="5A0C02CA" w:rsidR="00D31BF1" w:rsidRPr="005F71DC" w:rsidRDefault="00D31BF1" w:rsidP="00473E6F">
            <w:pPr>
              <w:autoSpaceDE w:val="0"/>
              <w:autoSpaceDN w:val="0"/>
              <w:adjustRightInd w:val="0"/>
              <w:spacing w:line="0" w:lineRule="atLeast"/>
              <w:ind w:firstLine="199"/>
              <w:jc w:val="both"/>
              <w:rPr>
                <w:rFonts w:ascii="Arial Narrow" w:hAnsi="Arial Narrow" w:cs="Arial"/>
                <w:sz w:val="16"/>
                <w:szCs w:val="16"/>
              </w:rPr>
            </w:pPr>
            <w:r w:rsidRPr="005F71DC">
              <w:rPr>
                <w:rFonts w:ascii="Arial Narrow" w:hAnsi="Arial Narrow" w:cs="Arial"/>
                <w:sz w:val="16"/>
                <w:szCs w:val="16"/>
              </w:rPr>
              <w:t>Acta de Incautación N° 172-0204-2023-001085</w:t>
            </w:r>
          </w:p>
        </w:tc>
      </w:tr>
      <w:tr w:rsidR="00397CD5" w:rsidRPr="005F71DC" w14:paraId="35B185AB" w14:textId="77777777" w:rsidTr="00397CD5">
        <w:trPr>
          <w:trHeight w:val="20"/>
        </w:trPr>
        <w:tc>
          <w:tcPr>
            <w:tcW w:w="341" w:type="pct"/>
            <w:vMerge/>
          </w:tcPr>
          <w:p w14:paraId="038049F5" w14:textId="77777777" w:rsidR="00D31BF1" w:rsidRPr="005F71DC" w:rsidRDefault="00D31BF1" w:rsidP="005F71DC">
            <w:pPr>
              <w:spacing w:line="0" w:lineRule="atLeast"/>
              <w:jc w:val="center"/>
              <w:rPr>
                <w:rFonts w:ascii="Arial Narrow" w:hAnsi="Arial Narrow" w:cs="Arial"/>
                <w:sz w:val="16"/>
                <w:szCs w:val="16"/>
              </w:rPr>
            </w:pPr>
          </w:p>
        </w:tc>
        <w:tc>
          <w:tcPr>
            <w:tcW w:w="391" w:type="pct"/>
            <w:vMerge/>
          </w:tcPr>
          <w:p w14:paraId="6BA1E8A9" w14:textId="77777777" w:rsidR="00D31BF1" w:rsidRPr="005F71DC" w:rsidRDefault="00D31BF1" w:rsidP="005F71DC">
            <w:pPr>
              <w:spacing w:line="0" w:lineRule="atLeast"/>
              <w:jc w:val="center"/>
              <w:rPr>
                <w:rFonts w:ascii="Arial Narrow" w:hAnsi="Arial Narrow" w:cs="Arial"/>
                <w:sz w:val="16"/>
                <w:szCs w:val="16"/>
              </w:rPr>
            </w:pPr>
          </w:p>
        </w:tc>
        <w:tc>
          <w:tcPr>
            <w:tcW w:w="545" w:type="pct"/>
            <w:vMerge/>
          </w:tcPr>
          <w:p w14:paraId="3D677F20" w14:textId="77777777" w:rsidR="00D31BF1" w:rsidRPr="005F71DC" w:rsidRDefault="00D31BF1" w:rsidP="005F71DC">
            <w:pPr>
              <w:spacing w:line="0" w:lineRule="atLeast"/>
              <w:jc w:val="center"/>
              <w:rPr>
                <w:rFonts w:ascii="Arial Narrow" w:hAnsi="Arial Narrow" w:cs="Arial"/>
                <w:sz w:val="16"/>
                <w:szCs w:val="16"/>
              </w:rPr>
            </w:pPr>
          </w:p>
        </w:tc>
        <w:tc>
          <w:tcPr>
            <w:tcW w:w="360" w:type="pct"/>
            <w:vMerge/>
          </w:tcPr>
          <w:p w14:paraId="4684BF79" w14:textId="77777777" w:rsidR="00D31BF1" w:rsidRPr="005F71DC" w:rsidRDefault="00D31BF1" w:rsidP="005F71DC">
            <w:pPr>
              <w:spacing w:line="0" w:lineRule="atLeast"/>
              <w:jc w:val="center"/>
              <w:rPr>
                <w:rFonts w:ascii="Arial Narrow" w:hAnsi="Arial Narrow" w:cs="Arial"/>
                <w:sz w:val="16"/>
                <w:szCs w:val="16"/>
              </w:rPr>
            </w:pPr>
          </w:p>
        </w:tc>
        <w:tc>
          <w:tcPr>
            <w:tcW w:w="1435" w:type="pct"/>
            <w:vMerge/>
          </w:tcPr>
          <w:p w14:paraId="6DB25E6B" w14:textId="77777777" w:rsidR="00D31BF1" w:rsidRPr="005F71DC" w:rsidRDefault="00D31BF1" w:rsidP="005F71DC">
            <w:pPr>
              <w:autoSpaceDE w:val="0"/>
              <w:autoSpaceDN w:val="0"/>
              <w:adjustRightInd w:val="0"/>
              <w:spacing w:line="0" w:lineRule="atLeast"/>
              <w:jc w:val="both"/>
              <w:rPr>
                <w:rFonts w:ascii="Arial Narrow" w:hAnsi="Arial Narrow" w:cs="Arial"/>
                <w:sz w:val="16"/>
                <w:szCs w:val="16"/>
              </w:rPr>
            </w:pPr>
          </w:p>
        </w:tc>
        <w:tc>
          <w:tcPr>
            <w:tcW w:w="1928" w:type="pct"/>
          </w:tcPr>
          <w:p w14:paraId="6EDD2A6D" w14:textId="44F66B9D" w:rsidR="00D31BF1" w:rsidRPr="005F71DC" w:rsidRDefault="00D31BF1" w:rsidP="005F71DC">
            <w:pPr>
              <w:autoSpaceDE w:val="0"/>
              <w:autoSpaceDN w:val="0"/>
              <w:adjustRightInd w:val="0"/>
              <w:spacing w:line="0" w:lineRule="atLeast"/>
              <w:jc w:val="both"/>
              <w:rPr>
                <w:rFonts w:ascii="Arial Narrow" w:hAnsi="Arial Narrow" w:cs="Arial"/>
                <w:sz w:val="16"/>
                <w:szCs w:val="16"/>
              </w:rPr>
            </w:pPr>
            <w:r w:rsidRPr="005F71DC">
              <w:rPr>
                <w:rFonts w:ascii="Arial Narrow" w:hAnsi="Arial Narrow" w:cs="Arial"/>
                <w:sz w:val="16"/>
                <w:szCs w:val="16"/>
              </w:rPr>
              <w:t>ARTÍCULO SEGUNDO: Se notifique la presente resolución a los interesados, señalados en el Cuadro N° 02: ANEXO I - Actas de incautación de mercancías con infractor identificado, que forma parte de la presente resolución, en la forma de notificación establecida en el mismo.</w:t>
            </w:r>
          </w:p>
        </w:tc>
      </w:tr>
    </w:tbl>
    <w:p w14:paraId="7661C483" w14:textId="77777777" w:rsidR="00D31BF1" w:rsidRPr="005F71DC" w:rsidRDefault="00D31BF1" w:rsidP="002750D0">
      <w:pPr>
        <w:spacing w:after="0" w:line="0" w:lineRule="atLeast"/>
        <w:ind w:left="-284" w:right="-215"/>
        <w:jc w:val="center"/>
        <w:rPr>
          <w:rFonts w:ascii="Arial Narrow" w:hAnsi="Arial Narrow"/>
          <w:sz w:val="16"/>
          <w:szCs w:val="16"/>
        </w:rPr>
      </w:pPr>
    </w:p>
    <w:p w14:paraId="470AB16C" w14:textId="4D57B3BF" w:rsidR="0096412D" w:rsidRPr="0067401E" w:rsidRDefault="0096412D" w:rsidP="002750D0">
      <w:pPr>
        <w:spacing w:after="0" w:line="0" w:lineRule="atLeast"/>
        <w:ind w:left="-284" w:right="-215"/>
        <w:jc w:val="center"/>
        <w:rPr>
          <w:rFonts w:ascii="Arial Narrow" w:hAnsi="Arial Narrow" w:cs="Arial"/>
          <w:b/>
          <w:bCs/>
          <w:color w:val="000000" w:themeColor="text1"/>
          <w:sz w:val="16"/>
          <w:szCs w:val="16"/>
          <w:lang w:eastAsia="es-PE"/>
        </w:rPr>
      </w:pPr>
      <w:r w:rsidRPr="0067401E">
        <w:rPr>
          <w:rFonts w:ascii="Arial Narrow" w:hAnsi="Arial Narrow" w:cs="Arial"/>
          <w:b/>
          <w:bCs/>
          <w:color w:val="000000" w:themeColor="text1"/>
          <w:sz w:val="16"/>
          <w:szCs w:val="16"/>
          <w:lang w:eastAsia="es-PE"/>
        </w:rPr>
        <w:t>NOTIFICACIÓN DE ACTOS ADMINISTRATIVOS</w:t>
      </w:r>
    </w:p>
    <w:p w14:paraId="00456583" w14:textId="77777777" w:rsidR="0096412D" w:rsidRPr="005F71DC" w:rsidRDefault="0096412D" w:rsidP="002750D0">
      <w:pPr>
        <w:spacing w:after="0" w:line="0" w:lineRule="atLeast"/>
        <w:ind w:left="-284" w:right="-215"/>
        <w:jc w:val="both"/>
        <w:rPr>
          <w:rFonts w:ascii="Arial Narrow" w:hAnsi="Arial Narrow" w:cs="Arial"/>
          <w:sz w:val="16"/>
          <w:szCs w:val="16"/>
        </w:rPr>
      </w:pPr>
    </w:p>
    <w:p w14:paraId="10A75E46" w14:textId="1C1314DC" w:rsidR="0096412D" w:rsidRPr="005F71DC" w:rsidRDefault="0096412D" w:rsidP="002750D0">
      <w:pPr>
        <w:spacing w:after="0" w:line="0" w:lineRule="atLeast"/>
        <w:ind w:left="-284" w:right="-215"/>
        <w:jc w:val="both"/>
        <w:rPr>
          <w:rFonts w:ascii="Arial Narrow" w:hAnsi="Arial Narrow" w:cs="Arial"/>
          <w:sz w:val="16"/>
          <w:szCs w:val="16"/>
          <w:lang w:eastAsia="es-PE"/>
        </w:rPr>
      </w:pPr>
      <w:r w:rsidRPr="005F71DC">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5F71DC">
        <w:rPr>
          <w:rFonts w:ascii="Arial Narrow" w:hAnsi="Arial Narrow" w:cs="Arial"/>
          <w:sz w:val="16"/>
          <w:szCs w:val="16"/>
          <w:lang w:eastAsia="es-PE"/>
        </w:rPr>
        <w:t>a la persona incluida en el presente cuadro,</w:t>
      </w:r>
      <w:r w:rsidRPr="005F71DC">
        <w:rPr>
          <w:rFonts w:ascii="Arial Narrow" w:hAnsi="Arial Narrow" w:cs="Arial"/>
          <w:sz w:val="16"/>
          <w:szCs w:val="16"/>
        </w:rPr>
        <w:t xml:space="preserve"> que la Intendencia de Aduana de Tacna, ha decretado el siguiente acto administrativo mediante Resolución de División abajo indicada.</w:t>
      </w:r>
    </w:p>
    <w:p w14:paraId="2A05EFEA" w14:textId="5C826281" w:rsidR="0096412D" w:rsidRPr="005F71DC" w:rsidRDefault="0096412D" w:rsidP="002750D0">
      <w:pPr>
        <w:pStyle w:val="Default"/>
        <w:spacing w:line="0" w:lineRule="atLeast"/>
        <w:ind w:left="-284" w:right="-215"/>
        <w:jc w:val="both"/>
        <w:rPr>
          <w:rFonts w:ascii="Arial Narrow" w:hAnsi="Arial Narrow"/>
          <w:sz w:val="16"/>
          <w:szCs w:val="16"/>
        </w:rPr>
      </w:pPr>
      <w:r w:rsidRPr="005F71DC">
        <w:rPr>
          <w:rFonts w:ascii="Arial Narrow" w:hAnsi="Arial Narrow"/>
          <w:sz w:val="16"/>
          <w:szCs w:val="16"/>
        </w:rPr>
        <w:t xml:space="preserve">El interesado puede solicitar copia del documento notificado a través de la Mesa de Partes Virtual en </w:t>
      </w:r>
      <w:hyperlink r:id="rId6" w:history="1">
        <w:r w:rsidRPr="005F71DC">
          <w:rPr>
            <w:rStyle w:val="Hipervnculo"/>
            <w:rFonts w:ascii="Arial Narrow" w:hAnsi="Arial Narrow"/>
            <w:sz w:val="16"/>
            <w:szCs w:val="16"/>
          </w:rPr>
          <w:t>www.sunat.gob.pe</w:t>
        </w:r>
      </w:hyperlink>
      <w:r w:rsidRPr="005F71DC">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4443" w:type="dxa"/>
        <w:tblInd w:w="-289" w:type="dxa"/>
        <w:tblLook w:val="04A0" w:firstRow="1" w:lastRow="0" w:firstColumn="1" w:lastColumn="0" w:noHBand="0" w:noVBand="1"/>
      </w:tblPr>
      <w:tblGrid>
        <w:gridCol w:w="1702"/>
        <w:gridCol w:w="1229"/>
        <w:gridCol w:w="1695"/>
        <w:gridCol w:w="7277"/>
        <w:gridCol w:w="1706"/>
        <w:gridCol w:w="834"/>
      </w:tblGrid>
      <w:tr w:rsidR="00397CD5" w:rsidRPr="00BC7424" w14:paraId="50684F98" w14:textId="77777777" w:rsidTr="00397CD5">
        <w:trPr>
          <w:trHeight w:val="20"/>
        </w:trPr>
        <w:tc>
          <w:tcPr>
            <w:tcW w:w="1702" w:type="dxa"/>
            <w:hideMark/>
          </w:tcPr>
          <w:p w14:paraId="40D1B4B5"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Documento de Identidad</w:t>
            </w:r>
          </w:p>
        </w:tc>
        <w:tc>
          <w:tcPr>
            <w:tcW w:w="1229" w:type="dxa"/>
            <w:hideMark/>
          </w:tcPr>
          <w:p w14:paraId="480E4F48"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Infractor</w:t>
            </w:r>
          </w:p>
        </w:tc>
        <w:tc>
          <w:tcPr>
            <w:tcW w:w="1695" w:type="dxa"/>
          </w:tcPr>
          <w:p w14:paraId="68045A97"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rPr>
              <w:t>Tipo de Documento</w:t>
            </w:r>
          </w:p>
        </w:tc>
        <w:tc>
          <w:tcPr>
            <w:tcW w:w="7277" w:type="dxa"/>
            <w:hideMark/>
          </w:tcPr>
          <w:p w14:paraId="0A14401B"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Determinación</w:t>
            </w:r>
          </w:p>
        </w:tc>
        <w:tc>
          <w:tcPr>
            <w:tcW w:w="1706" w:type="dxa"/>
            <w:hideMark/>
          </w:tcPr>
          <w:p w14:paraId="45EBF8D7"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Liquidación de Cobranza</w:t>
            </w:r>
          </w:p>
        </w:tc>
        <w:tc>
          <w:tcPr>
            <w:tcW w:w="834" w:type="dxa"/>
            <w:hideMark/>
          </w:tcPr>
          <w:p w14:paraId="08B63051"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Monto S/.</w:t>
            </w:r>
          </w:p>
        </w:tc>
      </w:tr>
      <w:tr w:rsidR="00397CD5" w:rsidRPr="00BC7424" w14:paraId="5FDE3278" w14:textId="77777777" w:rsidTr="00397CD5">
        <w:trPr>
          <w:trHeight w:val="20"/>
        </w:trPr>
        <w:tc>
          <w:tcPr>
            <w:tcW w:w="1702" w:type="dxa"/>
            <w:hideMark/>
          </w:tcPr>
          <w:p w14:paraId="4CC24E96" w14:textId="77777777" w:rsidR="0096412D" w:rsidRPr="00BC7424" w:rsidRDefault="0096412D" w:rsidP="005F71DC">
            <w:pPr>
              <w:spacing w:line="0" w:lineRule="atLeast"/>
              <w:jc w:val="center"/>
              <w:rPr>
                <w:rFonts w:ascii="Arial Narrow" w:eastAsia="Calibri" w:hAnsi="Arial Narrow" w:cs="Arial"/>
                <w:color w:val="000000" w:themeColor="text1"/>
                <w:sz w:val="16"/>
                <w:szCs w:val="16"/>
                <w:lang w:eastAsia="es-PE"/>
              </w:rPr>
            </w:pPr>
            <w:r w:rsidRPr="00BC7424">
              <w:rPr>
                <w:rFonts w:ascii="Arial Narrow" w:eastAsia="Calibri" w:hAnsi="Arial Narrow" w:cs="Arial"/>
                <w:color w:val="000000" w:themeColor="text1"/>
                <w:sz w:val="16"/>
                <w:szCs w:val="16"/>
                <w:lang w:eastAsia="es-PE"/>
              </w:rPr>
              <w:t xml:space="preserve">Cédula de Identidad </w:t>
            </w:r>
          </w:p>
          <w:p w14:paraId="554DBE90"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eastAsia="Calibri" w:hAnsi="Arial Narrow" w:cs="Arial"/>
                <w:color w:val="000000" w:themeColor="text1"/>
                <w:sz w:val="16"/>
                <w:szCs w:val="16"/>
                <w:lang w:eastAsia="es-PE"/>
              </w:rPr>
              <w:t xml:space="preserve">N° </w:t>
            </w:r>
            <w:r w:rsidRPr="00BC7424">
              <w:rPr>
                <w:rFonts w:ascii="Arial Narrow" w:eastAsia="Calibri" w:hAnsi="Arial Narrow" w:cs="ArialMT"/>
                <w:color w:val="000000" w:themeColor="text1"/>
                <w:sz w:val="16"/>
                <w:szCs w:val="16"/>
                <w:lang w:eastAsia="es-PE"/>
              </w:rPr>
              <w:t>188990746</w:t>
            </w:r>
          </w:p>
        </w:tc>
        <w:tc>
          <w:tcPr>
            <w:tcW w:w="1229" w:type="dxa"/>
            <w:hideMark/>
          </w:tcPr>
          <w:p w14:paraId="22946DA3"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eastAsia="Calibri" w:hAnsi="Arial Narrow" w:cs="ArialMT"/>
                <w:color w:val="000000" w:themeColor="text1"/>
                <w:sz w:val="16"/>
                <w:szCs w:val="16"/>
                <w:lang w:eastAsia="es-PE"/>
              </w:rPr>
              <w:t>YERKO BRAYAN MAMANI VELIZ</w:t>
            </w:r>
          </w:p>
        </w:tc>
        <w:tc>
          <w:tcPr>
            <w:tcW w:w="1695" w:type="dxa"/>
          </w:tcPr>
          <w:p w14:paraId="6F07B6B8" w14:textId="1B97A983" w:rsidR="0096412D" w:rsidRPr="00BC7424" w:rsidRDefault="0096412D" w:rsidP="00645D21">
            <w:pPr>
              <w:spacing w:line="0" w:lineRule="atLeast"/>
              <w:jc w:val="center"/>
              <w:rPr>
                <w:rFonts w:ascii="Arial Narrow" w:hAnsi="Arial Narrow" w:cs="Arial"/>
                <w:color w:val="000000" w:themeColor="text1"/>
                <w:sz w:val="16"/>
                <w:szCs w:val="16"/>
              </w:rPr>
            </w:pPr>
            <w:r w:rsidRPr="00BC7424">
              <w:rPr>
                <w:rFonts w:ascii="Arial Narrow" w:hAnsi="Arial Narrow" w:cs="Arial"/>
                <w:color w:val="000000" w:themeColor="text1"/>
                <w:sz w:val="16"/>
                <w:szCs w:val="16"/>
              </w:rPr>
              <w:t>Resolución de División</w:t>
            </w:r>
            <w:r w:rsidR="00645D21">
              <w:rPr>
                <w:rFonts w:ascii="Arial Narrow" w:hAnsi="Arial Narrow" w:cs="Arial"/>
                <w:color w:val="000000" w:themeColor="text1"/>
                <w:sz w:val="16"/>
                <w:szCs w:val="16"/>
              </w:rPr>
              <w:t xml:space="preserve"> </w:t>
            </w:r>
            <w:r w:rsidRPr="00BC7424">
              <w:rPr>
                <w:rFonts w:ascii="Arial Narrow" w:hAnsi="Arial Narrow" w:cs="Arial"/>
                <w:color w:val="000000" w:themeColor="text1"/>
                <w:sz w:val="16"/>
                <w:szCs w:val="16"/>
              </w:rPr>
              <w:t>N° 172-3G0100/2024-000254 del 30.09.2024</w:t>
            </w:r>
          </w:p>
        </w:tc>
        <w:tc>
          <w:tcPr>
            <w:tcW w:w="7277" w:type="dxa"/>
            <w:hideMark/>
          </w:tcPr>
          <w:p w14:paraId="4FCCB65C" w14:textId="153FE642" w:rsidR="0096412D" w:rsidRPr="00BC7424" w:rsidRDefault="0096412D" w:rsidP="005F71DC">
            <w:pPr>
              <w:autoSpaceDE w:val="0"/>
              <w:autoSpaceDN w:val="0"/>
              <w:adjustRightInd w:val="0"/>
              <w:spacing w:line="0" w:lineRule="atLeast"/>
              <w:jc w:val="both"/>
              <w:rPr>
                <w:rFonts w:ascii="Arial Narrow" w:eastAsia="Calibri" w:hAnsi="Arial Narrow" w:cs="ArialMT"/>
                <w:color w:val="000000" w:themeColor="text1"/>
                <w:sz w:val="16"/>
                <w:szCs w:val="16"/>
                <w:lang w:eastAsia="es-PE"/>
              </w:rPr>
            </w:pPr>
            <w:r w:rsidRPr="00BC7424">
              <w:rPr>
                <w:rFonts w:ascii="Arial Narrow" w:eastAsia="Calibri" w:hAnsi="Arial Narrow" w:cs="Arial"/>
                <w:color w:val="000000" w:themeColor="text1"/>
                <w:sz w:val="16"/>
                <w:szCs w:val="16"/>
                <w:lang w:eastAsia="es-PE"/>
              </w:rPr>
              <w:t xml:space="preserve">ARTÍCULO ÚNICO: </w:t>
            </w:r>
            <w:r w:rsidRPr="00BC7424">
              <w:rPr>
                <w:rFonts w:ascii="Arial Narrow" w:eastAsia="Calibri" w:hAnsi="Arial Narrow" w:cs="ArialMT"/>
                <w:color w:val="000000" w:themeColor="text1"/>
                <w:sz w:val="16"/>
                <w:szCs w:val="16"/>
                <w:lang w:eastAsia="es-PE"/>
              </w:rPr>
              <w:t>SANCIONAR a YERKO BRAYAN MAMANI VELIZ identificado con cédula de identidad N° 188990746, con una multa ascendente a S/. 26,429.00.- (VEINTISÉIS MIL CUATROCIENTOS VEINTINUEVE CON 00/100 Soles); debiendo la Sección de Regímenes No Definitivos y Especiales emitir la Liquidación de Cobranza correspondiente.</w:t>
            </w:r>
          </w:p>
        </w:tc>
        <w:tc>
          <w:tcPr>
            <w:tcW w:w="1706" w:type="dxa"/>
            <w:hideMark/>
          </w:tcPr>
          <w:p w14:paraId="7B7CB44C"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 xml:space="preserve">172-2024-018251 </w:t>
            </w:r>
          </w:p>
        </w:tc>
        <w:tc>
          <w:tcPr>
            <w:tcW w:w="834" w:type="dxa"/>
            <w:noWrap/>
            <w:hideMark/>
          </w:tcPr>
          <w:p w14:paraId="7A1DAF62" w14:textId="77777777" w:rsidR="0096412D" w:rsidRPr="00BC7424" w:rsidRDefault="0096412D"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 xml:space="preserve">26,429.00 </w:t>
            </w:r>
          </w:p>
        </w:tc>
      </w:tr>
      <w:tr w:rsidR="00397CD5" w:rsidRPr="00BC7424" w14:paraId="19E8248D" w14:textId="77777777" w:rsidTr="00397CD5">
        <w:trPr>
          <w:trHeight w:val="20"/>
        </w:trPr>
        <w:tc>
          <w:tcPr>
            <w:tcW w:w="1702" w:type="dxa"/>
          </w:tcPr>
          <w:p w14:paraId="4FA7F15F" w14:textId="77777777" w:rsidR="005F71DC" w:rsidRPr="00BC7424" w:rsidRDefault="005F71DC" w:rsidP="005F71DC">
            <w:pPr>
              <w:spacing w:line="0" w:lineRule="atLeast"/>
              <w:jc w:val="center"/>
              <w:rPr>
                <w:rFonts w:ascii="Arial Narrow" w:eastAsia="Calibri" w:hAnsi="Arial Narrow" w:cs="Arial"/>
                <w:color w:val="000000" w:themeColor="text1"/>
                <w:sz w:val="16"/>
                <w:szCs w:val="16"/>
                <w:lang w:eastAsia="es-PE"/>
              </w:rPr>
            </w:pPr>
            <w:r w:rsidRPr="00BC7424">
              <w:rPr>
                <w:rFonts w:ascii="Arial Narrow" w:eastAsia="Calibri" w:hAnsi="Arial Narrow" w:cs="Arial"/>
                <w:color w:val="000000" w:themeColor="text1"/>
                <w:sz w:val="16"/>
                <w:szCs w:val="16"/>
                <w:lang w:eastAsia="es-PE"/>
              </w:rPr>
              <w:t xml:space="preserve">Cédula de Identidad </w:t>
            </w:r>
          </w:p>
          <w:p w14:paraId="33D96A14" w14:textId="78E3AC1D" w:rsidR="005F71DC" w:rsidRPr="00BC7424" w:rsidRDefault="005F71DC" w:rsidP="005F71DC">
            <w:pPr>
              <w:spacing w:line="0" w:lineRule="atLeast"/>
              <w:jc w:val="center"/>
              <w:rPr>
                <w:rFonts w:ascii="Arial Narrow" w:eastAsia="Calibri" w:hAnsi="Arial Narrow" w:cs="Arial"/>
                <w:color w:val="000000" w:themeColor="text1"/>
                <w:sz w:val="16"/>
                <w:szCs w:val="16"/>
                <w:lang w:eastAsia="es-PE"/>
              </w:rPr>
            </w:pPr>
            <w:r w:rsidRPr="00BC7424">
              <w:rPr>
                <w:rFonts w:ascii="Arial Narrow" w:eastAsia="Calibri" w:hAnsi="Arial Narrow" w:cs="Arial"/>
                <w:color w:val="000000" w:themeColor="text1"/>
                <w:sz w:val="16"/>
                <w:szCs w:val="16"/>
                <w:lang w:eastAsia="es-PE"/>
              </w:rPr>
              <w:t>N° 17369514-4</w:t>
            </w:r>
          </w:p>
        </w:tc>
        <w:tc>
          <w:tcPr>
            <w:tcW w:w="1229" w:type="dxa"/>
          </w:tcPr>
          <w:p w14:paraId="36C7490C" w14:textId="514ED63C" w:rsidR="005F71DC" w:rsidRPr="00BC7424" w:rsidRDefault="005F71DC" w:rsidP="005F71DC">
            <w:pPr>
              <w:spacing w:line="0" w:lineRule="atLeast"/>
              <w:jc w:val="center"/>
              <w:rPr>
                <w:rFonts w:ascii="Arial Narrow" w:eastAsia="Calibri" w:hAnsi="Arial Narrow" w:cs="ArialMT"/>
                <w:color w:val="000000" w:themeColor="text1"/>
                <w:sz w:val="16"/>
                <w:szCs w:val="16"/>
                <w:lang w:eastAsia="es-PE"/>
              </w:rPr>
            </w:pPr>
            <w:r w:rsidRPr="00BC7424">
              <w:rPr>
                <w:rFonts w:ascii="Arial Narrow" w:eastAsia="Calibri" w:hAnsi="Arial Narrow" w:cs="Arial"/>
                <w:color w:val="000000" w:themeColor="text1"/>
                <w:sz w:val="16"/>
                <w:szCs w:val="16"/>
                <w:lang w:eastAsia="es-PE"/>
              </w:rPr>
              <w:t>DIEGO ANDRES BARRIOS LIZANA</w:t>
            </w:r>
          </w:p>
        </w:tc>
        <w:tc>
          <w:tcPr>
            <w:tcW w:w="1695" w:type="dxa"/>
          </w:tcPr>
          <w:p w14:paraId="164A2BA7" w14:textId="4D5857A6" w:rsidR="005F71DC" w:rsidRPr="00BC7424" w:rsidRDefault="005F71DC" w:rsidP="00645D21">
            <w:pPr>
              <w:spacing w:line="0" w:lineRule="atLeast"/>
              <w:jc w:val="center"/>
              <w:rPr>
                <w:rFonts w:ascii="Arial Narrow" w:hAnsi="Arial Narrow" w:cs="Arial"/>
                <w:color w:val="000000" w:themeColor="text1"/>
                <w:sz w:val="16"/>
                <w:szCs w:val="16"/>
              </w:rPr>
            </w:pPr>
            <w:r w:rsidRPr="00BC7424">
              <w:rPr>
                <w:rFonts w:ascii="Arial Narrow" w:hAnsi="Arial Narrow" w:cs="Arial"/>
                <w:color w:val="000000" w:themeColor="text1"/>
                <w:sz w:val="16"/>
                <w:szCs w:val="16"/>
              </w:rPr>
              <w:t>Resolución de División</w:t>
            </w:r>
            <w:r w:rsidR="00645D21">
              <w:rPr>
                <w:rFonts w:ascii="Arial Narrow" w:hAnsi="Arial Narrow" w:cs="Arial"/>
                <w:color w:val="000000" w:themeColor="text1"/>
                <w:sz w:val="16"/>
                <w:szCs w:val="16"/>
              </w:rPr>
              <w:t xml:space="preserve"> </w:t>
            </w:r>
            <w:r w:rsidRPr="00BC7424">
              <w:rPr>
                <w:rFonts w:ascii="Arial Narrow" w:hAnsi="Arial Narrow" w:cs="Arial"/>
                <w:color w:val="000000" w:themeColor="text1"/>
                <w:sz w:val="16"/>
                <w:szCs w:val="16"/>
              </w:rPr>
              <w:t>N° 172-3G0100/2024-000261 del 04.10.2024</w:t>
            </w:r>
          </w:p>
        </w:tc>
        <w:tc>
          <w:tcPr>
            <w:tcW w:w="7277" w:type="dxa"/>
          </w:tcPr>
          <w:p w14:paraId="3679546D" w14:textId="12BB553F" w:rsidR="005F71DC" w:rsidRPr="00BC7424" w:rsidRDefault="005F71DC" w:rsidP="00BC7424">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BC7424">
              <w:rPr>
                <w:rFonts w:ascii="Arial Narrow" w:eastAsia="Calibri" w:hAnsi="Arial Narrow" w:cs="Arial"/>
                <w:color w:val="000000" w:themeColor="text1"/>
                <w:sz w:val="16"/>
                <w:szCs w:val="16"/>
                <w:lang w:eastAsia="es-PE"/>
              </w:rPr>
              <w:t>ARTÍCULO ÚNICO: SANCIONAR a DIEGO ANDRES BARRIOS LIZANA, identificado(a) con cédula de identidad chilena N° 17369514-4, con una multa ascendente a S/. 15,820.00 (Quince mil ochocientos veinte con 00/100 soles); debiendo la Sección de Regímenes No Definitivos y Especiales emitir la Liquidación de Cobranza correspondiente.</w:t>
            </w:r>
          </w:p>
        </w:tc>
        <w:tc>
          <w:tcPr>
            <w:tcW w:w="1706" w:type="dxa"/>
          </w:tcPr>
          <w:p w14:paraId="67A89A42" w14:textId="5FA09C78" w:rsidR="005F71DC" w:rsidRPr="00BC7424" w:rsidRDefault="005F71DC"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 xml:space="preserve">172-2024-018607 </w:t>
            </w:r>
          </w:p>
        </w:tc>
        <w:tc>
          <w:tcPr>
            <w:tcW w:w="834" w:type="dxa"/>
            <w:noWrap/>
          </w:tcPr>
          <w:p w14:paraId="4A32CCD0" w14:textId="2F9F8B53" w:rsidR="005F71DC" w:rsidRPr="00BC7424" w:rsidRDefault="005F71DC" w:rsidP="005F71DC">
            <w:pPr>
              <w:spacing w:line="0" w:lineRule="atLeast"/>
              <w:jc w:val="center"/>
              <w:rPr>
                <w:rFonts w:ascii="Arial Narrow" w:hAnsi="Arial Narrow" w:cs="Arial"/>
                <w:color w:val="000000" w:themeColor="text1"/>
                <w:sz w:val="16"/>
                <w:szCs w:val="16"/>
                <w:lang w:eastAsia="es-PE"/>
              </w:rPr>
            </w:pPr>
            <w:r w:rsidRPr="00BC7424">
              <w:rPr>
                <w:rFonts w:ascii="Arial Narrow" w:hAnsi="Arial Narrow" w:cs="Arial"/>
                <w:color w:val="000000" w:themeColor="text1"/>
                <w:sz w:val="16"/>
                <w:szCs w:val="16"/>
                <w:lang w:eastAsia="es-PE"/>
              </w:rPr>
              <w:t xml:space="preserve">15,820.00 </w:t>
            </w:r>
          </w:p>
        </w:tc>
      </w:tr>
    </w:tbl>
    <w:p w14:paraId="6A4306C6" w14:textId="0B095911" w:rsidR="0096412D" w:rsidRPr="005F71DC" w:rsidRDefault="0096412D" w:rsidP="002750D0">
      <w:pPr>
        <w:spacing w:after="0" w:line="0" w:lineRule="atLeast"/>
        <w:ind w:left="-284" w:right="-215"/>
        <w:jc w:val="both"/>
        <w:rPr>
          <w:rFonts w:ascii="Arial Narrow" w:hAnsi="Arial Narrow" w:cs="Arial"/>
          <w:sz w:val="16"/>
          <w:szCs w:val="16"/>
          <w:lang w:eastAsia="es-PE"/>
        </w:rPr>
      </w:pPr>
    </w:p>
    <w:p w14:paraId="569E6A4E" w14:textId="77777777" w:rsidR="00651F4A" w:rsidRPr="0067401E" w:rsidRDefault="00651F4A" w:rsidP="002750D0">
      <w:pPr>
        <w:spacing w:after="0" w:line="0" w:lineRule="atLeast"/>
        <w:ind w:left="-284" w:right="-215"/>
        <w:jc w:val="center"/>
        <w:rPr>
          <w:rFonts w:ascii="Arial Narrow" w:hAnsi="Arial Narrow"/>
          <w:b/>
          <w:bCs/>
          <w:color w:val="000000" w:themeColor="text1"/>
          <w:sz w:val="16"/>
          <w:szCs w:val="16"/>
        </w:rPr>
      </w:pPr>
      <w:r w:rsidRPr="0067401E">
        <w:rPr>
          <w:rFonts w:ascii="Arial Narrow" w:hAnsi="Arial Narrow"/>
          <w:b/>
          <w:bCs/>
          <w:color w:val="000000" w:themeColor="text1"/>
          <w:sz w:val="16"/>
          <w:szCs w:val="16"/>
        </w:rPr>
        <w:t xml:space="preserve">NOTIFICACIÓN ADMINISTRATIVA </w:t>
      </w:r>
    </w:p>
    <w:p w14:paraId="16610D74" w14:textId="77777777" w:rsidR="00651F4A" w:rsidRPr="005F71DC" w:rsidRDefault="00651F4A" w:rsidP="002750D0">
      <w:pPr>
        <w:spacing w:after="0" w:line="0" w:lineRule="atLeast"/>
        <w:ind w:left="-284" w:right="-215"/>
        <w:jc w:val="center"/>
        <w:rPr>
          <w:rFonts w:ascii="Arial Narrow" w:hAnsi="Arial Narrow"/>
          <w:sz w:val="16"/>
          <w:szCs w:val="16"/>
        </w:rPr>
      </w:pPr>
    </w:p>
    <w:p w14:paraId="244DC9D3" w14:textId="2321BE45" w:rsidR="00651F4A" w:rsidRPr="005F71DC" w:rsidRDefault="00651F4A" w:rsidP="002750D0">
      <w:pPr>
        <w:spacing w:after="0" w:line="0" w:lineRule="atLeast"/>
        <w:ind w:left="-284" w:right="-215"/>
        <w:jc w:val="both"/>
        <w:rPr>
          <w:rFonts w:ascii="Arial Narrow" w:hAnsi="Arial Narrow"/>
          <w:sz w:val="16"/>
          <w:szCs w:val="16"/>
        </w:rPr>
      </w:pPr>
      <w:r w:rsidRPr="005F71DC">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36° de la Ley N° 28008 Ley de los Delitos Aduaneros y Decreto Legislativo N° 1053 – Ley General de Aduanas, ha decretado los siguientes actos administrativos mediante RESOLUCIÓN DE MULTA, en relación a las</w:t>
      </w:r>
      <w:r w:rsidR="005C723F">
        <w:rPr>
          <w:rFonts w:ascii="Arial Narrow" w:hAnsi="Arial Narrow"/>
          <w:sz w:val="16"/>
          <w:szCs w:val="16"/>
        </w:rPr>
        <w:t xml:space="preserve"> </w:t>
      </w:r>
      <w:r w:rsidRPr="005F71DC">
        <w:rPr>
          <w:rFonts w:ascii="Arial Narrow" w:hAnsi="Arial Narrow"/>
          <w:sz w:val="16"/>
          <w:szCs w:val="16"/>
        </w:rPr>
        <w:t>mercancías descritas en el acta de incautación indicada en la presente notificación.</w:t>
      </w:r>
    </w:p>
    <w:p w14:paraId="5C85B813" w14:textId="4E3DFEAD" w:rsidR="00651F4A" w:rsidRPr="005F71DC" w:rsidRDefault="00651F4A" w:rsidP="002750D0">
      <w:pPr>
        <w:spacing w:after="0" w:line="0" w:lineRule="atLeast"/>
        <w:ind w:left="-284" w:right="-215"/>
        <w:jc w:val="both"/>
        <w:rPr>
          <w:rFonts w:ascii="Arial Narrow" w:hAnsi="Arial Narrow"/>
          <w:sz w:val="16"/>
          <w:szCs w:val="16"/>
        </w:rPr>
      </w:pPr>
      <w:r w:rsidRPr="005F71DC">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w:t>
      </w:r>
      <w:r w:rsidR="005C723F">
        <w:rPr>
          <w:rFonts w:ascii="Arial Narrow" w:hAnsi="Arial Narrow"/>
          <w:sz w:val="16"/>
          <w:szCs w:val="16"/>
        </w:rPr>
        <w:t xml:space="preserve"> </w:t>
      </w:r>
      <w:r w:rsidRPr="005F71DC">
        <w:rPr>
          <w:rFonts w:ascii="Arial Narrow" w:hAnsi="Arial Narrow"/>
          <w:sz w:val="16"/>
          <w:szCs w:val="16"/>
        </w:rPr>
        <w:t>presente publicación, caso contrario, la mercancía consignada podrá ser objeto de disposición por la Administración aduanera en conformidad con lo indicado</w:t>
      </w:r>
      <w:r w:rsidR="005C723F">
        <w:rPr>
          <w:rFonts w:ascii="Arial Narrow" w:hAnsi="Arial Narrow"/>
          <w:sz w:val="16"/>
          <w:szCs w:val="16"/>
        </w:rPr>
        <w:t xml:space="preserve"> </w:t>
      </w:r>
      <w:r w:rsidRPr="005F71DC">
        <w:rPr>
          <w:rFonts w:ascii="Arial Narrow" w:hAnsi="Arial Narrow"/>
          <w:sz w:val="16"/>
          <w:szCs w:val="16"/>
        </w:rPr>
        <w:t>en los artículo 180° y 186° de la Ley General de Aduanas, aprobado por el Decreto Legislativo N° 1053, concordante con los artículos 235° , 242° y 243° de su Reglamento aprobado por Decreto Supremo N° 010-2009-EF.</w:t>
      </w:r>
    </w:p>
    <w:tbl>
      <w:tblPr>
        <w:tblStyle w:val="Tablaconcuadrculaclara"/>
        <w:tblW w:w="14459" w:type="dxa"/>
        <w:tblInd w:w="-289" w:type="dxa"/>
        <w:tblLayout w:type="fixed"/>
        <w:tblLook w:val="04A0" w:firstRow="1" w:lastRow="0" w:firstColumn="1" w:lastColumn="0" w:noHBand="0" w:noVBand="1"/>
      </w:tblPr>
      <w:tblGrid>
        <w:gridCol w:w="988"/>
        <w:gridCol w:w="992"/>
        <w:gridCol w:w="1134"/>
        <w:gridCol w:w="1559"/>
        <w:gridCol w:w="7518"/>
        <w:gridCol w:w="1282"/>
        <w:gridCol w:w="986"/>
      </w:tblGrid>
      <w:tr w:rsidR="00641025" w:rsidRPr="005F71DC" w14:paraId="4028EB74" w14:textId="77777777" w:rsidTr="00641025">
        <w:trPr>
          <w:trHeight w:val="20"/>
        </w:trPr>
        <w:tc>
          <w:tcPr>
            <w:tcW w:w="988" w:type="dxa"/>
            <w:hideMark/>
          </w:tcPr>
          <w:p w14:paraId="10F38B45"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Documento de Identidad</w:t>
            </w:r>
          </w:p>
        </w:tc>
        <w:tc>
          <w:tcPr>
            <w:tcW w:w="992" w:type="dxa"/>
            <w:hideMark/>
          </w:tcPr>
          <w:p w14:paraId="6A328BCA"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Infractor</w:t>
            </w:r>
          </w:p>
        </w:tc>
        <w:tc>
          <w:tcPr>
            <w:tcW w:w="1134" w:type="dxa"/>
            <w:hideMark/>
          </w:tcPr>
          <w:p w14:paraId="3029A74A"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Acta de incautación</w:t>
            </w:r>
          </w:p>
        </w:tc>
        <w:tc>
          <w:tcPr>
            <w:tcW w:w="1559" w:type="dxa"/>
            <w:hideMark/>
          </w:tcPr>
          <w:p w14:paraId="490392BB"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Resolución de División / Informe</w:t>
            </w:r>
          </w:p>
        </w:tc>
        <w:tc>
          <w:tcPr>
            <w:tcW w:w="7518" w:type="dxa"/>
            <w:hideMark/>
          </w:tcPr>
          <w:p w14:paraId="2920E966" w14:textId="172FBC95"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Determinación</w:t>
            </w:r>
          </w:p>
        </w:tc>
        <w:tc>
          <w:tcPr>
            <w:tcW w:w="1282" w:type="dxa"/>
            <w:hideMark/>
          </w:tcPr>
          <w:p w14:paraId="6EA6C33F"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Resolución de Multa</w:t>
            </w:r>
          </w:p>
        </w:tc>
        <w:tc>
          <w:tcPr>
            <w:tcW w:w="986" w:type="dxa"/>
            <w:hideMark/>
          </w:tcPr>
          <w:p w14:paraId="0E9D35E3"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Monto en Soles</w:t>
            </w:r>
          </w:p>
        </w:tc>
      </w:tr>
      <w:tr w:rsidR="00641025" w:rsidRPr="005F71DC" w14:paraId="78615E98" w14:textId="77777777" w:rsidTr="00641025">
        <w:trPr>
          <w:trHeight w:val="20"/>
        </w:trPr>
        <w:tc>
          <w:tcPr>
            <w:tcW w:w="988" w:type="dxa"/>
          </w:tcPr>
          <w:p w14:paraId="7CDD9E7F"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DNI N°</w:t>
            </w:r>
          </w:p>
          <w:p w14:paraId="5D167AC7"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00520407</w:t>
            </w:r>
          </w:p>
        </w:tc>
        <w:tc>
          <w:tcPr>
            <w:tcW w:w="992" w:type="dxa"/>
          </w:tcPr>
          <w:p w14:paraId="4270FBE2" w14:textId="77777777" w:rsidR="00651F4A" w:rsidRPr="005F71DC" w:rsidRDefault="00651F4A" w:rsidP="002750D0">
            <w:pPr>
              <w:tabs>
                <w:tab w:val="left" w:pos="782"/>
              </w:tabs>
              <w:spacing w:line="0" w:lineRule="atLeast"/>
              <w:jc w:val="center"/>
              <w:rPr>
                <w:rFonts w:ascii="Arial Narrow" w:hAnsi="Arial Narrow" w:cs="Arial"/>
                <w:sz w:val="16"/>
                <w:szCs w:val="16"/>
              </w:rPr>
            </w:pPr>
            <w:r w:rsidRPr="005F71DC">
              <w:rPr>
                <w:rFonts w:ascii="Arial Narrow" w:hAnsi="Arial Narrow" w:cs="Arial"/>
                <w:sz w:val="16"/>
                <w:szCs w:val="16"/>
              </w:rPr>
              <w:t>OCHOA QUISPE ALFREDO</w:t>
            </w:r>
          </w:p>
        </w:tc>
        <w:tc>
          <w:tcPr>
            <w:tcW w:w="1134" w:type="dxa"/>
          </w:tcPr>
          <w:p w14:paraId="037BF3E8"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172-0204-2024-000373</w:t>
            </w:r>
          </w:p>
        </w:tc>
        <w:tc>
          <w:tcPr>
            <w:tcW w:w="1559" w:type="dxa"/>
          </w:tcPr>
          <w:p w14:paraId="133A3964" w14:textId="2469117A" w:rsidR="00651F4A" w:rsidRPr="005F71DC" w:rsidRDefault="00651F4A" w:rsidP="00636956">
            <w:pPr>
              <w:tabs>
                <w:tab w:val="left" w:pos="3232"/>
              </w:tabs>
              <w:spacing w:line="0" w:lineRule="atLeast"/>
              <w:jc w:val="center"/>
              <w:rPr>
                <w:rFonts w:ascii="Arial Narrow" w:hAnsi="Arial Narrow" w:cs="Arial"/>
                <w:sz w:val="16"/>
                <w:szCs w:val="16"/>
                <w:lang w:val="en-US"/>
              </w:rPr>
            </w:pPr>
            <w:r w:rsidRPr="005F71DC">
              <w:rPr>
                <w:rFonts w:ascii="Arial Narrow" w:hAnsi="Arial Narrow" w:cs="Arial"/>
                <w:sz w:val="16"/>
                <w:szCs w:val="16"/>
                <w:lang w:val="en-US"/>
              </w:rPr>
              <w:t>00120-2024-SUNAT/3G0800</w:t>
            </w:r>
          </w:p>
          <w:p w14:paraId="3BB85B4A" w14:textId="77777777" w:rsidR="00651F4A" w:rsidRPr="005F71DC" w:rsidRDefault="00651F4A" w:rsidP="005F71DC">
            <w:pPr>
              <w:tabs>
                <w:tab w:val="left" w:pos="3232"/>
              </w:tabs>
              <w:spacing w:line="0" w:lineRule="atLeast"/>
              <w:jc w:val="center"/>
              <w:rPr>
                <w:rFonts w:ascii="Arial Narrow" w:hAnsi="Arial Narrow" w:cs="Arial"/>
                <w:sz w:val="16"/>
                <w:szCs w:val="16"/>
                <w:lang w:val="en-US"/>
              </w:rPr>
            </w:pPr>
            <w:r w:rsidRPr="005F71DC">
              <w:rPr>
                <w:rFonts w:ascii="Arial Narrow" w:hAnsi="Arial Narrow" w:cs="Arial"/>
                <w:sz w:val="16"/>
                <w:szCs w:val="16"/>
                <w:lang w:val="en-US"/>
              </w:rPr>
              <w:t xml:space="preserve">INFORME </w:t>
            </w:r>
            <w:proofErr w:type="gramStart"/>
            <w:r w:rsidRPr="005F71DC">
              <w:rPr>
                <w:rFonts w:ascii="Arial Narrow" w:hAnsi="Arial Narrow" w:cs="Arial"/>
                <w:sz w:val="16"/>
                <w:szCs w:val="16"/>
                <w:lang w:val="en-US"/>
              </w:rPr>
              <w:t>N.º</w:t>
            </w:r>
            <w:proofErr w:type="gramEnd"/>
            <w:r w:rsidRPr="005F71DC">
              <w:rPr>
                <w:rFonts w:ascii="Arial Narrow" w:hAnsi="Arial Narrow" w:cs="Arial"/>
                <w:sz w:val="16"/>
                <w:szCs w:val="16"/>
                <w:lang w:val="en-US"/>
              </w:rPr>
              <w:t xml:space="preserve"> 001129-2024-SUNAT/3G0800</w:t>
            </w:r>
          </w:p>
        </w:tc>
        <w:tc>
          <w:tcPr>
            <w:tcW w:w="7518" w:type="dxa"/>
          </w:tcPr>
          <w:p w14:paraId="62CB4080" w14:textId="5C97EF22" w:rsidR="00651F4A" w:rsidRPr="005F71DC" w:rsidRDefault="00651F4A" w:rsidP="005F71DC">
            <w:pPr>
              <w:tabs>
                <w:tab w:val="left" w:pos="3232"/>
              </w:tabs>
              <w:spacing w:line="0" w:lineRule="atLeast"/>
              <w:jc w:val="both"/>
              <w:rPr>
                <w:rFonts w:ascii="Arial Narrow" w:hAnsi="Arial Narrow" w:cs="Arial"/>
                <w:sz w:val="16"/>
                <w:szCs w:val="16"/>
              </w:rPr>
            </w:pPr>
            <w:r w:rsidRPr="005F71DC">
              <w:rPr>
                <w:rFonts w:ascii="Arial Narrow" w:hAnsi="Arial Narrow" w:cs="Arial"/>
                <w:sz w:val="16"/>
                <w:szCs w:val="16"/>
              </w:rPr>
              <w:t>Sancionar con MULTA a ALFREDO OCHOA QUISPE identificado con DNI N°</w:t>
            </w:r>
            <w:r w:rsidR="00872A94">
              <w:rPr>
                <w:rFonts w:ascii="Arial Narrow" w:hAnsi="Arial Narrow" w:cs="Arial"/>
                <w:sz w:val="16"/>
                <w:szCs w:val="16"/>
              </w:rPr>
              <w:t xml:space="preserve"> </w:t>
            </w:r>
            <w:r w:rsidRPr="005F71DC">
              <w:rPr>
                <w:rFonts w:ascii="Arial Narrow" w:hAnsi="Arial Narrow" w:cs="Arial"/>
                <w:sz w:val="16"/>
                <w:szCs w:val="16"/>
              </w:rPr>
              <w:t>00520407, por un monto ascendente a dos mil doscientos veintisiete con 00/100 Soles (S/. 2,227.00), correspondiente a dos veces los tributos dejados de pagar, por tener el infractor la condición de responsable de la mercancía intervenida el 18.06.2024, de conformidad al artículo 39° inciso a) de la Ley N° 28008, según los fundamentos expuestos en la parte considerativa del presente informe; dicha sanción se hará efectiva mediante la emisión de una Resolución de Multa; una vez notificada la deuda tributaria aduanera, la competencia del control de la deuda y cobranza estará a cargo de las unidades de organización de la SNATI.</w:t>
            </w:r>
          </w:p>
        </w:tc>
        <w:tc>
          <w:tcPr>
            <w:tcW w:w="1282" w:type="dxa"/>
          </w:tcPr>
          <w:p w14:paraId="2A7659E0" w14:textId="77777777"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N° 8720020004499</w:t>
            </w:r>
          </w:p>
        </w:tc>
        <w:tc>
          <w:tcPr>
            <w:tcW w:w="986" w:type="dxa"/>
          </w:tcPr>
          <w:p w14:paraId="1962A505" w14:textId="6F7F29C9" w:rsidR="00651F4A" w:rsidRPr="005F71DC" w:rsidRDefault="00651F4A" w:rsidP="005F71DC">
            <w:pPr>
              <w:tabs>
                <w:tab w:val="left" w:pos="3232"/>
              </w:tabs>
              <w:spacing w:line="0" w:lineRule="atLeast"/>
              <w:jc w:val="center"/>
              <w:rPr>
                <w:rFonts w:ascii="Arial Narrow" w:hAnsi="Arial Narrow" w:cs="Arial"/>
                <w:sz w:val="16"/>
                <w:szCs w:val="16"/>
              </w:rPr>
            </w:pPr>
            <w:r w:rsidRPr="005F71DC">
              <w:rPr>
                <w:rFonts w:ascii="Arial Narrow" w:hAnsi="Arial Narrow" w:cs="Arial"/>
                <w:sz w:val="16"/>
                <w:szCs w:val="16"/>
              </w:rPr>
              <w:t>S/ 2,227.00</w:t>
            </w:r>
          </w:p>
        </w:tc>
      </w:tr>
    </w:tbl>
    <w:p w14:paraId="7A2967F3" w14:textId="6656FBEC" w:rsidR="006962CC" w:rsidRPr="005F71DC" w:rsidRDefault="006962CC" w:rsidP="005F71DC">
      <w:pPr>
        <w:tabs>
          <w:tab w:val="left" w:pos="8010"/>
        </w:tabs>
        <w:spacing w:after="0" w:line="0" w:lineRule="atLeast"/>
        <w:rPr>
          <w:rFonts w:ascii="Arial Narrow" w:hAnsi="Arial Narrow"/>
          <w:sz w:val="16"/>
          <w:szCs w:val="16"/>
        </w:rPr>
      </w:pPr>
      <w:r w:rsidRPr="005F71DC">
        <w:rPr>
          <w:rFonts w:ascii="Arial Narrow" w:hAnsi="Arial Narrow"/>
          <w:sz w:val="16"/>
          <w:szCs w:val="16"/>
        </w:rPr>
        <w:tab/>
      </w:r>
    </w:p>
    <w:sectPr w:rsidR="006962CC" w:rsidRPr="005F71DC" w:rsidSect="002750D0">
      <w:pgSz w:w="16840" w:h="11900" w:orient="landscape"/>
      <w:pgMar w:top="713" w:right="1440" w:bottom="90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992C" w14:textId="77777777" w:rsidR="00E310EE" w:rsidRDefault="00E310EE" w:rsidP="005319CE">
      <w:pPr>
        <w:spacing w:after="0" w:line="240" w:lineRule="auto"/>
      </w:pPr>
      <w:r>
        <w:separator/>
      </w:r>
    </w:p>
  </w:endnote>
  <w:endnote w:type="continuationSeparator" w:id="0">
    <w:p w14:paraId="19E66455" w14:textId="77777777" w:rsidR="00E310EE" w:rsidRDefault="00E310EE"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0A5F" w14:textId="77777777" w:rsidR="00E310EE" w:rsidRDefault="00E310EE" w:rsidP="005319CE">
      <w:pPr>
        <w:spacing w:after="0" w:line="240" w:lineRule="auto"/>
      </w:pPr>
      <w:r>
        <w:separator/>
      </w:r>
    </w:p>
  </w:footnote>
  <w:footnote w:type="continuationSeparator" w:id="0">
    <w:p w14:paraId="52759858" w14:textId="77777777" w:rsidR="00E310EE" w:rsidRDefault="00E310EE"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75984"/>
    <w:rsid w:val="000A101D"/>
    <w:rsid w:val="000D08D4"/>
    <w:rsid w:val="000D0C0D"/>
    <w:rsid w:val="000D53DC"/>
    <w:rsid w:val="000D76D9"/>
    <w:rsid w:val="000E5629"/>
    <w:rsid w:val="000E7934"/>
    <w:rsid w:val="000F3EE5"/>
    <w:rsid w:val="001040F6"/>
    <w:rsid w:val="00107F95"/>
    <w:rsid w:val="00110A8E"/>
    <w:rsid w:val="00111CB8"/>
    <w:rsid w:val="00122B93"/>
    <w:rsid w:val="00135C65"/>
    <w:rsid w:val="00141BC3"/>
    <w:rsid w:val="001435FD"/>
    <w:rsid w:val="0014639B"/>
    <w:rsid w:val="00150D83"/>
    <w:rsid w:val="001740A0"/>
    <w:rsid w:val="00186D96"/>
    <w:rsid w:val="001A7DF9"/>
    <w:rsid w:val="001C7EE6"/>
    <w:rsid w:val="001F3673"/>
    <w:rsid w:val="001F4857"/>
    <w:rsid w:val="001F785E"/>
    <w:rsid w:val="00207BD4"/>
    <w:rsid w:val="00235118"/>
    <w:rsid w:val="0024134F"/>
    <w:rsid w:val="002633C0"/>
    <w:rsid w:val="002750D0"/>
    <w:rsid w:val="002765CA"/>
    <w:rsid w:val="00277A7F"/>
    <w:rsid w:val="00280B1A"/>
    <w:rsid w:val="002A34CA"/>
    <w:rsid w:val="002B08A0"/>
    <w:rsid w:val="002D350C"/>
    <w:rsid w:val="002D69AC"/>
    <w:rsid w:val="002E62E9"/>
    <w:rsid w:val="002E7F19"/>
    <w:rsid w:val="00301232"/>
    <w:rsid w:val="00310D76"/>
    <w:rsid w:val="00311135"/>
    <w:rsid w:val="00316AA1"/>
    <w:rsid w:val="00321BEC"/>
    <w:rsid w:val="003228FD"/>
    <w:rsid w:val="003233D0"/>
    <w:rsid w:val="00335B64"/>
    <w:rsid w:val="00337337"/>
    <w:rsid w:val="00362B60"/>
    <w:rsid w:val="0037423B"/>
    <w:rsid w:val="0037573A"/>
    <w:rsid w:val="00375B00"/>
    <w:rsid w:val="00397CD5"/>
    <w:rsid w:val="003A6F88"/>
    <w:rsid w:val="0040068D"/>
    <w:rsid w:val="00406A05"/>
    <w:rsid w:val="00407E6F"/>
    <w:rsid w:val="00411987"/>
    <w:rsid w:val="004305AA"/>
    <w:rsid w:val="004421C2"/>
    <w:rsid w:val="004500D5"/>
    <w:rsid w:val="004555A8"/>
    <w:rsid w:val="004722AD"/>
    <w:rsid w:val="00473E6F"/>
    <w:rsid w:val="00474554"/>
    <w:rsid w:val="004850F5"/>
    <w:rsid w:val="00493027"/>
    <w:rsid w:val="004A54D3"/>
    <w:rsid w:val="004B7F61"/>
    <w:rsid w:val="004C0B52"/>
    <w:rsid w:val="004D64C9"/>
    <w:rsid w:val="004D7099"/>
    <w:rsid w:val="004E21D2"/>
    <w:rsid w:val="004E2231"/>
    <w:rsid w:val="004F0A73"/>
    <w:rsid w:val="004F193F"/>
    <w:rsid w:val="004F3A5E"/>
    <w:rsid w:val="005002DF"/>
    <w:rsid w:val="00500902"/>
    <w:rsid w:val="0051098B"/>
    <w:rsid w:val="005319CE"/>
    <w:rsid w:val="00545571"/>
    <w:rsid w:val="00547367"/>
    <w:rsid w:val="005550B5"/>
    <w:rsid w:val="00575D6D"/>
    <w:rsid w:val="00584E9B"/>
    <w:rsid w:val="005937AE"/>
    <w:rsid w:val="005A5276"/>
    <w:rsid w:val="005B21D1"/>
    <w:rsid w:val="005B6463"/>
    <w:rsid w:val="005C13CB"/>
    <w:rsid w:val="005C723F"/>
    <w:rsid w:val="005D0B5C"/>
    <w:rsid w:val="005E3435"/>
    <w:rsid w:val="005F5E64"/>
    <w:rsid w:val="005F71DC"/>
    <w:rsid w:val="00602D8E"/>
    <w:rsid w:val="00612EA5"/>
    <w:rsid w:val="00624B06"/>
    <w:rsid w:val="00632AFA"/>
    <w:rsid w:val="00636956"/>
    <w:rsid w:val="00641025"/>
    <w:rsid w:val="00642AD6"/>
    <w:rsid w:val="00645D21"/>
    <w:rsid w:val="00651F4A"/>
    <w:rsid w:val="00654B20"/>
    <w:rsid w:val="00673016"/>
    <w:rsid w:val="0067401E"/>
    <w:rsid w:val="00682FF5"/>
    <w:rsid w:val="00683F39"/>
    <w:rsid w:val="00690982"/>
    <w:rsid w:val="0069120F"/>
    <w:rsid w:val="006932DA"/>
    <w:rsid w:val="006947FC"/>
    <w:rsid w:val="006962CC"/>
    <w:rsid w:val="006A22F4"/>
    <w:rsid w:val="006A53CD"/>
    <w:rsid w:val="006B0B6C"/>
    <w:rsid w:val="006C5431"/>
    <w:rsid w:val="006D2D7C"/>
    <w:rsid w:val="006D75CC"/>
    <w:rsid w:val="00715187"/>
    <w:rsid w:val="00741332"/>
    <w:rsid w:val="007419E2"/>
    <w:rsid w:val="00744CB1"/>
    <w:rsid w:val="0075350E"/>
    <w:rsid w:val="00796BD9"/>
    <w:rsid w:val="007C0315"/>
    <w:rsid w:val="007D1533"/>
    <w:rsid w:val="007D7C47"/>
    <w:rsid w:val="00801EC2"/>
    <w:rsid w:val="00802FE8"/>
    <w:rsid w:val="00813866"/>
    <w:rsid w:val="00823836"/>
    <w:rsid w:val="00843AC9"/>
    <w:rsid w:val="008443C4"/>
    <w:rsid w:val="00872A94"/>
    <w:rsid w:val="00873E5D"/>
    <w:rsid w:val="00882A6C"/>
    <w:rsid w:val="008A7FCD"/>
    <w:rsid w:val="008C1183"/>
    <w:rsid w:val="008C2CF4"/>
    <w:rsid w:val="008C4F32"/>
    <w:rsid w:val="008C7AFF"/>
    <w:rsid w:val="008D587B"/>
    <w:rsid w:val="008F0D2A"/>
    <w:rsid w:val="009006FB"/>
    <w:rsid w:val="00923EFA"/>
    <w:rsid w:val="009263D2"/>
    <w:rsid w:val="00936528"/>
    <w:rsid w:val="00941AFC"/>
    <w:rsid w:val="0096412D"/>
    <w:rsid w:val="00991A03"/>
    <w:rsid w:val="009A1778"/>
    <w:rsid w:val="009B4CF7"/>
    <w:rsid w:val="009B5A6D"/>
    <w:rsid w:val="009D2812"/>
    <w:rsid w:val="009D4370"/>
    <w:rsid w:val="00A12EF5"/>
    <w:rsid w:val="00A2038C"/>
    <w:rsid w:val="00A220BD"/>
    <w:rsid w:val="00A224C2"/>
    <w:rsid w:val="00A2408B"/>
    <w:rsid w:val="00A300D6"/>
    <w:rsid w:val="00A30FBE"/>
    <w:rsid w:val="00A31847"/>
    <w:rsid w:val="00A36837"/>
    <w:rsid w:val="00A37B5A"/>
    <w:rsid w:val="00A42CDE"/>
    <w:rsid w:val="00A43C60"/>
    <w:rsid w:val="00A44E43"/>
    <w:rsid w:val="00A466E3"/>
    <w:rsid w:val="00A50480"/>
    <w:rsid w:val="00A55167"/>
    <w:rsid w:val="00A57027"/>
    <w:rsid w:val="00A60D67"/>
    <w:rsid w:val="00A70522"/>
    <w:rsid w:val="00A751F1"/>
    <w:rsid w:val="00A9458F"/>
    <w:rsid w:val="00A952DF"/>
    <w:rsid w:val="00AA70E8"/>
    <w:rsid w:val="00AB2C18"/>
    <w:rsid w:val="00AB68CE"/>
    <w:rsid w:val="00B02417"/>
    <w:rsid w:val="00B12B85"/>
    <w:rsid w:val="00B1614F"/>
    <w:rsid w:val="00B221DE"/>
    <w:rsid w:val="00B245CD"/>
    <w:rsid w:val="00B24E28"/>
    <w:rsid w:val="00B27491"/>
    <w:rsid w:val="00B3560A"/>
    <w:rsid w:val="00B96A05"/>
    <w:rsid w:val="00B977AB"/>
    <w:rsid w:val="00BA3BA3"/>
    <w:rsid w:val="00BC7424"/>
    <w:rsid w:val="00BE5E5D"/>
    <w:rsid w:val="00BF660F"/>
    <w:rsid w:val="00C1469F"/>
    <w:rsid w:val="00C15927"/>
    <w:rsid w:val="00C43252"/>
    <w:rsid w:val="00C434DF"/>
    <w:rsid w:val="00C45ADF"/>
    <w:rsid w:val="00C70A2E"/>
    <w:rsid w:val="00C7519F"/>
    <w:rsid w:val="00C85E18"/>
    <w:rsid w:val="00C95C7C"/>
    <w:rsid w:val="00CA0075"/>
    <w:rsid w:val="00CA2171"/>
    <w:rsid w:val="00CC2E69"/>
    <w:rsid w:val="00CC43FF"/>
    <w:rsid w:val="00CC7E62"/>
    <w:rsid w:val="00CF4871"/>
    <w:rsid w:val="00CF6E37"/>
    <w:rsid w:val="00D049B8"/>
    <w:rsid w:val="00D17588"/>
    <w:rsid w:val="00D24CDB"/>
    <w:rsid w:val="00D31BF1"/>
    <w:rsid w:val="00D42EC5"/>
    <w:rsid w:val="00D43C01"/>
    <w:rsid w:val="00D54741"/>
    <w:rsid w:val="00D54FF8"/>
    <w:rsid w:val="00D65E78"/>
    <w:rsid w:val="00D76FDB"/>
    <w:rsid w:val="00D96A95"/>
    <w:rsid w:val="00DA28CB"/>
    <w:rsid w:val="00DC6533"/>
    <w:rsid w:val="00DD5014"/>
    <w:rsid w:val="00DD5293"/>
    <w:rsid w:val="00DE1F79"/>
    <w:rsid w:val="00DE4FF7"/>
    <w:rsid w:val="00DF1D67"/>
    <w:rsid w:val="00DF286E"/>
    <w:rsid w:val="00E0375F"/>
    <w:rsid w:val="00E05035"/>
    <w:rsid w:val="00E11BA7"/>
    <w:rsid w:val="00E175D3"/>
    <w:rsid w:val="00E310EE"/>
    <w:rsid w:val="00E37AD5"/>
    <w:rsid w:val="00E40833"/>
    <w:rsid w:val="00E73426"/>
    <w:rsid w:val="00E740A2"/>
    <w:rsid w:val="00E74D8C"/>
    <w:rsid w:val="00E777A1"/>
    <w:rsid w:val="00E845EE"/>
    <w:rsid w:val="00E85CD4"/>
    <w:rsid w:val="00E86CE6"/>
    <w:rsid w:val="00E87485"/>
    <w:rsid w:val="00E96574"/>
    <w:rsid w:val="00EA1B83"/>
    <w:rsid w:val="00EB591D"/>
    <w:rsid w:val="00EB6D46"/>
    <w:rsid w:val="00EE7E31"/>
    <w:rsid w:val="00EF1772"/>
    <w:rsid w:val="00F00B11"/>
    <w:rsid w:val="00F2196C"/>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0D53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6412D"/>
    <w:pPr>
      <w:autoSpaceDE w:val="0"/>
      <w:autoSpaceDN w:val="0"/>
      <w:adjustRightInd w:val="0"/>
      <w:spacing w:after="0" w:line="240" w:lineRule="auto"/>
    </w:pPr>
    <w:rPr>
      <w:rFonts w:ascii="Arial" w:eastAsia="Calibri" w:hAnsi="Arial" w:cs="Arial"/>
      <w:color w:val="000000"/>
      <w:sz w:val="24"/>
      <w:szCs w:val="24"/>
      <w:lang w:val="es-PE"/>
    </w:rPr>
  </w:style>
  <w:style w:type="character" w:styleId="Hipervnculo">
    <w:name w:val="Hyperlink"/>
    <w:uiPriority w:val="99"/>
    <w:unhideWhenUsed/>
    <w:rsid w:val="00964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2198</Words>
  <Characters>12090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2024-10-04T20:47:00Z</cp:lastPrinted>
  <dcterms:created xsi:type="dcterms:W3CDTF">2024-10-04T20:47:00Z</dcterms:created>
  <dcterms:modified xsi:type="dcterms:W3CDTF">2024-10-04T20:59:00Z</dcterms:modified>
</cp:coreProperties>
</file>