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705B" w14:textId="77777777" w:rsidR="00813866" w:rsidRPr="00F95342" w:rsidRDefault="00813866" w:rsidP="00431D44">
      <w:pPr>
        <w:spacing w:after="0" w:line="0" w:lineRule="atLeast"/>
        <w:ind w:right="425"/>
        <w:jc w:val="both"/>
        <w:rPr>
          <w:rFonts w:ascii="Arial Narrow" w:hAnsi="Arial Narrow" w:cstheme="minorHAnsi"/>
          <w:b/>
          <w:bCs/>
          <w:sz w:val="16"/>
          <w:szCs w:val="16"/>
        </w:rPr>
      </w:pPr>
    </w:p>
    <w:p w14:paraId="71552655" w14:textId="77777777" w:rsidR="00751182" w:rsidRPr="00F95342" w:rsidRDefault="00751182" w:rsidP="00431D44">
      <w:pPr>
        <w:spacing w:after="0" w:line="0" w:lineRule="atLeast"/>
        <w:ind w:left="270" w:right="425"/>
        <w:jc w:val="center"/>
        <w:textAlignment w:val="baseline"/>
        <w:rPr>
          <w:rFonts w:ascii="Arial Narrow" w:eastAsia="Times New Roman" w:hAnsi="Arial Narrow" w:cstheme="minorHAnsi"/>
          <w:b/>
          <w:bCs/>
          <w:sz w:val="16"/>
          <w:szCs w:val="16"/>
          <w:lang w:eastAsia="es-PE"/>
        </w:rPr>
      </w:pPr>
      <w:r w:rsidRPr="00F95342">
        <w:rPr>
          <w:rFonts w:ascii="Arial Narrow" w:eastAsia="Times New Roman" w:hAnsi="Arial Narrow" w:cstheme="minorHAnsi"/>
          <w:b/>
          <w:bCs/>
          <w:sz w:val="16"/>
          <w:szCs w:val="16"/>
          <w:lang w:eastAsia="es-PE"/>
        </w:rPr>
        <w:t>SUPERINTENDENCIA NACIONAL DE ADUANAS Y ADMINISTRACION TRIBUTARIA </w:t>
      </w:r>
    </w:p>
    <w:p w14:paraId="6AAC6C22" w14:textId="77777777" w:rsidR="00751182" w:rsidRPr="00F95342" w:rsidRDefault="00751182" w:rsidP="00431D44">
      <w:pPr>
        <w:spacing w:after="0" w:line="0" w:lineRule="atLeast"/>
        <w:ind w:left="270" w:right="425"/>
        <w:jc w:val="center"/>
        <w:textAlignment w:val="baseline"/>
        <w:rPr>
          <w:rFonts w:ascii="Arial Narrow" w:eastAsia="Times New Roman" w:hAnsi="Arial Narrow" w:cstheme="minorHAnsi"/>
          <w:b/>
          <w:bCs/>
          <w:sz w:val="16"/>
          <w:szCs w:val="16"/>
          <w:lang w:eastAsia="es-PE"/>
        </w:rPr>
      </w:pPr>
      <w:r w:rsidRPr="00F95342">
        <w:rPr>
          <w:rFonts w:ascii="Arial Narrow" w:eastAsia="Times New Roman" w:hAnsi="Arial Narrow" w:cstheme="minorHAnsi"/>
          <w:b/>
          <w:bCs/>
          <w:sz w:val="16"/>
          <w:szCs w:val="16"/>
          <w:lang w:eastAsia="es-PE"/>
        </w:rPr>
        <w:t>INTENDENCIA DE ADUANA DE TACNA </w:t>
      </w:r>
    </w:p>
    <w:p w14:paraId="73BD4BDC" w14:textId="77777777" w:rsidR="00751182" w:rsidRPr="00F95342" w:rsidRDefault="00751182" w:rsidP="00431D44">
      <w:pPr>
        <w:spacing w:after="0" w:line="0" w:lineRule="atLeast"/>
        <w:ind w:left="270" w:right="425"/>
        <w:jc w:val="center"/>
        <w:textAlignment w:val="baseline"/>
        <w:rPr>
          <w:rFonts w:ascii="Arial Narrow" w:eastAsia="Times New Roman" w:hAnsi="Arial Narrow" w:cstheme="minorHAnsi"/>
          <w:b/>
          <w:bCs/>
          <w:sz w:val="16"/>
          <w:szCs w:val="16"/>
          <w:lang w:eastAsia="es-PE"/>
        </w:rPr>
      </w:pPr>
      <w:r w:rsidRPr="00F95342">
        <w:rPr>
          <w:rFonts w:ascii="Arial Narrow" w:eastAsia="Times New Roman" w:hAnsi="Arial Narrow" w:cstheme="minorHAnsi"/>
          <w:b/>
          <w:bCs/>
          <w:sz w:val="16"/>
          <w:szCs w:val="16"/>
          <w:lang w:eastAsia="es-PE"/>
        </w:rPr>
        <w:t> </w:t>
      </w:r>
    </w:p>
    <w:p w14:paraId="60F2CB32" w14:textId="77777777" w:rsidR="00751182" w:rsidRPr="00F95342" w:rsidRDefault="00751182" w:rsidP="00431D44">
      <w:pPr>
        <w:spacing w:after="0" w:line="0" w:lineRule="atLeast"/>
        <w:ind w:left="270" w:right="425"/>
        <w:jc w:val="center"/>
        <w:textAlignment w:val="baseline"/>
        <w:rPr>
          <w:rFonts w:ascii="Arial Narrow" w:eastAsia="Times New Roman" w:hAnsi="Arial Narrow" w:cstheme="minorHAnsi"/>
          <w:b/>
          <w:bCs/>
          <w:sz w:val="16"/>
          <w:szCs w:val="16"/>
          <w:lang w:eastAsia="es-PE"/>
        </w:rPr>
      </w:pPr>
      <w:r w:rsidRPr="00F95342">
        <w:rPr>
          <w:rFonts w:ascii="Arial Narrow" w:eastAsia="Times New Roman" w:hAnsi="Arial Narrow" w:cstheme="minorHAnsi"/>
          <w:b/>
          <w:bCs/>
          <w:sz w:val="16"/>
          <w:szCs w:val="16"/>
          <w:lang w:eastAsia="es-PE"/>
        </w:rPr>
        <w:t>NOTIFICACIÓN ADMINISTRATIVA  </w:t>
      </w:r>
    </w:p>
    <w:p w14:paraId="7CEE195E" w14:textId="77777777" w:rsidR="00363EFC" w:rsidRDefault="00751182" w:rsidP="00363EFC">
      <w:pPr>
        <w:spacing w:after="0" w:line="240" w:lineRule="auto"/>
        <w:ind w:left="2835" w:right="2686"/>
        <w:jc w:val="center"/>
        <w:rPr>
          <w:rFonts w:ascii="Arial Narrow" w:hAnsi="Arial Narrow"/>
          <w:sz w:val="16"/>
          <w:szCs w:val="16"/>
        </w:rPr>
      </w:pPr>
      <w:r w:rsidRPr="0032346E">
        <w:rPr>
          <w:rFonts w:ascii="Arial Narrow" w:eastAsia="Times New Roman" w:hAnsi="Arial Narrow" w:cstheme="minorHAnsi"/>
          <w:sz w:val="16"/>
          <w:szCs w:val="16"/>
          <w:lang w:eastAsia="es-PE"/>
        </w:rPr>
        <w:t> </w:t>
      </w:r>
      <w:r w:rsidR="00363EFC" w:rsidRPr="00C86188">
        <w:rPr>
          <w:rFonts w:ascii="Arial Narrow" w:hAnsi="Arial Narrow"/>
          <w:sz w:val="16"/>
          <w:szCs w:val="16"/>
        </w:rPr>
        <w:t xml:space="preserve">(Publicada en el Boletín del Diario Oficial El Peruano el </w:t>
      </w:r>
      <w:r w:rsidR="00363EFC">
        <w:rPr>
          <w:rFonts w:ascii="Arial Narrow" w:hAnsi="Arial Narrow"/>
          <w:sz w:val="16"/>
          <w:szCs w:val="16"/>
        </w:rPr>
        <w:t>23</w:t>
      </w:r>
      <w:r w:rsidR="00363EFC" w:rsidRPr="00C86188">
        <w:rPr>
          <w:rFonts w:ascii="Arial Narrow" w:hAnsi="Arial Narrow"/>
          <w:sz w:val="16"/>
          <w:szCs w:val="16"/>
        </w:rPr>
        <w:t>.10.2024)</w:t>
      </w:r>
    </w:p>
    <w:p w14:paraId="5D6A3A98" w14:textId="55502129" w:rsidR="00751182" w:rsidRPr="0032346E" w:rsidRDefault="00751182" w:rsidP="00431D44">
      <w:pPr>
        <w:spacing w:after="0" w:line="0" w:lineRule="atLeast"/>
        <w:ind w:left="270" w:right="425"/>
        <w:jc w:val="center"/>
        <w:textAlignment w:val="baseline"/>
        <w:rPr>
          <w:rFonts w:ascii="Arial Narrow" w:eastAsia="Times New Roman" w:hAnsi="Arial Narrow" w:cstheme="minorHAnsi"/>
          <w:sz w:val="16"/>
          <w:szCs w:val="16"/>
          <w:lang w:eastAsia="es-PE"/>
        </w:rPr>
      </w:pPr>
    </w:p>
    <w:p w14:paraId="4F56B59B" w14:textId="122B19F2" w:rsidR="00751182" w:rsidRPr="0032346E" w:rsidRDefault="00751182" w:rsidP="00431D44">
      <w:pPr>
        <w:spacing w:after="0" w:line="0" w:lineRule="atLeast"/>
        <w:ind w:left="270" w:right="425"/>
        <w:jc w:val="both"/>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w:t>
      </w:r>
      <w:r w:rsidR="00651CCA" w:rsidRPr="0032346E">
        <w:rPr>
          <w:rFonts w:ascii="Arial Narrow" w:eastAsia="Times New Roman" w:hAnsi="Arial Narrow" w:cstheme="minorHAnsi"/>
          <w:sz w:val="16"/>
          <w:szCs w:val="16"/>
          <w:lang w:eastAsia="es-PE"/>
        </w:rPr>
        <w:t>DIVISION</w:t>
      </w:r>
      <w:r w:rsidRPr="0032346E">
        <w:rPr>
          <w:rFonts w:ascii="Arial Narrow" w:eastAsia="Times New Roman" w:hAnsi="Arial Narrow" w:cstheme="minorHAnsi"/>
          <w:sz w:val="16"/>
          <w:szCs w:val="16"/>
          <w:lang w:eastAsia="es-PE"/>
        </w:rPr>
        <w:t>, en relación a las  mercancías descritas en el acta de incautación indicada en la presente notificación. </w:t>
      </w:r>
    </w:p>
    <w:p w14:paraId="4C81D3B9" w14:textId="77777777" w:rsidR="00751182" w:rsidRPr="0032346E" w:rsidRDefault="00751182" w:rsidP="00431D44">
      <w:pPr>
        <w:spacing w:after="0" w:line="0" w:lineRule="atLeast"/>
        <w:ind w:left="270" w:right="425"/>
        <w:jc w:val="both"/>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 </w:t>
      </w:r>
    </w:p>
    <w:p w14:paraId="07F342E4" w14:textId="77777777" w:rsidR="0064541B" w:rsidRPr="0032346E" w:rsidRDefault="0064541B" w:rsidP="0032346E">
      <w:pPr>
        <w:spacing w:after="0" w:line="0" w:lineRule="atLeast"/>
        <w:ind w:left="270" w:right="210"/>
        <w:jc w:val="both"/>
        <w:textAlignment w:val="baseline"/>
        <w:rPr>
          <w:rFonts w:ascii="Arial Narrow" w:eastAsia="Times New Roman" w:hAnsi="Arial Narrow" w:cstheme="minorHAnsi"/>
          <w:sz w:val="16"/>
          <w:szCs w:val="16"/>
          <w:lang w:eastAsia="es-PE"/>
        </w:rPr>
      </w:pPr>
    </w:p>
    <w:tbl>
      <w:tblPr>
        <w:tblW w:w="13472"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993"/>
        <w:gridCol w:w="919"/>
        <w:gridCol w:w="963"/>
        <w:gridCol w:w="9677"/>
      </w:tblGrid>
      <w:tr w:rsidR="00E8155F" w:rsidRPr="0032346E" w14:paraId="7CDAD329" w14:textId="77777777" w:rsidTr="00E8155F">
        <w:trPr>
          <w:trHeight w:val="300"/>
        </w:trPr>
        <w:tc>
          <w:tcPr>
            <w:tcW w:w="9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A446EF" w14:textId="77777777" w:rsidR="0077395F" w:rsidRPr="0032346E" w:rsidRDefault="0077395F" w:rsidP="0032346E">
            <w:pPr>
              <w:spacing w:after="0" w:line="0" w:lineRule="atLeast"/>
              <w:ind w:left="-60" w:right="-60"/>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Documento de Identidad </w:t>
            </w:r>
          </w:p>
        </w:tc>
        <w:tc>
          <w:tcPr>
            <w:tcW w:w="99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84219C9" w14:textId="77777777" w:rsidR="0077395F" w:rsidRPr="0032346E" w:rsidRDefault="0077395F"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Infractor </w:t>
            </w:r>
          </w:p>
        </w:tc>
        <w:tc>
          <w:tcPr>
            <w:tcW w:w="919"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AE4217D" w14:textId="77777777" w:rsidR="0077395F" w:rsidRPr="0032346E" w:rsidRDefault="0077395F"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Acta de incautación </w:t>
            </w:r>
          </w:p>
        </w:tc>
        <w:tc>
          <w:tcPr>
            <w:tcW w:w="96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CE5A0B6" w14:textId="2F22F282" w:rsidR="0077395F" w:rsidRPr="0032346E" w:rsidRDefault="0077395F"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Resolución de División  </w:t>
            </w:r>
          </w:p>
        </w:tc>
        <w:tc>
          <w:tcPr>
            <w:tcW w:w="96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05339F7" w14:textId="77777777" w:rsidR="0077395F" w:rsidRPr="0032346E" w:rsidRDefault="0077395F"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Determinación </w:t>
            </w:r>
          </w:p>
        </w:tc>
      </w:tr>
      <w:tr w:rsidR="00E8155F" w:rsidRPr="0032346E" w14:paraId="5FFDDFA6" w14:textId="77777777" w:rsidTr="00E8155F">
        <w:trPr>
          <w:trHeight w:val="1103"/>
        </w:trPr>
        <w:tc>
          <w:tcPr>
            <w:tcW w:w="9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1E3CB32" w14:textId="0D717DD8" w:rsidR="00F95342" w:rsidRPr="0032346E" w:rsidRDefault="00F95342"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DNI N° 45310452 </w:t>
            </w:r>
          </w:p>
        </w:tc>
        <w:tc>
          <w:tcPr>
            <w:tcW w:w="99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AF72E61" w14:textId="061C6915" w:rsidR="00F95342" w:rsidRPr="0032346E" w:rsidRDefault="00F95342" w:rsidP="00E8155F">
            <w:pPr>
              <w:spacing w:after="0" w:line="0" w:lineRule="atLeast"/>
              <w:ind w:right="60"/>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WILSON MAQUERA MORENO </w:t>
            </w:r>
          </w:p>
        </w:tc>
        <w:tc>
          <w:tcPr>
            <w:tcW w:w="919" w:type="dxa"/>
            <w:vMerge w:val="restart"/>
            <w:tcBorders>
              <w:top w:val="single" w:sz="6" w:space="0" w:color="BFBFBF"/>
              <w:left w:val="single" w:sz="6" w:space="0" w:color="BFBFBF"/>
              <w:right w:val="single" w:sz="6" w:space="0" w:color="BFBFBF"/>
            </w:tcBorders>
            <w:shd w:val="clear" w:color="auto" w:fill="auto"/>
            <w:vAlign w:val="center"/>
            <w:hideMark/>
          </w:tcPr>
          <w:p w14:paraId="07BB2AC4" w14:textId="6FBE3299" w:rsidR="00F95342" w:rsidRPr="0032346E" w:rsidRDefault="00F95342"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172-0400-2024-000077 </w:t>
            </w:r>
          </w:p>
        </w:tc>
        <w:tc>
          <w:tcPr>
            <w:tcW w:w="963" w:type="dxa"/>
            <w:vMerge w:val="restart"/>
            <w:tcBorders>
              <w:top w:val="single" w:sz="6" w:space="0" w:color="BFBFBF"/>
              <w:left w:val="single" w:sz="6" w:space="0" w:color="BFBFBF"/>
              <w:right w:val="single" w:sz="6" w:space="0" w:color="BFBFBF"/>
            </w:tcBorders>
            <w:shd w:val="clear" w:color="auto" w:fill="auto"/>
            <w:vAlign w:val="center"/>
            <w:hideMark/>
          </w:tcPr>
          <w:p w14:paraId="4C149FC6" w14:textId="4257CA8D" w:rsidR="00F95342" w:rsidRPr="0032346E" w:rsidRDefault="00F95342" w:rsidP="0032346E">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hAnsi="Arial Narrow"/>
                <w:color w:val="000000"/>
                <w:sz w:val="16"/>
                <w:szCs w:val="16"/>
                <w:shd w:val="clear" w:color="auto" w:fill="FFFFFF"/>
              </w:rPr>
              <w:t> 529-2024-SUNAT/3G0500</w:t>
            </w:r>
          </w:p>
        </w:tc>
        <w:tc>
          <w:tcPr>
            <w:tcW w:w="9677" w:type="dxa"/>
            <w:vMerge w:val="restart"/>
            <w:tcBorders>
              <w:top w:val="single" w:sz="6" w:space="0" w:color="BFBFBF"/>
              <w:left w:val="single" w:sz="6" w:space="0" w:color="BFBFBF"/>
              <w:right w:val="single" w:sz="6" w:space="0" w:color="BFBFBF"/>
            </w:tcBorders>
            <w:shd w:val="clear" w:color="auto" w:fill="auto"/>
            <w:vAlign w:val="center"/>
            <w:hideMark/>
          </w:tcPr>
          <w:p w14:paraId="5A4CC5B6" w14:textId="1B50E5D9" w:rsidR="00F95342" w:rsidRPr="0032346E" w:rsidRDefault="00F95342" w:rsidP="00431D44">
            <w:pPr>
              <w:spacing w:after="0" w:line="0" w:lineRule="atLeast"/>
              <w:ind w:left="66" w:right="135"/>
              <w:jc w:val="both"/>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ARTÍCULO PRIMERO. - Declarar IMPROCEDENTE la solicitud de devolución presentada WILSON MAQUERA MORENO con DNI N° 45310452, mediante Expediente N° 172-URD119-2024-730122-7 de fecha 30.7.2024.</w:t>
            </w:r>
          </w:p>
          <w:p w14:paraId="543DC916" w14:textId="3E6FB306" w:rsidR="00F95342" w:rsidRPr="0032346E" w:rsidRDefault="00F95342" w:rsidP="00431D44">
            <w:pPr>
              <w:spacing w:after="0" w:line="0" w:lineRule="atLeast"/>
              <w:ind w:left="66" w:right="135"/>
              <w:jc w:val="both"/>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ARTÍCULO SEGUNDO. - Declarar el COMISO de la mercancía descrita en el Acta de Incautación N° 172-0400-2024-000077 de fecha 27.6.2024; de conformidad con los fundamentos de hecho y de derecho expuestos en la presente resolución.</w:t>
            </w:r>
          </w:p>
          <w:p w14:paraId="7FEE7370" w14:textId="751DF5C2" w:rsidR="00F95342" w:rsidRPr="0032346E" w:rsidRDefault="00F95342" w:rsidP="00431D44">
            <w:pPr>
              <w:spacing w:after="0" w:line="0" w:lineRule="atLeast"/>
              <w:ind w:left="66" w:right="135"/>
              <w:jc w:val="both"/>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ARTÍCULO TERCERO. - Sancionar con el INTERNAMIENTO TEMPORAL al vehículo con placa de rodaje Z5N-099, por el periodo de sesenta (60) días calendario; de conformidad con el artículo 41° inciso a) de la Ley N° 28008; sanción que se computará desde el 27.6.2024 al 25.8.2024, por lo que, el propietario deberá apersonarse ante la Dirección de Transportes y Comunicaciones de Tacna, con la resolución de sanción de internamiento, a fin de solicitar la liberación del vehículo;</w:t>
            </w:r>
          </w:p>
          <w:p w14:paraId="4E4248D8" w14:textId="3C025650" w:rsidR="00F95342" w:rsidRPr="0032346E" w:rsidRDefault="00F95342" w:rsidP="00431D44">
            <w:pPr>
              <w:spacing w:after="0" w:line="0" w:lineRule="atLeast"/>
              <w:ind w:left="66" w:right="135"/>
              <w:jc w:val="both"/>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 xml:space="preserve">ARTÍCULO CUARTO.- Oficiar a la Dirección Regional de Transportes y Comunicaciones de Tacna, una vez consentida o firme la presente resolución, a efectos de que se aplique la sanción de SUSPENSIÓN de licencia de conducir de CESAR MAQUERA MORENO identificado con DNI 44507597 por el término de un (01) año; así como considerar la sanción como antecedentes en el registro de conductores, conforme a los considerandos expuestos en la presente resolución, debiéndose proceder con levantar la sanción impuesta una vez cumplido el período descrito. </w:t>
            </w:r>
          </w:p>
        </w:tc>
      </w:tr>
      <w:tr w:rsidR="00E8155F" w:rsidRPr="0032346E" w14:paraId="48BA1904" w14:textId="77777777" w:rsidTr="00E8155F">
        <w:trPr>
          <w:trHeight w:val="300"/>
        </w:trPr>
        <w:tc>
          <w:tcPr>
            <w:tcW w:w="92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0DDE3B6" w14:textId="5DF6CB66" w:rsidR="00F95342" w:rsidRPr="0032346E" w:rsidRDefault="00F95342" w:rsidP="00F95342">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DNI N° 44507597  </w:t>
            </w:r>
          </w:p>
        </w:tc>
        <w:tc>
          <w:tcPr>
            <w:tcW w:w="993"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B756475" w14:textId="5FE5EC3B" w:rsidR="00F95342" w:rsidRPr="0032346E" w:rsidRDefault="00F95342" w:rsidP="00F95342">
            <w:pPr>
              <w:spacing w:after="0" w:line="0" w:lineRule="atLeast"/>
              <w:jc w:val="center"/>
              <w:textAlignment w:val="baseline"/>
              <w:rPr>
                <w:rFonts w:ascii="Arial Narrow" w:eastAsia="Times New Roman" w:hAnsi="Arial Narrow" w:cstheme="minorHAnsi"/>
                <w:sz w:val="16"/>
                <w:szCs w:val="16"/>
                <w:lang w:eastAsia="es-PE"/>
              </w:rPr>
            </w:pPr>
            <w:r w:rsidRPr="0032346E">
              <w:rPr>
                <w:rFonts w:ascii="Arial Narrow" w:eastAsia="Times New Roman" w:hAnsi="Arial Narrow" w:cstheme="minorHAnsi"/>
                <w:sz w:val="16"/>
                <w:szCs w:val="16"/>
                <w:lang w:eastAsia="es-PE"/>
              </w:rPr>
              <w:t>CESAR MAQUERA MORENO </w:t>
            </w:r>
          </w:p>
        </w:tc>
        <w:tc>
          <w:tcPr>
            <w:tcW w:w="919" w:type="dxa"/>
            <w:vMerge/>
            <w:tcBorders>
              <w:left w:val="single" w:sz="6" w:space="0" w:color="BFBFBF"/>
              <w:bottom w:val="single" w:sz="6" w:space="0" w:color="BFBFBF"/>
              <w:right w:val="single" w:sz="6" w:space="0" w:color="BFBFBF"/>
            </w:tcBorders>
            <w:shd w:val="clear" w:color="auto" w:fill="auto"/>
            <w:vAlign w:val="center"/>
          </w:tcPr>
          <w:p w14:paraId="519B9DD7" w14:textId="77777777" w:rsidR="00F95342" w:rsidRPr="0032346E" w:rsidRDefault="00F95342" w:rsidP="00F95342">
            <w:pPr>
              <w:spacing w:after="0" w:line="0" w:lineRule="atLeast"/>
              <w:jc w:val="center"/>
              <w:textAlignment w:val="baseline"/>
              <w:rPr>
                <w:rFonts w:ascii="Arial Narrow" w:eastAsia="Times New Roman" w:hAnsi="Arial Narrow" w:cstheme="minorHAnsi"/>
                <w:sz w:val="16"/>
                <w:szCs w:val="16"/>
                <w:lang w:eastAsia="es-PE"/>
              </w:rPr>
            </w:pPr>
          </w:p>
        </w:tc>
        <w:tc>
          <w:tcPr>
            <w:tcW w:w="963" w:type="dxa"/>
            <w:vMerge/>
            <w:tcBorders>
              <w:left w:val="single" w:sz="6" w:space="0" w:color="BFBFBF"/>
              <w:bottom w:val="single" w:sz="6" w:space="0" w:color="BFBFBF"/>
              <w:right w:val="single" w:sz="6" w:space="0" w:color="BFBFBF"/>
            </w:tcBorders>
            <w:shd w:val="clear" w:color="auto" w:fill="auto"/>
            <w:vAlign w:val="center"/>
          </w:tcPr>
          <w:p w14:paraId="5A0329EE" w14:textId="77777777" w:rsidR="00F95342" w:rsidRPr="0032346E" w:rsidRDefault="00F95342" w:rsidP="00F95342">
            <w:pPr>
              <w:spacing w:after="0" w:line="0" w:lineRule="atLeast"/>
              <w:jc w:val="center"/>
              <w:textAlignment w:val="baseline"/>
              <w:rPr>
                <w:rFonts w:ascii="Arial Narrow" w:hAnsi="Arial Narrow"/>
                <w:color w:val="000000"/>
                <w:sz w:val="16"/>
                <w:szCs w:val="16"/>
                <w:shd w:val="clear" w:color="auto" w:fill="FFFFFF"/>
              </w:rPr>
            </w:pPr>
          </w:p>
        </w:tc>
        <w:tc>
          <w:tcPr>
            <w:tcW w:w="9677" w:type="dxa"/>
            <w:vMerge/>
            <w:tcBorders>
              <w:left w:val="single" w:sz="6" w:space="0" w:color="BFBFBF"/>
              <w:bottom w:val="single" w:sz="6" w:space="0" w:color="BFBFBF"/>
              <w:right w:val="single" w:sz="6" w:space="0" w:color="BFBFBF"/>
            </w:tcBorders>
            <w:shd w:val="clear" w:color="auto" w:fill="auto"/>
            <w:vAlign w:val="center"/>
          </w:tcPr>
          <w:p w14:paraId="466C6DB8" w14:textId="77777777" w:rsidR="00F95342" w:rsidRPr="0032346E" w:rsidRDefault="00F95342" w:rsidP="00F95342">
            <w:pPr>
              <w:spacing w:after="0" w:line="0" w:lineRule="atLeast"/>
              <w:ind w:right="135"/>
              <w:jc w:val="both"/>
              <w:textAlignment w:val="baseline"/>
              <w:rPr>
                <w:rFonts w:ascii="Arial Narrow" w:eastAsia="Times New Roman" w:hAnsi="Arial Narrow" w:cstheme="minorHAnsi"/>
                <w:sz w:val="16"/>
                <w:szCs w:val="16"/>
                <w:lang w:eastAsia="es-PE"/>
              </w:rPr>
            </w:pPr>
          </w:p>
        </w:tc>
      </w:tr>
    </w:tbl>
    <w:p w14:paraId="1F98BA55" w14:textId="122D3E55" w:rsidR="007D3B4E" w:rsidRPr="0032346E" w:rsidRDefault="007D3B4E" w:rsidP="0032346E">
      <w:pPr>
        <w:spacing w:after="0" w:line="0" w:lineRule="atLeast"/>
        <w:jc w:val="both"/>
        <w:rPr>
          <w:rFonts w:ascii="Arial Narrow" w:hAnsi="Arial Narrow"/>
          <w:sz w:val="16"/>
          <w:szCs w:val="16"/>
        </w:rPr>
      </w:pPr>
    </w:p>
    <w:tbl>
      <w:tblPr>
        <w:tblStyle w:val="Tablaconcuadrculaclara"/>
        <w:tblW w:w="0" w:type="auto"/>
        <w:tblInd w:w="279" w:type="dxa"/>
        <w:tblLayout w:type="fixed"/>
        <w:tblLook w:val="04A0" w:firstRow="1" w:lastRow="0" w:firstColumn="1" w:lastColumn="0" w:noHBand="0" w:noVBand="1"/>
      </w:tblPr>
      <w:tblGrid>
        <w:gridCol w:w="1003"/>
        <w:gridCol w:w="1076"/>
        <w:gridCol w:w="888"/>
        <w:gridCol w:w="1108"/>
        <w:gridCol w:w="9391"/>
      </w:tblGrid>
      <w:tr w:rsidR="00431D44" w:rsidRPr="0032346E" w14:paraId="16571A01" w14:textId="77777777" w:rsidTr="00E8155F">
        <w:trPr>
          <w:trHeight w:val="465"/>
        </w:trPr>
        <w:tc>
          <w:tcPr>
            <w:tcW w:w="1003" w:type="dxa"/>
            <w:vAlign w:val="center"/>
            <w:hideMark/>
          </w:tcPr>
          <w:p w14:paraId="4131019B" w14:textId="77777777" w:rsidR="007D3B4E" w:rsidRPr="0032346E" w:rsidRDefault="007D3B4E" w:rsidP="0032346E">
            <w:pPr>
              <w:spacing w:line="0" w:lineRule="atLeast"/>
              <w:jc w:val="center"/>
              <w:rPr>
                <w:rFonts w:ascii="Arial Narrow" w:eastAsia="Times New Roman" w:hAnsi="Arial Narrow" w:cs="Calibri"/>
                <w:color w:val="000000"/>
                <w:sz w:val="16"/>
                <w:szCs w:val="16"/>
                <w:lang w:eastAsia="es-PE"/>
              </w:rPr>
            </w:pPr>
            <w:r w:rsidRPr="0032346E">
              <w:rPr>
                <w:rFonts w:ascii="Arial Narrow" w:eastAsia="Times New Roman" w:hAnsi="Arial Narrow" w:cs="Calibri"/>
                <w:color w:val="000000"/>
                <w:sz w:val="16"/>
                <w:szCs w:val="16"/>
                <w:lang w:eastAsia="es-PE"/>
              </w:rPr>
              <w:t>Infractor</w:t>
            </w:r>
          </w:p>
        </w:tc>
        <w:tc>
          <w:tcPr>
            <w:tcW w:w="1076" w:type="dxa"/>
            <w:vAlign w:val="center"/>
            <w:hideMark/>
          </w:tcPr>
          <w:p w14:paraId="10177007" w14:textId="77777777" w:rsidR="007D3B4E" w:rsidRPr="0032346E" w:rsidRDefault="007D3B4E" w:rsidP="0032346E">
            <w:pPr>
              <w:spacing w:line="0" w:lineRule="atLeast"/>
              <w:jc w:val="center"/>
              <w:rPr>
                <w:rFonts w:ascii="Arial Narrow" w:eastAsia="Times New Roman" w:hAnsi="Arial Narrow" w:cs="Calibri"/>
                <w:color w:val="000000"/>
                <w:sz w:val="16"/>
                <w:szCs w:val="16"/>
                <w:lang w:eastAsia="es-PE"/>
              </w:rPr>
            </w:pPr>
            <w:r w:rsidRPr="0032346E">
              <w:rPr>
                <w:rFonts w:ascii="Arial Narrow" w:eastAsia="Times New Roman" w:hAnsi="Arial Narrow" w:cs="Calibri"/>
                <w:color w:val="000000"/>
                <w:sz w:val="16"/>
                <w:szCs w:val="16"/>
                <w:lang w:eastAsia="es-PE"/>
              </w:rPr>
              <w:t>Documento de Identidad/DNI</w:t>
            </w:r>
          </w:p>
        </w:tc>
        <w:tc>
          <w:tcPr>
            <w:tcW w:w="888" w:type="dxa"/>
            <w:vAlign w:val="center"/>
            <w:hideMark/>
          </w:tcPr>
          <w:p w14:paraId="6E31726A" w14:textId="77777777" w:rsidR="007D3B4E" w:rsidRPr="0032346E" w:rsidRDefault="007D3B4E" w:rsidP="0032346E">
            <w:pPr>
              <w:spacing w:line="0" w:lineRule="atLeast"/>
              <w:jc w:val="center"/>
              <w:rPr>
                <w:rFonts w:ascii="Arial Narrow" w:eastAsia="Times New Roman" w:hAnsi="Arial Narrow" w:cs="Calibri"/>
                <w:color w:val="000000"/>
                <w:sz w:val="16"/>
                <w:szCs w:val="16"/>
                <w:lang w:eastAsia="es-PE"/>
              </w:rPr>
            </w:pPr>
            <w:r w:rsidRPr="0032346E">
              <w:rPr>
                <w:rFonts w:ascii="Arial Narrow" w:eastAsia="Times New Roman" w:hAnsi="Arial Narrow" w:cs="Calibri"/>
                <w:color w:val="000000"/>
                <w:sz w:val="16"/>
                <w:szCs w:val="16"/>
                <w:lang w:eastAsia="es-PE"/>
              </w:rPr>
              <w:t>Acta de Incautación</w:t>
            </w:r>
          </w:p>
        </w:tc>
        <w:tc>
          <w:tcPr>
            <w:tcW w:w="1108" w:type="dxa"/>
            <w:vAlign w:val="center"/>
            <w:hideMark/>
          </w:tcPr>
          <w:p w14:paraId="79FF3D59" w14:textId="77777777" w:rsidR="007D3B4E" w:rsidRPr="0032346E" w:rsidRDefault="007D3B4E" w:rsidP="0032346E">
            <w:pPr>
              <w:spacing w:line="0" w:lineRule="atLeast"/>
              <w:jc w:val="center"/>
              <w:rPr>
                <w:rFonts w:ascii="Arial Narrow" w:eastAsia="Times New Roman" w:hAnsi="Arial Narrow" w:cs="Calibri"/>
                <w:color w:val="000000"/>
                <w:sz w:val="16"/>
                <w:szCs w:val="16"/>
                <w:lang w:eastAsia="es-PE"/>
              </w:rPr>
            </w:pPr>
            <w:r w:rsidRPr="0032346E">
              <w:rPr>
                <w:rFonts w:ascii="Arial Narrow" w:eastAsia="Times New Roman" w:hAnsi="Arial Narrow" w:cs="Calibri"/>
                <w:color w:val="000000"/>
                <w:sz w:val="16"/>
                <w:szCs w:val="16"/>
                <w:lang w:eastAsia="es-PE"/>
              </w:rPr>
              <w:t>Resolución Jefatural de División</w:t>
            </w:r>
          </w:p>
        </w:tc>
        <w:tc>
          <w:tcPr>
            <w:tcW w:w="9391" w:type="dxa"/>
            <w:noWrap/>
            <w:vAlign w:val="center"/>
            <w:hideMark/>
          </w:tcPr>
          <w:p w14:paraId="4FE16E73" w14:textId="77777777" w:rsidR="007D3B4E" w:rsidRPr="0032346E" w:rsidRDefault="007D3B4E" w:rsidP="0032346E">
            <w:pPr>
              <w:spacing w:line="0" w:lineRule="atLeast"/>
              <w:jc w:val="center"/>
              <w:rPr>
                <w:rFonts w:ascii="Arial Narrow" w:eastAsia="Times New Roman" w:hAnsi="Arial Narrow" w:cs="Calibri"/>
                <w:color w:val="000000"/>
                <w:sz w:val="16"/>
                <w:szCs w:val="16"/>
                <w:lang w:eastAsia="es-PE"/>
              </w:rPr>
            </w:pPr>
            <w:r w:rsidRPr="0032346E">
              <w:rPr>
                <w:rFonts w:ascii="Arial Narrow" w:eastAsia="Times New Roman" w:hAnsi="Arial Narrow" w:cs="Calibri"/>
                <w:color w:val="000000"/>
                <w:sz w:val="16"/>
                <w:szCs w:val="16"/>
                <w:lang w:eastAsia="es-PE"/>
              </w:rPr>
              <w:t>Determinación</w:t>
            </w:r>
          </w:p>
        </w:tc>
      </w:tr>
      <w:tr w:rsidR="00431D44" w:rsidRPr="0032346E" w14:paraId="71F5586D" w14:textId="77777777" w:rsidTr="00E8155F">
        <w:trPr>
          <w:trHeight w:val="999"/>
        </w:trPr>
        <w:tc>
          <w:tcPr>
            <w:tcW w:w="1003" w:type="dxa"/>
            <w:vAlign w:val="center"/>
            <w:hideMark/>
          </w:tcPr>
          <w:p w14:paraId="268D653E" w14:textId="77777777" w:rsidR="007D3B4E" w:rsidRPr="0032346E" w:rsidRDefault="007D3B4E" w:rsidP="0032346E">
            <w:pPr>
              <w:spacing w:line="0" w:lineRule="atLeast"/>
              <w:jc w:val="center"/>
              <w:rPr>
                <w:rFonts w:ascii="Arial Narrow" w:eastAsia="Times New Roman" w:hAnsi="Arial Narrow" w:cstheme="minorHAnsi"/>
                <w:color w:val="000000"/>
                <w:sz w:val="16"/>
                <w:szCs w:val="16"/>
                <w:lang w:eastAsia="es-PE"/>
              </w:rPr>
            </w:pPr>
            <w:r w:rsidRPr="0032346E">
              <w:rPr>
                <w:rFonts w:ascii="Arial Narrow" w:hAnsi="Arial Narrow" w:cstheme="minorHAnsi"/>
                <w:sz w:val="16"/>
                <w:szCs w:val="16"/>
              </w:rPr>
              <w:t>ALARCON ARIAS BRAYANT MC´JORDAN</w:t>
            </w:r>
          </w:p>
          <w:p w14:paraId="1971BCF0" w14:textId="77777777" w:rsidR="007D3B4E" w:rsidRPr="0032346E" w:rsidRDefault="007D3B4E" w:rsidP="0032346E">
            <w:pPr>
              <w:spacing w:line="0" w:lineRule="atLeast"/>
              <w:rPr>
                <w:rFonts w:ascii="Arial Narrow" w:eastAsia="Times New Roman" w:hAnsi="Arial Narrow" w:cstheme="minorHAnsi"/>
                <w:sz w:val="16"/>
                <w:szCs w:val="16"/>
                <w:lang w:eastAsia="es-PE"/>
              </w:rPr>
            </w:pPr>
          </w:p>
        </w:tc>
        <w:tc>
          <w:tcPr>
            <w:tcW w:w="1076" w:type="dxa"/>
            <w:vAlign w:val="center"/>
            <w:hideMark/>
          </w:tcPr>
          <w:p w14:paraId="3B6A0C9E" w14:textId="77777777" w:rsidR="007D3B4E" w:rsidRPr="0032346E" w:rsidRDefault="007D3B4E" w:rsidP="0032346E">
            <w:pPr>
              <w:spacing w:line="0" w:lineRule="atLeast"/>
              <w:jc w:val="center"/>
              <w:rPr>
                <w:rFonts w:ascii="Arial Narrow" w:eastAsia="Times New Roman" w:hAnsi="Arial Narrow" w:cstheme="minorHAnsi"/>
                <w:color w:val="000000"/>
                <w:sz w:val="16"/>
                <w:szCs w:val="16"/>
                <w:lang w:eastAsia="es-PE"/>
              </w:rPr>
            </w:pPr>
            <w:r w:rsidRPr="0032346E">
              <w:rPr>
                <w:rFonts w:ascii="Arial Narrow" w:hAnsi="Arial Narrow" w:cstheme="minorHAnsi"/>
                <w:sz w:val="16"/>
                <w:szCs w:val="16"/>
              </w:rPr>
              <w:t xml:space="preserve">70056290 </w:t>
            </w:r>
          </w:p>
        </w:tc>
        <w:tc>
          <w:tcPr>
            <w:tcW w:w="888" w:type="dxa"/>
            <w:vAlign w:val="center"/>
            <w:hideMark/>
          </w:tcPr>
          <w:p w14:paraId="6E72E389" w14:textId="77777777" w:rsidR="007D3B4E" w:rsidRPr="0032346E" w:rsidRDefault="007D3B4E" w:rsidP="0032346E">
            <w:pPr>
              <w:spacing w:line="0" w:lineRule="atLeast"/>
              <w:jc w:val="center"/>
              <w:rPr>
                <w:rFonts w:ascii="Arial Narrow" w:eastAsia="Times New Roman" w:hAnsi="Arial Narrow" w:cstheme="minorHAnsi"/>
                <w:color w:val="000000"/>
                <w:sz w:val="16"/>
                <w:szCs w:val="16"/>
                <w:lang w:eastAsia="es-PE"/>
              </w:rPr>
            </w:pPr>
            <w:r w:rsidRPr="0032346E">
              <w:rPr>
                <w:rFonts w:ascii="Arial Narrow" w:hAnsi="Arial Narrow" w:cstheme="minorHAnsi"/>
                <w:sz w:val="16"/>
                <w:szCs w:val="16"/>
              </w:rPr>
              <w:t>172-0202-2020-000696 del 06.10.2020</w:t>
            </w:r>
          </w:p>
        </w:tc>
        <w:tc>
          <w:tcPr>
            <w:tcW w:w="1108" w:type="dxa"/>
            <w:vAlign w:val="center"/>
            <w:hideMark/>
          </w:tcPr>
          <w:p w14:paraId="488FEC51" w14:textId="77777777" w:rsidR="007D3B4E" w:rsidRPr="0032346E" w:rsidRDefault="007D3B4E" w:rsidP="0032346E">
            <w:pPr>
              <w:spacing w:line="0" w:lineRule="atLeast"/>
              <w:jc w:val="center"/>
              <w:rPr>
                <w:rFonts w:ascii="Arial Narrow" w:eastAsia="Times New Roman" w:hAnsi="Arial Narrow" w:cstheme="minorHAnsi"/>
                <w:color w:val="000000"/>
                <w:sz w:val="16"/>
                <w:szCs w:val="16"/>
                <w:lang w:eastAsia="es-PE"/>
              </w:rPr>
            </w:pPr>
            <w:r w:rsidRPr="0032346E">
              <w:rPr>
                <w:rFonts w:ascii="Arial Narrow" w:eastAsia="Times New Roman" w:hAnsi="Arial Narrow" w:cstheme="minorHAnsi"/>
                <w:color w:val="000000"/>
                <w:sz w:val="16"/>
                <w:szCs w:val="16"/>
                <w:lang w:eastAsia="es-PE"/>
              </w:rPr>
              <w:t>172-3G0500/2024-000560 del</w:t>
            </w:r>
          </w:p>
          <w:p w14:paraId="5469A87B" w14:textId="77777777" w:rsidR="007D3B4E" w:rsidRPr="0032346E" w:rsidRDefault="007D3B4E" w:rsidP="0032346E">
            <w:pPr>
              <w:spacing w:line="0" w:lineRule="atLeast"/>
              <w:jc w:val="center"/>
              <w:rPr>
                <w:rFonts w:ascii="Arial Narrow" w:eastAsia="Times New Roman" w:hAnsi="Arial Narrow" w:cstheme="minorHAnsi"/>
                <w:color w:val="000000"/>
                <w:sz w:val="16"/>
                <w:szCs w:val="16"/>
                <w:lang w:eastAsia="es-PE"/>
              </w:rPr>
            </w:pPr>
            <w:r w:rsidRPr="0032346E">
              <w:rPr>
                <w:rFonts w:ascii="Arial Narrow" w:eastAsia="Times New Roman" w:hAnsi="Arial Narrow" w:cstheme="minorHAnsi"/>
                <w:color w:val="000000"/>
                <w:sz w:val="16"/>
                <w:szCs w:val="16"/>
                <w:lang w:eastAsia="es-PE"/>
              </w:rPr>
              <w:t>13.09.2024</w:t>
            </w:r>
          </w:p>
        </w:tc>
        <w:tc>
          <w:tcPr>
            <w:tcW w:w="9391" w:type="dxa"/>
            <w:vAlign w:val="center"/>
          </w:tcPr>
          <w:p w14:paraId="74715457" w14:textId="77777777" w:rsidR="007D3B4E" w:rsidRPr="0032346E" w:rsidRDefault="007D3B4E" w:rsidP="0032346E">
            <w:pPr>
              <w:spacing w:line="0" w:lineRule="atLeast"/>
              <w:jc w:val="both"/>
              <w:rPr>
                <w:rFonts w:ascii="Arial Narrow" w:hAnsi="Arial Narrow" w:cstheme="minorHAnsi"/>
                <w:sz w:val="16"/>
                <w:szCs w:val="16"/>
              </w:rPr>
            </w:pPr>
            <w:r w:rsidRPr="0032346E">
              <w:rPr>
                <w:rFonts w:ascii="Arial Narrow" w:hAnsi="Arial Narrow" w:cstheme="minorHAnsi"/>
                <w:sz w:val="16"/>
                <w:szCs w:val="16"/>
              </w:rPr>
              <w:t xml:space="preserve">ARTÍCULO PRIMERO: Declarar el COMISO de las mercancías consignadas en el Acta de Incautación N° 172-0202-2020-000696 del 06.10.2020, en aplicación a lo previsto artículo 38° de la Ley de los Delitos Aduaneros; de conformidad con los fundamentos de hecho y de derecho expuestos en la presente Resolución. </w:t>
            </w:r>
          </w:p>
          <w:p w14:paraId="3ABD8FC2" w14:textId="77777777" w:rsidR="007D3B4E" w:rsidRPr="0032346E" w:rsidRDefault="007D3B4E" w:rsidP="0032346E">
            <w:pPr>
              <w:spacing w:line="0" w:lineRule="atLeast"/>
              <w:jc w:val="both"/>
              <w:rPr>
                <w:rFonts w:ascii="Arial Narrow" w:hAnsi="Arial Narrow" w:cstheme="minorHAnsi"/>
                <w:sz w:val="16"/>
                <w:szCs w:val="16"/>
              </w:rPr>
            </w:pPr>
            <w:r w:rsidRPr="0032346E">
              <w:rPr>
                <w:rFonts w:ascii="Arial Narrow" w:hAnsi="Arial Narrow" w:cstheme="minorHAnsi"/>
                <w:sz w:val="16"/>
                <w:szCs w:val="16"/>
              </w:rPr>
              <w:t xml:space="preserve">ARTÍCULO SEGUNDO: Oficiar a la Dirección Regional de Transportes y Comunicaciones de Tacna, una vez consentida o firme la presente resolución, a efectos de que se aplique la sanción de SUSPENSIÓN de licencia de conducir de ALARCON ARIAS BRAYANT MC´JORDAN , identificado con DNI N° 70056290, por el término de un (01) año; así como considerar la sanción como antecedentes en el registro de conductores, conforme a los considerandos expuestos en la presente Resolución, debiéndose proceder con levantar la sanción impuesta una vez cumplido el período descrito. </w:t>
            </w:r>
          </w:p>
          <w:p w14:paraId="1540CC96" w14:textId="77777777" w:rsidR="007D3B4E" w:rsidRPr="0032346E" w:rsidRDefault="007D3B4E" w:rsidP="0032346E">
            <w:pPr>
              <w:spacing w:line="0" w:lineRule="atLeast"/>
              <w:jc w:val="both"/>
              <w:rPr>
                <w:rFonts w:ascii="Arial Narrow" w:eastAsia="Times New Roman" w:hAnsi="Arial Narrow" w:cstheme="minorHAnsi"/>
                <w:color w:val="000000"/>
                <w:sz w:val="16"/>
                <w:szCs w:val="16"/>
                <w:lang w:val="es-ES_tradnl" w:eastAsia="es-PE"/>
              </w:rPr>
            </w:pPr>
            <w:r w:rsidRPr="0032346E">
              <w:rPr>
                <w:rFonts w:ascii="Arial Narrow" w:hAnsi="Arial Narrow" w:cstheme="minorHAnsi"/>
                <w:sz w:val="16"/>
                <w:szCs w:val="16"/>
              </w:rPr>
              <w:t>ARTÍCULO TERCERO: Sancionar con el INTERNAMIENTO TEMPORAL, al vehículo de Placa de Rodaje N° Z5Y669; por el período de sesenta (60) días calendarios, contados a partir del día en que el mencionado vehículo sea puesto a disposición de la Autoridad Aduanera para su internamiento en el Depósito del Ministerio de Transportes y Comunicaciones, caso contrario se procederá a oficiar a la Policía Nacional del Perú, una vez firme y consentida la presente Resolución, a efectos de que se proceda a la inmediata ubicación, captura e internamiento en los depósitos del Ministerio de Transportes y Comunicaciones más cercana al lugar de captura conforme a los considerandos expuestos en la presente resolución.</w:t>
            </w:r>
          </w:p>
        </w:tc>
      </w:tr>
    </w:tbl>
    <w:p w14:paraId="6C4E47CE" w14:textId="77777777" w:rsidR="007D3B4E" w:rsidRPr="0032346E" w:rsidRDefault="007D3B4E" w:rsidP="0032346E">
      <w:pPr>
        <w:spacing w:after="0" w:line="0" w:lineRule="atLeast"/>
        <w:jc w:val="both"/>
        <w:rPr>
          <w:rFonts w:ascii="Arial Narrow" w:hAnsi="Arial Narrow" w:cstheme="minorHAnsi"/>
          <w:sz w:val="16"/>
          <w:szCs w:val="16"/>
        </w:rPr>
      </w:pPr>
    </w:p>
    <w:p w14:paraId="5BAA9D51" w14:textId="77777777" w:rsidR="00D51AD3" w:rsidRPr="0032346E" w:rsidRDefault="00D51AD3" w:rsidP="0032346E">
      <w:pPr>
        <w:spacing w:after="0" w:line="0" w:lineRule="atLeast"/>
        <w:jc w:val="both"/>
        <w:rPr>
          <w:rFonts w:ascii="Arial Narrow" w:hAnsi="Arial Narrow"/>
          <w:sz w:val="16"/>
          <w:szCs w:val="16"/>
        </w:rPr>
      </w:pPr>
    </w:p>
    <w:sectPr w:rsidR="00D51AD3" w:rsidRPr="0032346E" w:rsidSect="00DE1041">
      <w:pgSz w:w="15840" w:h="12240" w:orient="landscape"/>
      <w:pgMar w:top="1080" w:right="814" w:bottom="10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0612" w14:textId="77777777" w:rsidR="00A45411" w:rsidRDefault="00A45411" w:rsidP="005319CE">
      <w:pPr>
        <w:spacing w:after="0" w:line="240" w:lineRule="auto"/>
      </w:pPr>
      <w:r>
        <w:separator/>
      </w:r>
    </w:p>
  </w:endnote>
  <w:endnote w:type="continuationSeparator" w:id="0">
    <w:p w14:paraId="4145EEFB" w14:textId="77777777" w:rsidR="00A45411" w:rsidRDefault="00A45411" w:rsidP="005319CE">
      <w:pPr>
        <w:spacing w:after="0" w:line="240" w:lineRule="auto"/>
      </w:pPr>
      <w:r>
        <w:continuationSeparator/>
      </w:r>
    </w:p>
  </w:endnote>
  <w:endnote w:type="continuationNotice" w:id="1">
    <w:p w14:paraId="4EB77408" w14:textId="77777777" w:rsidR="00741145" w:rsidRDefault="00741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BD2A" w14:textId="77777777" w:rsidR="00A45411" w:rsidRDefault="00A45411" w:rsidP="005319CE">
      <w:pPr>
        <w:spacing w:after="0" w:line="240" w:lineRule="auto"/>
      </w:pPr>
      <w:r>
        <w:separator/>
      </w:r>
    </w:p>
  </w:footnote>
  <w:footnote w:type="continuationSeparator" w:id="0">
    <w:p w14:paraId="0F9914E9" w14:textId="77777777" w:rsidR="00A45411" w:rsidRDefault="00A45411" w:rsidP="005319CE">
      <w:pPr>
        <w:spacing w:after="0" w:line="240" w:lineRule="auto"/>
      </w:pPr>
      <w:r>
        <w:continuationSeparator/>
      </w:r>
    </w:p>
  </w:footnote>
  <w:footnote w:type="continuationNotice" w:id="1">
    <w:p w14:paraId="39594EAA" w14:textId="77777777" w:rsidR="00741145" w:rsidRDefault="0074114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52826"/>
    <w:rsid w:val="00056239"/>
    <w:rsid w:val="000618A2"/>
    <w:rsid w:val="00085A43"/>
    <w:rsid w:val="000D4563"/>
    <w:rsid w:val="000D76D9"/>
    <w:rsid w:val="00107F95"/>
    <w:rsid w:val="00153008"/>
    <w:rsid w:val="00185501"/>
    <w:rsid w:val="001A744A"/>
    <w:rsid w:val="001C7EE6"/>
    <w:rsid w:val="001F1634"/>
    <w:rsid w:val="001F3673"/>
    <w:rsid w:val="00222E20"/>
    <w:rsid w:val="0023064F"/>
    <w:rsid w:val="00235118"/>
    <w:rsid w:val="002419C7"/>
    <w:rsid w:val="00245357"/>
    <w:rsid w:val="002565BA"/>
    <w:rsid w:val="00274BB3"/>
    <w:rsid w:val="00277221"/>
    <w:rsid w:val="00280B1A"/>
    <w:rsid w:val="002920D4"/>
    <w:rsid w:val="002A5562"/>
    <w:rsid w:val="002B08A0"/>
    <w:rsid w:val="00310D76"/>
    <w:rsid w:val="00316AA1"/>
    <w:rsid w:val="0032346E"/>
    <w:rsid w:val="00335B64"/>
    <w:rsid w:val="00342548"/>
    <w:rsid w:val="003622BD"/>
    <w:rsid w:val="00363EFC"/>
    <w:rsid w:val="00376C2A"/>
    <w:rsid w:val="003B0AA5"/>
    <w:rsid w:val="003C681B"/>
    <w:rsid w:val="003F7ECE"/>
    <w:rsid w:val="00431D44"/>
    <w:rsid w:val="004421C2"/>
    <w:rsid w:val="00473151"/>
    <w:rsid w:val="004833B0"/>
    <w:rsid w:val="004A54D3"/>
    <w:rsid w:val="004A6EC0"/>
    <w:rsid w:val="004E21D2"/>
    <w:rsid w:val="004F0A73"/>
    <w:rsid w:val="004F3A5E"/>
    <w:rsid w:val="004F3C54"/>
    <w:rsid w:val="00516FAC"/>
    <w:rsid w:val="0052281D"/>
    <w:rsid w:val="005271AD"/>
    <w:rsid w:val="005319CE"/>
    <w:rsid w:val="00552830"/>
    <w:rsid w:val="005550B5"/>
    <w:rsid w:val="00557368"/>
    <w:rsid w:val="00575D6D"/>
    <w:rsid w:val="005814EC"/>
    <w:rsid w:val="005A1E91"/>
    <w:rsid w:val="005B6463"/>
    <w:rsid w:val="005C13CB"/>
    <w:rsid w:val="005D0B5C"/>
    <w:rsid w:val="005F0824"/>
    <w:rsid w:val="00602D8E"/>
    <w:rsid w:val="00604740"/>
    <w:rsid w:val="00612EA5"/>
    <w:rsid w:val="006239B5"/>
    <w:rsid w:val="00624B06"/>
    <w:rsid w:val="00632AFA"/>
    <w:rsid w:val="0064541B"/>
    <w:rsid w:val="006513CA"/>
    <w:rsid w:val="00651CCA"/>
    <w:rsid w:val="00673016"/>
    <w:rsid w:val="00675554"/>
    <w:rsid w:val="00696860"/>
    <w:rsid w:val="006B53C4"/>
    <w:rsid w:val="006C5431"/>
    <w:rsid w:val="00704E75"/>
    <w:rsid w:val="00736083"/>
    <w:rsid w:val="0073750F"/>
    <w:rsid w:val="00741145"/>
    <w:rsid w:val="00751182"/>
    <w:rsid w:val="0077395F"/>
    <w:rsid w:val="0078589D"/>
    <w:rsid w:val="00796BD9"/>
    <w:rsid w:val="007C4170"/>
    <w:rsid w:val="007C41EA"/>
    <w:rsid w:val="007D3B4E"/>
    <w:rsid w:val="007F199D"/>
    <w:rsid w:val="00801EC2"/>
    <w:rsid w:val="00805485"/>
    <w:rsid w:val="00813866"/>
    <w:rsid w:val="008406A3"/>
    <w:rsid w:val="008420CB"/>
    <w:rsid w:val="008515F5"/>
    <w:rsid w:val="00856F26"/>
    <w:rsid w:val="00870F8D"/>
    <w:rsid w:val="00882A6C"/>
    <w:rsid w:val="008A4866"/>
    <w:rsid w:val="008B234A"/>
    <w:rsid w:val="00923EFA"/>
    <w:rsid w:val="00952200"/>
    <w:rsid w:val="009B2342"/>
    <w:rsid w:val="009D2812"/>
    <w:rsid w:val="00A02679"/>
    <w:rsid w:val="00A105E9"/>
    <w:rsid w:val="00A30FBE"/>
    <w:rsid w:val="00A42CDE"/>
    <w:rsid w:val="00A45411"/>
    <w:rsid w:val="00A47202"/>
    <w:rsid w:val="00A92597"/>
    <w:rsid w:val="00AB268B"/>
    <w:rsid w:val="00AB68CE"/>
    <w:rsid w:val="00AB7AD0"/>
    <w:rsid w:val="00AE6C31"/>
    <w:rsid w:val="00B43E6E"/>
    <w:rsid w:val="00B87F2C"/>
    <w:rsid w:val="00B932AE"/>
    <w:rsid w:val="00C14A62"/>
    <w:rsid w:val="00C15DBA"/>
    <w:rsid w:val="00C56CBF"/>
    <w:rsid w:val="00C7519F"/>
    <w:rsid w:val="00CA208B"/>
    <w:rsid w:val="00CB7F97"/>
    <w:rsid w:val="00CC43FF"/>
    <w:rsid w:val="00CC6834"/>
    <w:rsid w:val="00CE4B46"/>
    <w:rsid w:val="00CE7EEA"/>
    <w:rsid w:val="00D42EC5"/>
    <w:rsid w:val="00D51AD3"/>
    <w:rsid w:val="00D76FDB"/>
    <w:rsid w:val="00D83B54"/>
    <w:rsid w:val="00D93920"/>
    <w:rsid w:val="00D96A95"/>
    <w:rsid w:val="00DC6533"/>
    <w:rsid w:val="00DD5293"/>
    <w:rsid w:val="00DE1041"/>
    <w:rsid w:val="00E0375F"/>
    <w:rsid w:val="00E777A1"/>
    <w:rsid w:val="00E801EB"/>
    <w:rsid w:val="00E8155F"/>
    <w:rsid w:val="00EB1F67"/>
    <w:rsid w:val="00EB5C88"/>
    <w:rsid w:val="00EC4D46"/>
    <w:rsid w:val="00F7067B"/>
    <w:rsid w:val="00F7489E"/>
    <w:rsid w:val="00F95342"/>
    <w:rsid w:val="00FA1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F6E7"/>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052826"/>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Sangradetextonormal">
    <w:name w:val="Body Text Indent"/>
    <w:basedOn w:val="Normal"/>
    <w:link w:val="SangradetextonormalCar"/>
    <w:uiPriority w:val="99"/>
    <w:unhideWhenUsed/>
    <w:rsid w:val="00F7489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7489E"/>
    <w:rPr>
      <w:rFonts w:ascii="Times New Roman" w:eastAsia="Times New Roman" w:hAnsi="Times New Roman" w:cs="Times New Roman"/>
      <w:sz w:val="24"/>
      <w:szCs w:val="24"/>
      <w:lang w:eastAsia="es-ES"/>
    </w:rPr>
  </w:style>
  <w:style w:type="table" w:styleId="Tablaconcuadrculaclara">
    <w:name w:val="Grid Table Light"/>
    <w:basedOn w:val="Tablanormal"/>
    <w:uiPriority w:val="40"/>
    <w:rsid w:val="00431D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semiHidden/>
    <w:unhideWhenUsed/>
    <w:rsid w:val="007411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1145"/>
    <w:rPr>
      <w:lang w:val="es-PE"/>
    </w:rPr>
  </w:style>
  <w:style w:type="paragraph" w:styleId="Piedepgina">
    <w:name w:val="footer"/>
    <w:basedOn w:val="Normal"/>
    <w:link w:val="PiedepginaCar"/>
    <w:uiPriority w:val="99"/>
    <w:semiHidden/>
    <w:unhideWhenUsed/>
    <w:rsid w:val="007411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1145"/>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12768165">
      <w:bodyDiv w:val="1"/>
      <w:marLeft w:val="0"/>
      <w:marRight w:val="0"/>
      <w:marTop w:val="0"/>
      <w:marBottom w:val="0"/>
      <w:divBdr>
        <w:top w:val="none" w:sz="0" w:space="0" w:color="auto"/>
        <w:left w:val="none" w:sz="0" w:space="0" w:color="auto"/>
        <w:bottom w:val="none" w:sz="0" w:space="0" w:color="auto"/>
        <w:right w:val="none" w:sz="0" w:space="0" w:color="auto"/>
      </w:divBdr>
      <w:divsChild>
        <w:div w:id="1607691286">
          <w:marLeft w:val="0"/>
          <w:marRight w:val="0"/>
          <w:marTop w:val="0"/>
          <w:marBottom w:val="0"/>
          <w:divBdr>
            <w:top w:val="none" w:sz="0" w:space="0" w:color="auto"/>
            <w:left w:val="none" w:sz="0" w:space="0" w:color="auto"/>
            <w:bottom w:val="none" w:sz="0" w:space="0" w:color="auto"/>
            <w:right w:val="none" w:sz="0" w:space="0" w:color="auto"/>
          </w:divBdr>
        </w:div>
        <w:div w:id="654841129">
          <w:marLeft w:val="0"/>
          <w:marRight w:val="0"/>
          <w:marTop w:val="0"/>
          <w:marBottom w:val="0"/>
          <w:divBdr>
            <w:top w:val="none" w:sz="0" w:space="0" w:color="auto"/>
            <w:left w:val="none" w:sz="0" w:space="0" w:color="auto"/>
            <w:bottom w:val="none" w:sz="0" w:space="0" w:color="auto"/>
            <w:right w:val="none" w:sz="0" w:space="0" w:color="auto"/>
          </w:divBdr>
        </w:div>
        <w:div w:id="1531842882">
          <w:marLeft w:val="0"/>
          <w:marRight w:val="0"/>
          <w:marTop w:val="0"/>
          <w:marBottom w:val="0"/>
          <w:divBdr>
            <w:top w:val="none" w:sz="0" w:space="0" w:color="auto"/>
            <w:left w:val="none" w:sz="0" w:space="0" w:color="auto"/>
            <w:bottom w:val="none" w:sz="0" w:space="0" w:color="auto"/>
            <w:right w:val="none" w:sz="0" w:space="0" w:color="auto"/>
          </w:divBdr>
        </w:div>
        <w:div w:id="324478274">
          <w:marLeft w:val="0"/>
          <w:marRight w:val="0"/>
          <w:marTop w:val="0"/>
          <w:marBottom w:val="0"/>
          <w:divBdr>
            <w:top w:val="none" w:sz="0" w:space="0" w:color="auto"/>
            <w:left w:val="none" w:sz="0" w:space="0" w:color="auto"/>
            <w:bottom w:val="none" w:sz="0" w:space="0" w:color="auto"/>
            <w:right w:val="none" w:sz="0" w:space="0" w:color="auto"/>
          </w:divBdr>
        </w:div>
        <w:div w:id="1478184810">
          <w:marLeft w:val="0"/>
          <w:marRight w:val="0"/>
          <w:marTop w:val="0"/>
          <w:marBottom w:val="0"/>
          <w:divBdr>
            <w:top w:val="none" w:sz="0" w:space="0" w:color="auto"/>
            <w:left w:val="none" w:sz="0" w:space="0" w:color="auto"/>
            <w:bottom w:val="none" w:sz="0" w:space="0" w:color="auto"/>
            <w:right w:val="none" w:sz="0" w:space="0" w:color="auto"/>
          </w:divBdr>
        </w:div>
        <w:div w:id="685130183">
          <w:marLeft w:val="0"/>
          <w:marRight w:val="0"/>
          <w:marTop w:val="0"/>
          <w:marBottom w:val="0"/>
          <w:divBdr>
            <w:top w:val="none" w:sz="0" w:space="0" w:color="auto"/>
            <w:left w:val="none" w:sz="0" w:space="0" w:color="auto"/>
            <w:bottom w:val="none" w:sz="0" w:space="0" w:color="auto"/>
            <w:right w:val="none" w:sz="0" w:space="0" w:color="auto"/>
          </w:divBdr>
        </w:div>
        <w:div w:id="460808498">
          <w:marLeft w:val="0"/>
          <w:marRight w:val="0"/>
          <w:marTop w:val="0"/>
          <w:marBottom w:val="0"/>
          <w:divBdr>
            <w:top w:val="none" w:sz="0" w:space="0" w:color="auto"/>
            <w:left w:val="none" w:sz="0" w:space="0" w:color="auto"/>
            <w:bottom w:val="none" w:sz="0" w:space="0" w:color="auto"/>
            <w:right w:val="none" w:sz="0" w:space="0" w:color="auto"/>
          </w:divBdr>
        </w:div>
        <w:div w:id="1397892311">
          <w:marLeft w:val="0"/>
          <w:marRight w:val="0"/>
          <w:marTop w:val="0"/>
          <w:marBottom w:val="0"/>
          <w:divBdr>
            <w:top w:val="none" w:sz="0" w:space="0" w:color="auto"/>
            <w:left w:val="none" w:sz="0" w:space="0" w:color="auto"/>
            <w:bottom w:val="none" w:sz="0" w:space="0" w:color="auto"/>
            <w:right w:val="none" w:sz="0" w:space="0" w:color="auto"/>
          </w:divBdr>
        </w:div>
        <w:div w:id="921717917">
          <w:marLeft w:val="0"/>
          <w:marRight w:val="0"/>
          <w:marTop w:val="0"/>
          <w:marBottom w:val="0"/>
          <w:divBdr>
            <w:top w:val="none" w:sz="0" w:space="0" w:color="auto"/>
            <w:left w:val="none" w:sz="0" w:space="0" w:color="auto"/>
            <w:bottom w:val="none" w:sz="0" w:space="0" w:color="auto"/>
            <w:right w:val="none" w:sz="0" w:space="0" w:color="auto"/>
          </w:divBdr>
          <w:divsChild>
            <w:div w:id="1918174056">
              <w:marLeft w:val="0"/>
              <w:marRight w:val="0"/>
              <w:marTop w:val="30"/>
              <w:marBottom w:val="30"/>
              <w:divBdr>
                <w:top w:val="none" w:sz="0" w:space="0" w:color="auto"/>
                <w:left w:val="none" w:sz="0" w:space="0" w:color="auto"/>
                <w:bottom w:val="none" w:sz="0" w:space="0" w:color="auto"/>
                <w:right w:val="none" w:sz="0" w:space="0" w:color="auto"/>
              </w:divBdr>
              <w:divsChild>
                <w:div w:id="321129705">
                  <w:marLeft w:val="0"/>
                  <w:marRight w:val="0"/>
                  <w:marTop w:val="0"/>
                  <w:marBottom w:val="0"/>
                  <w:divBdr>
                    <w:top w:val="none" w:sz="0" w:space="0" w:color="auto"/>
                    <w:left w:val="none" w:sz="0" w:space="0" w:color="auto"/>
                    <w:bottom w:val="none" w:sz="0" w:space="0" w:color="auto"/>
                    <w:right w:val="none" w:sz="0" w:space="0" w:color="auto"/>
                  </w:divBdr>
                  <w:divsChild>
                    <w:div w:id="1779324728">
                      <w:marLeft w:val="0"/>
                      <w:marRight w:val="0"/>
                      <w:marTop w:val="0"/>
                      <w:marBottom w:val="0"/>
                      <w:divBdr>
                        <w:top w:val="none" w:sz="0" w:space="0" w:color="auto"/>
                        <w:left w:val="none" w:sz="0" w:space="0" w:color="auto"/>
                        <w:bottom w:val="none" w:sz="0" w:space="0" w:color="auto"/>
                        <w:right w:val="none" w:sz="0" w:space="0" w:color="auto"/>
                      </w:divBdr>
                    </w:div>
                  </w:divsChild>
                </w:div>
                <w:div w:id="1755396279">
                  <w:marLeft w:val="0"/>
                  <w:marRight w:val="0"/>
                  <w:marTop w:val="0"/>
                  <w:marBottom w:val="0"/>
                  <w:divBdr>
                    <w:top w:val="none" w:sz="0" w:space="0" w:color="auto"/>
                    <w:left w:val="none" w:sz="0" w:space="0" w:color="auto"/>
                    <w:bottom w:val="none" w:sz="0" w:space="0" w:color="auto"/>
                    <w:right w:val="none" w:sz="0" w:space="0" w:color="auto"/>
                  </w:divBdr>
                  <w:divsChild>
                    <w:div w:id="1131484851">
                      <w:marLeft w:val="0"/>
                      <w:marRight w:val="0"/>
                      <w:marTop w:val="0"/>
                      <w:marBottom w:val="0"/>
                      <w:divBdr>
                        <w:top w:val="none" w:sz="0" w:space="0" w:color="auto"/>
                        <w:left w:val="none" w:sz="0" w:space="0" w:color="auto"/>
                        <w:bottom w:val="none" w:sz="0" w:space="0" w:color="auto"/>
                        <w:right w:val="none" w:sz="0" w:space="0" w:color="auto"/>
                      </w:divBdr>
                    </w:div>
                  </w:divsChild>
                </w:div>
                <w:div w:id="1047804084">
                  <w:marLeft w:val="0"/>
                  <w:marRight w:val="0"/>
                  <w:marTop w:val="0"/>
                  <w:marBottom w:val="0"/>
                  <w:divBdr>
                    <w:top w:val="none" w:sz="0" w:space="0" w:color="auto"/>
                    <w:left w:val="none" w:sz="0" w:space="0" w:color="auto"/>
                    <w:bottom w:val="none" w:sz="0" w:space="0" w:color="auto"/>
                    <w:right w:val="none" w:sz="0" w:space="0" w:color="auto"/>
                  </w:divBdr>
                  <w:divsChild>
                    <w:div w:id="1537892287">
                      <w:marLeft w:val="0"/>
                      <w:marRight w:val="0"/>
                      <w:marTop w:val="0"/>
                      <w:marBottom w:val="0"/>
                      <w:divBdr>
                        <w:top w:val="none" w:sz="0" w:space="0" w:color="auto"/>
                        <w:left w:val="none" w:sz="0" w:space="0" w:color="auto"/>
                        <w:bottom w:val="none" w:sz="0" w:space="0" w:color="auto"/>
                        <w:right w:val="none" w:sz="0" w:space="0" w:color="auto"/>
                      </w:divBdr>
                    </w:div>
                  </w:divsChild>
                </w:div>
                <w:div w:id="949967221">
                  <w:marLeft w:val="0"/>
                  <w:marRight w:val="0"/>
                  <w:marTop w:val="0"/>
                  <w:marBottom w:val="0"/>
                  <w:divBdr>
                    <w:top w:val="none" w:sz="0" w:space="0" w:color="auto"/>
                    <w:left w:val="none" w:sz="0" w:space="0" w:color="auto"/>
                    <w:bottom w:val="none" w:sz="0" w:space="0" w:color="auto"/>
                    <w:right w:val="none" w:sz="0" w:space="0" w:color="auto"/>
                  </w:divBdr>
                  <w:divsChild>
                    <w:div w:id="1543592744">
                      <w:marLeft w:val="0"/>
                      <w:marRight w:val="0"/>
                      <w:marTop w:val="0"/>
                      <w:marBottom w:val="0"/>
                      <w:divBdr>
                        <w:top w:val="none" w:sz="0" w:space="0" w:color="auto"/>
                        <w:left w:val="none" w:sz="0" w:space="0" w:color="auto"/>
                        <w:bottom w:val="none" w:sz="0" w:space="0" w:color="auto"/>
                        <w:right w:val="none" w:sz="0" w:space="0" w:color="auto"/>
                      </w:divBdr>
                    </w:div>
                  </w:divsChild>
                </w:div>
                <w:div w:id="159732681">
                  <w:marLeft w:val="0"/>
                  <w:marRight w:val="0"/>
                  <w:marTop w:val="0"/>
                  <w:marBottom w:val="0"/>
                  <w:divBdr>
                    <w:top w:val="none" w:sz="0" w:space="0" w:color="auto"/>
                    <w:left w:val="none" w:sz="0" w:space="0" w:color="auto"/>
                    <w:bottom w:val="none" w:sz="0" w:space="0" w:color="auto"/>
                    <w:right w:val="none" w:sz="0" w:space="0" w:color="auto"/>
                  </w:divBdr>
                  <w:divsChild>
                    <w:div w:id="172571779">
                      <w:marLeft w:val="0"/>
                      <w:marRight w:val="0"/>
                      <w:marTop w:val="0"/>
                      <w:marBottom w:val="0"/>
                      <w:divBdr>
                        <w:top w:val="none" w:sz="0" w:space="0" w:color="auto"/>
                        <w:left w:val="none" w:sz="0" w:space="0" w:color="auto"/>
                        <w:bottom w:val="none" w:sz="0" w:space="0" w:color="auto"/>
                        <w:right w:val="none" w:sz="0" w:space="0" w:color="auto"/>
                      </w:divBdr>
                    </w:div>
                  </w:divsChild>
                </w:div>
                <w:div w:id="2080711189">
                  <w:marLeft w:val="0"/>
                  <w:marRight w:val="0"/>
                  <w:marTop w:val="0"/>
                  <w:marBottom w:val="0"/>
                  <w:divBdr>
                    <w:top w:val="none" w:sz="0" w:space="0" w:color="auto"/>
                    <w:left w:val="none" w:sz="0" w:space="0" w:color="auto"/>
                    <w:bottom w:val="none" w:sz="0" w:space="0" w:color="auto"/>
                    <w:right w:val="none" w:sz="0" w:space="0" w:color="auto"/>
                  </w:divBdr>
                  <w:divsChild>
                    <w:div w:id="1721905015">
                      <w:marLeft w:val="0"/>
                      <w:marRight w:val="0"/>
                      <w:marTop w:val="0"/>
                      <w:marBottom w:val="0"/>
                      <w:divBdr>
                        <w:top w:val="none" w:sz="0" w:space="0" w:color="auto"/>
                        <w:left w:val="none" w:sz="0" w:space="0" w:color="auto"/>
                        <w:bottom w:val="none" w:sz="0" w:space="0" w:color="auto"/>
                        <w:right w:val="none" w:sz="0" w:space="0" w:color="auto"/>
                      </w:divBdr>
                    </w:div>
                  </w:divsChild>
                </w:div>
                <w:div w:id="1334606651">
                  <w:marLeft w:val="0"/>
                  <w:marRight w:val="0"/>
                  <w:marTop w:val="0"/>
                  <w:marBottom w:val="0"/>
                  <w:divBdr>
                    <w:top w:val="none" w:sz="0" w:space="0" w:color="auto"/>
                    <w:left w:val="none" w:sz="0" w:space="0" w:color="auto"/>
                    <w:bottom w:val="none" w:sz="0" w:space="0" w:color="auto"/>
                    <w:right w:val="none" w:sz="0" w:space="0" w:color="auto"/>
                  </w:divBdr>
                  <w:divsChild>
                    <w:div w:id="575671119">
                      <w:marLeft w:val="0"/>
                      <w:marRight w:val="0"/>
                      <w:marTop w:val="0"/>
                      <w:marBottom w:val="0"/>
                      <w:divBdr>
                        <w:top w:val="none" w:sz="0" w:space="0" w:color="auto"/>
                        <w:left w:val="none" w:sz="0" w:space="0" w:color="auto"/>
                        <w:bottom w:val="none" w:sz="0" w:space="0" w:color="auto"/>
                        <w:right w:val="none" w:sz="0" w:space="0" w:color="auto"/>
                      </w:divBdr>
                    </w:div>
                  </w:divsChild>
                </w:div>
                <w:div w:id="494614832">
                  <w:marLeft w:val="0"/>
                  <w:marRight w:val="0"/>
                  <w:marTop w:val="0"/>
                  <w:marBottom w:val="0"/>
                  <w:divBdr>
                    <w:top w:val="none" w:sz="0" w:space="0" w:color="auto"/>
                    <w:left w:val="none" w:sz="0" w:space="0" w:color="auto"/>
                    <w:bottom w:val="none" w:sz="0" w:space="0" w:color="auto"/>
                    <w:right w:val="none" w:sz="0" w:space="0" w:color="auto"/>
                  </w:divBdr>
                  <w:divsChild>
                    <w:div w:id="760680003">
                      <w:marLeft w:val="0"/>
                      <w:marRight w:val="0"/>
                      <w:marTop w:val="0"/>
                      <w:marBottom w:val="0"/>
                      <w:divBdr>
                        <w:top w:val="none" w:sz="0" w:space="0" w:color="auto"/>
                        <w:left w:val="none" w:sz="0" w:space="0" w:color="auto"/>
                        <w:bottom w:val="none" w:sz="0" w:space="0" w:color="auto"/>
                        <w:right w:val="none" w:sz="0" w:space="0" w:color="auto"/>
                      </w:divBdr>
                    </w:div>
                  </w:divsChild>
                </w:div>
                <w:div w:id="1771777086">
                  <w:marLeft w:val="0"/>
                  <w:marRight w:val="0"/>
                  <w:marTop w:val="0"/>
                  <w:marBottom w:val="0"/>
                  <w:divBdr>
                    <w:top w:val="none" w:sz="0" w:space="0" w:color="auto"/>
                    <w:left w:val="none" w:sz="0" w:space="0" w:color="auto"/>
                    <w:bottom w:val="none" w:sz="0" w:space="0" w:color="auto"/>
                    <w:right w:val="none" w:sz="0" w:space="0" w:color="auto"/>
                  </w:divBdr>
                  <w:divsChild>
                    <w:div w:id="1981882813">
                      <w:marLeft w:val="0"/>
                      <w:marRight w:val="0"/>
                      <w:marTop w:val="0"/>
                      <w:marBottom w:val="0"/>
                      <w:divBdr>
                        <w:top w:val="none" w:sz="0" w:space="0" w:color="auto"/>
                        <w:left w:val="none" w:sz="0" w:space="0" w:color="auto"/>
                        <w:bottom w:val="none" w:sz="0" w:space="0" w:color="auto"/>
                        <w:right w:val="none" w:sz="0" w:space="0" w:color="auto"/>
                      </w:divBdr>
                    </w:div>
                  </w:divsChild>
                </w:div>
                <w:div w:id="1113131367">
                  <w:marLeft w:val="0"/>
                  <w:marRight w:val="0"/>
                  <w:marTop w:val="0"/>
                  <w:marBottom w:val="0"/>
                  <w:divBdr>
                    <w:top w:val="none" w:sz="0" w:space="0" w:color="auto"/>
                    <w:left w:val="none" w:sz="0" w:space="0" w:color="auto"/>
                    <w:bottom w:val="none" w:sz="0" w:space="0" w:color="auto"/>
                    <w:right w:val="none" w:sz="0" w:space="0" w:color="auto"/>
                  </w:divBdr>
                  <w:divsChild>
                    <w:div w:id="1685400878">
                      <w:marLeft w:val="0"/>
                      <w:marRight w:val="0"/>
                      <w:marTop w:val="0"/>
                      <w:marBottom w:val="0"/>
                      <w:divBdr>
                        <w:top w:val="none" w:sz="0" w:space="0" w:color="auto"/>
                        <w:left w:val="none" w:sz="0" w:space="0" w:color="auto"/>
                        <w:bottom w:val="none" w:sz="0" w:space="0" w:color="auto"/>
                        <w:right w:val="none" w:sz="0" w:space="0" w:color="auto"/>
                      </w:divBdr>
                    </w:div>
                  </w:divsChild>
                </w:div>
                <w:div w:id="562570209">
                  <w:marLeft w:val="0"/>
                  <w:marRight w:val="0"/>
                  <w:marTop w:val="0"/>
                  <w:marBottom w:val="0"/>
                  <w:divBdr>
                    <w:top w:val="none" w:sz="0" w:space="0" w:color="auto"/>
                    <w:left w:val="none" w:sz="0" w:space="0" w:color="auto"/>
                    <w:bottom w:val="none" w:sz="0" w:space="0" w:color="auto"/>
                    <w:right w:val="none" w:sz="0" w:space="0" w:color="auto"/>
                  </w:divBdr>
                  <w:divsChild>
                    <w:div w:id="1187405662">
                      <w:marLeft w:val="0"/>
                      <w:marRight w:val="0"/>
                      <w:marTop w:val="0"/>
                      <w:marBottom w:val="0"/>
                      <w:divBdr>
                        <w:top w:val="none" w:sz="0" w:space="0" w:color="auto"/>
                        <w:left w:val="none" w:sz="0" w:space="0" w:color="auto"/>
                        <w:bottom w:val="none" w:sz="0" w:space="0" w:color="auto"/>
                        <w:right w:val="none" w:sz="0" w:space="0" w:color="auto"/>
                      </w:divBdr>
                    </w:div>
                    <w:div w:id="1050416304">
                      <w:marLeft w:val="0"/>
                      <w:marRight w:val="0"/>
                      <w:marTop w:val="0"/>
                      <w:marBottom w:val="0"/>
                      <w:divBdr>
                        <w:top w:val="none" w:sz="0" w:space="0" w:color="auto"/>
                        <w:left w:val="none" w:sz="0" w:space="0" w:color="auto"/>
                        <w:bottom w:val="none" w:sz="0" w:space="0" w:color="auto"/>
                        <w:right w:val="none" w:sz="0" w:space="0" w:color="auto"/>
                      </w:divBdr>
                    </w:div>
                  </w:divsChild>
                </w:div>
                <w:div w:id="511528355">
                  <w:marLeft w:val="0"/>
                  <w:marRight w:val="0"/>
                  <w:marTop w:val="0"/>
                  <w:marBottom w:val="0"/>
                  <w:divBdr>
                    <w:top w:val="none" w:sz="0" w:space="0" w:color="auto"/>
                    <w:left w:val="none" w:sz="0" w:space="0" w:color="auto"/>
                    <w:bottom w:val="none" w:sz="0" w:space="0" w:color="auto"/>
                    <w:right w:val="none" w:sz="0" w:space="0" w:color="auto"/>
                  </w:divBdr>
                  <w:divsChild>
                    <w:div w:id="1948006978">
                      <w:marLeft w:val="0"/>
                      <w:marRight w:val="0"/>
                      <w:marTop w:val="0"/>
                      <w:marBottom w:val="0"/>
                      <w:divBdr>
                        <w:top w:val="none" w:sz="0" w:space="0" w:color="auto"/>
                        <w:left w:val="none" w:sz="0" w:space="0" w:color="auto"/>
                        <w:bottom w:val="none" w:sz="0" w:space="0" w:color="auto"/>
                        <w:right w:val="none" w:sz="0" w:space="0" w:color="auto"/>
                      </w:divBdr>
                    </w:div>
                  </w:divsChild>
                </w:div>
                <w:div w:id="174274523">
                  <w:marLeft w:val="0"/>
                  <w:marRight w:val="0"/>
                  <w:marTop w:val="0"/>
                  <w:marBottom w:val="0"/>
                  <w:divBdr>
                    <w:top w:val="none" w:sz="0" w:space="0" w:color="auto"/>
                    <w:left w:val="none" w:sz="0" w:space="0" w:color="auto"/>
                    <w:bottom w:val="none" w:sz="0" w:space="0" w:color="auto"/>
                    <w:right w:val="none" w:sz="0" w:space="0" w:color="auto"/>
                  </w:divBdr>
                  <w:divsChild>
                    <w:div w:id="381754116">
                      <w:marLeft w:val="0"/>
                      <w:marRight w:val="0"/>
                      <w:marTop w:val="0"/>
                      <w:marBottom w:val="0"/>
                      <w:divBdr>
                        <w:top w:val="none" w:sz="0" w:space="0" w:color="auto"/>
                        <w:left w:val="none" w:sz="0" w:space="0" w:color="auto"/>
                        <w:bottom w:val="none" w:sz="0" w:space="0" w:color="auto"/>
                        <w:right w:val="none" w:sz="0" w:space="0" w:color="auto"/>
                      </w:divBdr>
                    </w:div>
                  </w:divsChild>
                </w:div>
                <w:div w:id="1518494800">
                  <w:marLeft w:val="0"/>
                  <w:marRight w:val="0"/>
                  <w:marTop w:val="0"/>
                  <w:marBottom w:val="0"/>
                  <w:divBdr>
                    <w:top w:val="none" w:sz="0" w:space="0" w:color="auto"/>
                    <w:left w:val="none" w:sz="0" w:space="0" w:color="auto"/>
                    <w:bottom w:val="none" w:sz="0" w:space="0" w:color="auto"/>
                    <w:right w:val="none" w:sz="0" w:space="0" w:color="auto"/>
                  </w:divBdr>
                  <w:divsChild>
                    <w:div w:id="1578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1" ma:contentTypeDescription="Create a new document." ma:contentTypeScope="" ma:versionID="03bb7a3eb045d9c44ee60f167b8801ff">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91876ffe00b1780fdd1b0b3f5e39326f"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3F709-B7FE-4DFA-A199-476B140D528E}">
  <ds:schemaRefs>
    <ds:schemaRef ds:uri="http://schemas.microsoft.com/sharepoint/v3/contenttype/forms"/>
  </ds:schemaRefs>
</ds:datastoreItem>
</file>

<file path=customXml/itemProps2.xml><?xml version="1.0" encoding="utf-8"?>
<ds:datastoreItem xmlns:ds="http://schemas.openxmlformats.org/officeDocument/2006/customXml" ds:itemID="{1A57234D-9BBF-40C3-9AC9-DC8FECD7A2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E6FE88-F264-4199-ADD9-2EFF1B3E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2024-10-21T20:37:00Z</cp:lastPrinted>
  <dcterms:created xsi:type="dcterms:W3CDTF">2024-10-21T20:37:00Z</dcterms:created>
  <dcterms:modified xsi:type="dcterms:W3CDTF">2024-10-21T20:51:00Z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